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D861" w14:textId="476BB099" w:rsidR="003F0A43" w:rsidRDefault="003F0A43" w:rsidP="00617444">
      <w:pPr>
        <w:spacing w:line="259" w:lineRule="auto"/>
        <w:rPr>
          <w:rFonts w:ascii="Times New Roman" w:hAnsi="Times New Roman" w:cs="Times New Roman"/>
          <w:b/>
          <w:bCs/>
        </w:rPr>
      </w:pPr>
      <w:r w:rsidRPr="003F0A43">
        <w:rPr>
          <w:rFonts w:ascii="Times New Roman" w:hAnsi="Times New Roman" w:cs="Times New Roman"/>
          <w:b/>
          <w:bCs/>
        </w:rPr>
        <w:t xml:space="preserve">Measuring </w:t>
      </w:r>
      <w:r>
        <w:rPr>
          <w:rFonts w:ascii="Times New Roman" w:hAnsi="Times New Roman" w:cs="Times New Roman"/>
          <w:b/>
          <w:bCs/>
        </w:rPr>
        <w:t>t</w:t>
      </w:r>
      <w:r w:rsidRPr="003F0A43">
        <w:rPr>
          <w:rFonts w:ascii="Times New Roman" w:hAnsi="Times New Roman" w:cs="Times New Roman"/>
          <w:b/>
          <w:bCs/>
        </w:rPr>
        <w:t>he</w:t>
      </w:r>
      <w:r w:rsidR="00A75640">
        <w:rPr>
          <w:rFonts w:ascii="Times New Roman" w:hAnsi="Times New Roman" w:cs="Times New Roman"/>
          <w:b/>
          <w:bCs/>
        </w:rPr>
        <w:t xml:space="preserve"> </w:t>
      </w:r>
      <w:r w:rsidR="006B0A23">
        <w:rPr>
          <w:rFonts w:ascii="Times New Roman" w:hAnsi="Times New Roman" w:cs="Times New Roman"/>
          <w:b/>
          <w:bCs/>
        </w:rPr>
        <w:t>G</w:t>
      </w:r>
      <w:r w:rsidR="00A75640">
        <w:rPr>
          <w:rFonts w:ascii="Times New Roman" w:hAnsi="Times New Roman" w:cs="Times New Roman"/>
          <w:b/>
          <w:bCs/>
        </w:rPr>
        <w:t>lobal</w:t>
      </w:r>
      <w:r w:rsidRPr="003F0A43">
        <w:rPr>
          <w:rFonts w:ascii="Times New Roman" w:hAnsi="Times New Roman" w:cs="Times New Roman"/>
          <w:b/>
          <w:bCs/>
        </w:rPr>
        <w:t xml:space="preserve"> </w:t>
      </w:r>
      <w:r w:rsidR="006B0A23">
        <w:rPr>
          <w:rFonts w:ascii="Times New Roman" w:hAnsi="Times New Roman" w:cs="Times New Roman"/>
          <w:b/>
          <w:bCs/>
        </w:rPr>
        <w:t>E</w:t>
      </w:r>
      <w:r w:rsidRPr="003F0A43">
        <w:rPr>
          <w:rFonts w:ascii="Times New Roman" w:hAnsi="Times New Roman" w:cs="Times New Roman"/>
          <w:b/>
          <w:bCs/>
        </w:rPr>
        <w:t xml:space="preserve">nvironmental </w:t>
      </w:r>
      <w:r w:rsidR="006B0A23">
        <w:rPr>
          <w:rFonts w:ascii="Times New Roman" w:hAnsi="Times New Roman" w:cs="Times New Roman"/>
          <w:b/>
          <w:bCs/>
        </w:rPr>
        <w:t>I</w:t>
      </w:r>
      <w:r w:rsidRPr="003F0A43">
        <w:rPr>
          <w:rFonts w:ascii="Times New Roman" w:hAnsi="Times New Roman" w:cs="Times New Roman"/>
          <w:b/>
          <w:bCs/>
        </w:rPr>
        <w:t xml:space="preserve">mpacts of </w:t>
      </w:r>
      <w:r w:rsidR="006B0A23">
        <w:rPr>
          <w:rFonts w:ascii="Times New Roman" w:hAnsi="Times New Roman" w:cs="Times New Roman"/>
          <w:b/>
          <w:bCs/>
        </w:rPr>
        <w:t>C</w:t>
      </w:r>
      <w:r w:rsidRPr="003F0A43">
        <w:rPr>
          <w:rFonts w:ascii="Times New Roman" w:hAnsi="Times New Roman" w:cs="Times New Roman"/>
          <w:b/>
          <w:bCs/>
        </w:rPr>
        <w:t xml:space="preserve">onsumption: </w:t>
      </w:r>
      <w:r w:rsidR="00787383">
        <w:rPr>
          <w:rFonts w:ascii="Times New Roman" w:hAnsi="Times New Roman" w:cs="Times New Roman"/>
          <w:b/>
          <w:bCs/>
        </w:rPr>
        <w:t>a</w:t>
      </w:r>
      <w:r w:rsidRPr="003F0A43">
        <w:rPr>
          <w:rFonts w:ascii="Times New Roman" w:hAnsi="Times New Roman" w:cs="Times New Roman"/>
          <w:b/>
          <w:bCs/>
        </w:rPr>
        <w:t xml:space="preserve"> </w:t>
      </w:r>
      <w:r w:rsidR="00091D37">
        <w:rPr>
          <w:rFonts w:ascii="Times New Roman" w:hAnsi="Times New Roman" w:cs="Times New Roman"/>
          <w:b/>
          <w:bCs/>
        </w:rPr>
        <w:t>g</w:t>
      </w:r>
      <w:r w:rsidRPr="003F0A43">
        <w:rPr>
          <w:rFonts w:ascii="Times New Roman" w:hAnsi="Times New Roman" w:cs="Times New Roman"/>
          <w:b/>
          <w:bCs/>
        </w:rPr>
        <w:t xml:space="preserve">lobal </w:t>
      </w:r>
      <w:r w:rsidR="00091D37">
        <w:rPr>
          <w:rFonts w:ascii="Times New Roman" w:hAnsi="Times New Roman" w:cs="Times New Roman"/>
          <w:b/>
          <w:bCs/>
        </w:rPr>
        <w:t>i</w:t>
      </w:r>
      <w:r w:rsidRPr="003F0A43">
        <w:rPr>
          <w:rFonts w:ascii="Times New Roman" w:hAnsi="Times New Roman" w:cs="Times New Roman"/>
          <w:b/>
          <w:bCs/>
        </w:rPr>
        <w:t xml:space="preserve">ndicator </w:t>
      </w:r>
      <w:r>
        <w:rPr>
          <w:rFonts w:ascii="Times New Roman" w:hAnsi="Times New Roman" w:cs="Times New Roman"/>
          <w:b/>
          <w:bCs/>
        </w:rPr>
        <w:t>o</w:t>
      </w:r>
      <w:r w:rsidRPr="003F0A43">
        <w:rPr>
          <w:rFonts w:ascii="Times New Roman" w:hAnsi="Times New Roman" w:cs="Times New Roman"/>
          <w:b/>
          <w:bCs/>
        </w:rPr>
        <w:t xml:space="preserve">f </w:t>
      </w:r>
      <w:r>
        <w:rPr>
          <w:rFonts w:ascii="Times New Roman" w:hAnsi="Times New Roman" w:cs="Times New Roman"/>
          <w:b/>
          <w:bCs/>
        </w:rPr>
        <w:t>t</w:t>
      </w:r>
      <w:r w:rsidRPr="003F0A43">
        <w:rPr>
          <w:rFonts w:ascii="Times New Roman" w:hAnsi="Times New Roman" w:cs="Times New Roman"/>
          <w:b/>
          <w:bCs/>
        </w:rPr>
        <w:t xml:space="preserve">he </w:t>
      </w:r>
      <w:r w:rsidR="00091D37">
        <w:rPr>
          <w:rFonts w:ascii="Times New Roman" w:hAnsi="Times New Roman" w:cs="Times New Roman"/>
          <w:b/>
          <w:bCs/>
        </w:rPr>
        <w:t>b</w:t>
      </w:r>
      <w:r w:rsidRPr="003F0A43">
        <w:rPr>
          <w:rFonts w:ascii="Times New Roman" w:hAnsi="Times New Roman" w:cs="Times New Roman"/>
          <w:b/>
          <w:bCs/>
        </w:rPr>
        <w:t xml:space="preserve">iodiversity </w:t>
      </w:r>
      <w:r w:rsidR="00091D37">
        <w:rPr>
          <w:rFonts w:ascii="Times New Roman" w:hAnsi="Times New Roman" w:cs="Times New Roman"/>
          <w:b/>
          <w:bCs/>
        </w:rPr>
        <w:t>l</w:t>
      </w:r>
      <w:r w:rsidRPr="003F0A43">
        <w:rPr>
          <w:rFonts w:ascii="Times New Roman" w:hAnsi="Times New Roman" w:cs="Times New Roman"/>
          <w:b/>
          <w:bCs/>
        </w:rPr>
        <w:t>oss</w:t>
      </w:r>
      <w:r w:rsidR="008B1608">
        <w:rPr>
          <w:rFonts w:ascii="Times New Roman" w:hAnsi="Times New Roman" w:cs="Times New Roman"/>
          <w:b/>
          <w:bCs/>
        </w:rPr>
        <w:t>,</w:t>
      </w:r>
      <w:r w:rsidRPr="003F0A43">
        <w:rPr>
          <w:rFonts w:ascii="Times New Roman" w:hAnsi="Times New Roman" w:cs="Times New Roman"/>
          <w:b/>
          <w:bCs/>
        </w:rPr>
        <w:t xml:space="preserve"> </w:t>
      </w:r>
      <w:r w:rsidR="00091D37">
        <w:rPr>
          <w:rFonts w:ascii="Times New Roman" w:hAnsi="Times New Roman" w:cs="Times New Roman"/>
          <w:b/>
          <w:bCs/>
        </w:rPr>
        <w:t>s</w:t>
      </w:r>
      <w:r w:rsidRPr="003F0A43">
        <w:rPr>
          <w:rFonts w:ascii="Times New Roman" w:hAnsi="Times New Roman" w:cs="Times New Roman"/>
          <w:b/>
          <w:bCs/>
        </w:rPr>
        <w:t>carcity</w:t>
      </w:r>
      <w:r w:rsidR="00787383">
        <w:rPr>
          <w:rFonts w:ascii="Times New Roman" w:hAnsi="Times New Roman" w:cs="Times New Roman"/>
          <w:b/>
          <w:bCs/>
        </w:rPr>
        <w:t>-w</w:t>
      </w:r>
      <w:r w:rsidRPr="003F0A43">
        <w:rPr>
          <w:rFonts w:ascii="Times New Roman" w:hAnsi="Times New Roman" w:cs="Times New Roman"/>
          <w:b/>
          <w:bCs/>
        </w:rPr>
        <w:t xml:space="preserve">eighted </w:t>
      </w:r>
      <w:r w:rsidR="00091D37">
        <w:rPr>
          <w:rFonts w:ascii="Times New Roman" w:hAnsi="Times New Roman" w:cs="Times New Roman"/>
          <w:b/>
          <w:bCs/>
        </w:rPr>
        <w:t>w</w:t>
      </w:r>
      <w:r w:rsidRPr="003F0A43">
        <w:rPr>
          <w:rFonts w:ascii="Times New Roman" w:hAnsi="Times New Roman" w:cs="Times New Roman"/>
          <w:b/>
          <w:bCs/>
        </w:rPr>
        <w:t xml:space="preserve">ater </w:t>
      </w:r>
      <w:proofErr w:type="gramStart"/>
      <w:r w:rsidR="00091D37">
        <w:rPr>
          <w:rFonts w:ascii="Times New Roman" w:hAnsi="Times New Roman" w:cs="Times New Roman"/>
          <w:b/>
          <w:bCs/>
        </w:rPr>
        <w:t>u</w:t>
      </w:r>
      <w:r w:rsidRPr="003F0A43">
        <w:rPr>
          <w:rFonts w:ascii="Times New Roman" w:hAnsi="Times New Roman" w:cs="Times New Roman"/>
          <w:b/>
          <w:bCs/>
        </w:rPr>
        <w:t>se</w:t>
      </w:r>
      <w:proofErr w:type="gramEnd"/>
      <w:r w:rsidRPr="003F0A43">
        <w:rPr>
          <w:rFonts w:ascii="Times New Roman" w:hAnsi="Times New Roman" w:cs="Times New Roman"/>
          <w:b/>
          <w:bCs/>
        </w:rPr>
        <w:t xml:space="preserve"> </w:t>
      </w:r>
      <w:r w:rsidR="008B1608">
        <w:rPr>
          <w:rFonts w:ascii="Times New Roman" w:hAnsi="Times New Roman" w:cs="Times New Roman"/>
          <w:b/>
          <w:bCs/>
        </w:rPr>
        <w:t xml:space="preserve">and deforestation </w:t>
      </w:r>
      <w:r w:rsidR="00091D37">
        <w:rPr>
          <w:rFonts w:ascii="Times New Roman" w:hAnsi="Times New Roman" w:cs="Times New Roman"/>
          <w:b/>
          <w:bCs/>
        </w:rPr>
        <w:t>a</w:t>
      </w:r>
      <w:r w:rsidRPr="003F0A43">
        <w:rPr>
          <w:rFonts w:ascii="Times New Roman" w:hAnsi="Times New Roman" w:cs="Times New Roman"/>
          <w:b/>
          <w:bCs/>
        </w:rPr>
        <w:t xml:space="preserve">ssociated with </w:t>
      </w:r>
      <w:r>
        <w:rPr>
          <w:rFonts w:ascii="Times New Roman" w:hAnsi="Times New Roman" w:cs="Times New Roman"/>
          <w:b/>
          <w:bCs/>
        </w:rPr>
        <w:t xml:space="preserve">the </w:t>
      </w:r>
      <w:r w:rsidR="00091D37">
        <w:rPr>
          <w:rFonts w:ascii="Times New Roman" w:hAnsi="Times New Roman" w:cs="Times New Roman"/>
          <w:b/>
          <w:bCs/>
        </w:rPr>
        <w:t>c</w:t>
      </w:r>
      <w:r w:rsidRPr="003F0A43">
        <w:rPr>
          <w:rFonts w:ascii="Times New Roman" w:hAnsi="Times New Roman" w:cs="Times New Roman"/>
          <w:b/>
          <w:bCs/>
        </w:rPr>
        <w:t xml:space="preserve">onsumption of </w:t>
      </w:r>
      <w:r w:rsidR="00091D37">
        <w:rPr>
          <w:rFonts w:ascii="Times New Roman" w:hAnsi="Times New Roman" w:cs="Times New Roman"/>
          <w:b/>
          <w:bCs/>
        </w:rPr>
        <w:t>agricultural c</w:t>
      </w:r>
      <w:r w:rsidRPr="003F0A43">
        <w:rPr>
          <w:rFonts w:ascii="Times New Roman" w:hAnsi="Times New Roman" w:cs="Times New Roman"/>
          <w:b/>
          <w:bCs/>
        </w:rPr>
        <w:t>ommodities</w:t>
      </w:r>
    </w:p>
    <w:p w14:paraId="76531FF0" w14:textId="252C11DF" w:rsidR="00787383" w:rsidRDefault="00787383" w:rsidP="00617444">
      <w:pPr>
        <w:spacing w:line="259" w:lineRule="auto"/>
        <w:rPr>
          <w:rFonts w:ascii="Times New Roman" w:hAnsi="Times New Roman" w:cs="Times New Roman"/>
          <w:b/>
          <w:bCs/>
        </w:rPr>
      </w:pPr>
    </w:p>
    <w:p w14:paraId="26B64E30" w14:textId="4747EE87" w:rsidR="00787383" w:rsidRDefault="00A04FA3" w:rsidP="00617444">
      <w:pPr>
        <w:spacing w:line="259" w:lineRule="auto"/>
        <w:rPr>
          <w:rFonts w:ascii="Times New Roman" w:hAnsi="Times New Roman" w:cs="Times New Roman"/>
          <w:b/>
          <w:bCs/>
        </w:rPr>
      </w:pPr>
      <w:r>
        <w:t xml:space="preserve">UK </w:t>
      </w:r>
      <w:hyperlink r:id="rId12" w:history="1">
        <w:r w:rsidR="00787383" w:rsidRPr="00091D37">
          <w:rPr>
            <w:rStyle w:val="Hyperlink"/>
            <w:rFonts w:ascii="Times New Roman" w:hAnsi="Times New Roman" w:cs="Times New Roman"/>
            <w:b/>
            <w:bCs/>
          </w:rPr>
          <w:t>Joint Nature Conservation Committee</w:t>
        </w:r>
      </w:hyperlink>
      <w:r w:rsidR="00A52F7D">
        <w:rPr>
          <w:rStyle w:val="Hyperlink"/>
          <w:rFonts w:ascii="Times New Roman" w:hAnsi="Times New Roman" w:cs="Times New Roman"/>
          <w:b/>
          <w:bCs/>
        </w:rPr>
        <w:t xml:space="preserve"> (JNCC)</w:t>
      </w:r>
      <w:r w:rsidR="00787383">
        <w:rPr>
          <w:rFonts w:ascii="Times New Roman" w:hAnsi="Times New Roman" w:cs="Times New Roman"/>
          <w:b/>
          <w:bCs/>
        </w:rPr>
        <w:t xml:space="preserve"> &amp; </w:t>
      </w:r>
      <w:hyperlink r:id="rId13" w:history="1">
        <w:r w:rsidR="00787383" w:rsidRPr="00091D37">
          <w:rPr>
            <w:rStyle w:val="Hyperlink"/>
            <w:rFonts w:ascii="Times New Roman" w:hAnsi="Times New Roman" w:cs="Times New Roman"/>
            <w:b/>
            <w:bCs/>
          </w:rPr>
          <w:t>Stockholm Environment Institute</w:t>
        </w:r>
      </w:hyperlink>
      <w:r w:rsidR="00A52F7D">
        <w:rPr>
          <w:rStyle w:val="Hyperlink"/>
          <w:rFonts w:ascii="Times New Roman" w:hAnsi="Times New Roman" w:cs="Times New Roman"/>
          <w:b/>
          <w:bCs/>
        </w:rPr>
        <w:t xml:space="preserve"> (SEI)</w:t>
      </w:r>
    </w:p>
    <w:p w14:paraId="38DED125" w14:textId="77777777" w:rsidR="003F0A43" w:rsidRDefault="003F0A43" w:rsidP="00617444">
      <w:pPr>
        <w:spacing w:line="259" w:lineRule="auto"/>
        <w:rPr>
          <w:rFonts w:ascii="Times New Roman" w:hAnsi="Times New Roman" w:cs="Times New Roman"/>
          <w:b/>
          <w:bCs/>
        </w:rPr>
      </w:pPr>
    </w:p>
    <w:p w14:paraId="06BE46D1" w14:textId="39F2F647" w:rsidR="0051564C" w:rsidRPr="00A225AE" w:rsidRDefault="008510DB" w:rsidP="00617444">
      <w:pPr>
        <w:spacing w:line="259" w:lineRule="auto"/>
        <w:rPr>
          <w:rFonts w:ascii="Times New Roman" w:hAnsi="Times New Roman" w:cs="Times New Roman"/>
          <w:b/>
          <w:bCs/>
        </w:rPr>
      </w:pPr>
      <w:r w:rsidRPr="00A225AE">
        <w:rPr>
          <w:rFonts w:ascii="Times New Roman" w:hAnsi="Times New Roman" w:cs="Times New Roman"/>
          <w:b/>
          <w:bCs/>
        </w:rPr>
        <w:t>Indicator summary</w:t>
      </w:r>
    </w:p>
    <w:p w14:paraId="1A31E285" w14:textId="775B1D9F" w:rsidR="0051564C" w:rsidRDefault="00306E0B" w:rsidP="00617444">
      <w:pPr>
        <w:spacing w:line="259" w:lineRule="auto"/>
        <w:rPr>
          <w:rFonts w:ascii="Times New Roman" w:hAnsi="Times New Roman" w:cs="Times New Roman"/>
          <w:szCs w:val="22"/>
        </w:rPr>
      </w:pPr>
      <w:r w:rsidRPr="00A225AE">
        <w:rPr>
          <w:rFonts w:ascii="Times New Roman" w:hAnsi="Times New Roman" w:cs="Times New Roman"/>
        </w:rPr>
        <w:t xml:space="preserve">An indicator </w:t>
      </w:r>
      <w:r w:rsidR="00787383">
        <w:rPr>
          <w:rFonts w:ascii="Times New Roman" w:hAnsi="Times New Roman" w:cs="Times New Roman"/>
        </w:rPr>
        <w:t xml:space="preserve">is outlined that </w:t>
      </w:r>
      <w:r w:rsidRPr="00A225AE">
        <w:rPr>
          <w:rFonts w:ascii="Times New Roman" w:hAnsi="Times New Roman" w:cs="Times New Roman"/>
        </w:rPr>
        <w:t>estimat</w:t>
      </w:r>
      <w:r w:rsidR="00787383">
        <w:rPr>
          <w:rFonts w:ascii="Times New Roman" w:hAnsi="Times New Roman" w:cs="Times New Roman"/>
        </w:rPr>
        <w:t>es the</w:t>
      </w:r>
      <w:r w:rsidRPr="00A225AE">
        <w:rPr>
          <w:rFonts w:ascii="Times New Roman" w:hAnsi="Times New Roman" w:cs="Times New Roman"/>
        </w:rPr>
        <w:t xml:space="preserve"> total </w:t>
      </w:r>
      <w:r w:rsidR="00154851">
        <w:rPr>
          <w:rFonts w:ascii="Times New Roman" w:hAnsi="Times New Roman" w:cs="Times New Roman"/>
        </w:rPr>
        <w:t xml:space="preserve">environmental </w:t>
      </w:r>
      <w:r w:rsidR="008A4C47" w:rsidRPr="00A225AE">
        <w:rPr>
          <w:rFonts w:ascii="Times New Roman" w:hAnsi="Times New Roman" w:cs="Times New Roman"/>
        </w:rPr>
        <w:t>impact (</w:t>
      </w:r>
      <w:r w:rsidR="005E47D7">
        <w:rPr>
          <w:rFonts w:ascii="Times New Roman" w:hAnsi="Times New Roman" w:cs="Times New Roman"/>
        </w:rPr>
        <w:t xml:space="preserve">including </w:t>
      </w:r>
      <w:r w:rsidR="008A4C47" w:rsidRPr="00A225AE">
        <w:rPr>
          <w:rFonts w:ascii="Times New Roman" w:hAnsi="Times New Roman" w:cs="Times New Roman"/>
        </w:rPr>
        <w:t>biodiversity</w:t>
      </w:r>
      <w:r w:rsidR="002077F5" w:rsidRPr="00A225AE">
        <w:rPr>
          <w:rFonts w:ascii="Times New Roman" w:hAnsi="Times New Roman" w:cs="Times New Roman"/>
        </w:rPr>
        <w:t xml:space="preserve"> loss</w:t>
      </w:r>
      <w:r w:rsidR="008B1608">
        <w:rPr>
          <w:rFonts w:ascii="Times New Roman" w:hAnsi="Times New Roman" w:cs="Times New Roman"/>
        </w:rPr>
        <w:t>,</w:t>
      </w:r>
      <w:r w:rsidR="005E47D7">
        <w:rPr>
          <w:rFonts w:ascii="Times New Roman" w:hAnsi="Times New Roman" w:cs="Times New Roman"/>
        </w:rPr>
        <w:t xml:space="preserve"> scarcity-weighted water </w:t>
      </w:r>
      <w:proofErr w:type="gramStart"/>
      <w:r w:rsidR="005E47D7">
        <w:rPr>
          <w:rFonts w:ascii="Times New Roman" w:hAnsi="Times New Roman" w:cs="Times New Roman"/>
        </w:rPr>
        <w:t>use</w:t>
      </w:r>
      <w:proofErr w:type="gramEnd"/>
      <w:r w:rsidR="008B1608">
        <w:rPr>
          <w:rFonts w:ascii="Times New Roman" w:hAnsi="Times New Roman" w:cs="Times New Roman"/>
        </w:rPr>
        <w:t xml:space="preserve"> and deforestation</w:t>
      </w:r>
      <w:r w:rsidR="008A4C47" w:rsidRPr="00A225AE">
        <w:rPr>
          <w:rFonts w:ascii="Times New Roman" w:hAnsi="Times New Roman" w:cs="Times New Roman"/>
        </w:rPr>
        <w:t>) caused by countr</w:t>
      </w:r>
      <w:r w:rsidR="007A61A2" w:rsidRPr="00A225AE">
        <w:rPr>
          <w:rFonts w:ascii="Times New Roman" w:hAnsi="Times New Roman" w:cs="Times New Roman"/>
        </w:rPr>
        <w:t>ies’</w:t>
      </w:r>
      <w:r w:rsidR="008A4C47" w:rsidRPr="00A225AE">
        <w:rPr>
          <w:rFonts w:ascii="Times New Roman" w:hAnsi="Times New Roman" w:cs="Times New Roman"/>
        </w:rPr>
        <w:t xml:space="preserve"> </w:t>
      </w:r>
      <w:r w:rsidR="007F4AFE">
        <w:rPr>
          <w:rFonts w:ascii="Times New Roman" w:hAnsi="Times New Roman" w:cs="Times New Roman"/>
        </w:rPr>
        <w:t xml:space="preserve">or territories’ </w:t>
      </w:r>
      <w:r w:rsidR="008A4C47" w:rsidRPr="00A225AE">
        <w:rPr>
          <w:rFonts w:ascii="Times New Roman" w:hAnsi="Times New Roman" w:cs="Times New Roman"/>
        </w:rPr>
        <w:t>consumption of commodities. Results can</w:t>
      </w:r>
      <w:r w:rsidR="00730DB4" w:rsidRPr="00A225AE">
        <w:rPr>
          <w:rFonts w:ascii="Times New Roman" w:hAnsi="Times New Roman" w:cs="Times New Roman"/>
        </w:rPr>
        <w:t xml:space="preserve"> also</w:t>
      </w:r>
      <w:r w:rsidR="008A4C47" w:rsidRPr="00A225AE">
        <w:rPr>
          <w:rFonts w:ascii="Times New Roman" w:hAnsi="Times New Roman" w:cs="Times New Roman"/>
        </w:rPr>
        <w:t xml:space="preserve"> be broken down by </w:t>
      </w:r>
      <w:r w:rsidR="007A61A2" w:rsidRPr="00A225AE">
        <w:rPr>
          <w:rFonts w:ascii="Times New Roman" w:hAnsi="Times New Roman" w:cs="Times New Roman"/>
        </w:rPr>
        <w:t xml:space="preserve">the </w:t>
      </w:r>
      <w:r w:rsidR="008A4C47" w:rsidRPr="00A225AE">
        <w:rPr>
          <w:rFonts w:ascii="Times New Roman" w:hAnsi="Times New Roman" w:cs="Times New Roman"/>
        </w:rPr>
        <w:t>producer countr</w:t>
      </w:r>
      <w:r w:rsidR="007A61A2" w:rsidRPr="00A225AE">
        <w:rPr>
          <w:rFonts w:ascii="Times New Roman" w:hAnsi="Times New Roman" w:cs="Times New Roman"/>
        </w:rPr>
        <w:t>ies</w:t>
      </w:r>
      <w:r w:rsidR="007F4AFE">
        <w:rPr>
          <w:rFonts w:ascii="Times New Roman" w:hAnsi="Times New Roman" w:cs="Times New Roman"/>
        </w:rPr>
        <w:t>/territories</w:t>
      </w:r>
      <w:r w:rsidR="008A4C47" w:rsidRPr="00A225AE">
        <w:rPr>
          <w:rFonts w:ascii="Times New Roman" w:hAnsi="Times New Roman" w:cs="Times New Roman"/>
        </w:rPr>
        <w:t xml:space="preserve"> in which the impact is taking place and by </w:t>
      </w:r>
      <w:r w:rsidR="007A61A2" w:rsidRPr="00A225AE">
        <w:rPr>
          <w:rFonts w:ascii="Times New Roman" w:hAnsi="Times New Roman" w:cs="Times New Roman"/>
        </w:rPr>
        <w:t xml:space="preserve">the </w:t>
      </w:r>
      <w:r w:rsidR="008A4C47" w:rsidRPr="005C1FD3">
        <w:rPr>
          <w:rFonts w:ascii="Times New Roman" w:hAnsi="Times New Roman" w:cs="Times New Roman"/>
          <w:szCs w:val="22"/>
        </w:rPr>
        <w:t>commodit</w:t>
      </w:r>
      <w:r w:rsidR="007A61A2" w:rsidRPr="005C1FD3">
        <w:rPr>
          <w:rFonts w:ascii="Times New Roman" w:hAnsi="Times New Roman" w:cs="Times New Roman"/>
          <w:szCs w:val="22"/>
        </w:rPr>
        <w:t>ies</w:t>
      </w:r>
      <w:r w:rsidR="008A4C47" w:rsidRPr="005C1FD3">
        <w:rPr>
          <w:rFonts w:ascii="Times New Roman" w:hAnsi="Times New Roman" w:cs="Times New Roman"/>
          <w:szCs w:val="22"/>
        </w:rPr>
        <w:t xml:space="preserve"> </w:t>
      </w:r>
      <w:r w:rsidR="00F94BF0">
        <w:rPr>
          <w:rFonts w:ascii="Times New Roman" w:hAnsi="Times New Roman" w:cs="Times New Roman"/>
          <w:szCs w:val="22"/>
        </w:rPr>
        <w:t>driving any</w:t>
      </w:r>
      <w:r w:rsidR="008A4C47" w:rsidRPr="005C1FD3">
        <w:rPr>
          <w:rFonts w:ascii="Times New Roman" w:hAnsi="Times New Roman" w:cs="Times New Roman"/>
          <w:szCs w:val="22"/>
        </w:rPr>
        <w:t xml:space="preserve"> impact.</w:t>
      </w:r>
      <w:r w:rsidR="00A52F7D">
        <w:rPr>
          <w:rFonts w:ascii="Times New Roman" w:hAnsi="Times New Roman" w:cs="Times New Roman"/>
          <w:szCs w:val="22"/>
        </w:rPr>
        <w:t xml:space="preserve"> The indicator is being developed by JNCC and SEI under contract to Defra, with additional support from </w:t>
      </w:r>
      <w:proofErr w:type="spellStart"/>
      <w:r w:rsidR="00A52F7D">
        <w:rPr>
          <w:rFonts w:ascii="Times New Roman" w:hAnsi="Times New Roman" w:cs="Times New Roman"/>
          <w:szCs w:val="22"/>
        </w:rPr>
        <w:t>Trase</w:t>
      </w:r>
      <w:proofErr w:type="spellEnd"/>
      <w:r w:rsidR="00A52F7D">
        <w:rPr>
          <w:rFonts w:ascii="Times New Roman" w:hAnsi="Times New Roman" w:cs="Times New Roman"/>
          <w:szCs w:val="22"/>
        </w:rPr>
        <w:t xml:space="preserve"> and the Global </w:t>
      </w:r>
      <w:r w:rsidR="005E3147">
        <w:rPr>
          <w:rFonts w:ascii="Times New Roman" w:hAnsi="Times New Roman" w:cs="Times New Roman"/>
          <w:szCs w:val="22"/>
        </w:rPr>
        <w:t xml:space="preserve">UKRI </w:t>
      </w:r>
      <w:r w:rsidR="00A52F7D">
        <w:rPr>
          <w:rFonts w:ascii="Times New Roman" w:hAnsi="Times New Roman" w:cs="Times New Roman"/>
          <w:szCs w:val="22"/>
        </w:rPr>
        <w:t>Challenge</w:t>
      </w:r>
      <w:r w:rsidR="005E3147">
        <w:rPr>
          <w:rFonts w:ascii="Times New Roman" w:hAnsi="Times New Roman" w:cs="Times New Roman"/>
          <w:szCs w:val="22"/>
        </w:rPr>
        <w:t>s</w:t>
      </w:r>
      <w:r w:rsidR="00A52F7D">
        <w:rPr>
          <w:rFonts w:ascii="Times New Roman" w:hAnsi="Times New Roman" w:cs="Times New Roman"/>
          <w:szCs w:val="22"/>
        </w:rPr>
        <w:t xml:space="preserve"> Research Fund Trade and the Environment Hub.</w:t>
      </w:r>
    </w:p>
    <w:p w14:paraId="75793215" w14:textId="77777777" w:rsidR="008E2234" w:rsidRDefault="008E2234" w:rsidP="008E2234">
      <w:pPr>
        <w:spacing w:line="259" w:lineRule="auto"/>
        <w:rPr>
          <w:rFonts w:ascii="Times New Roman" w:hAnsi="Times New Roman" w:cs="Times New Roman"/>
          <w:highlight w:val="yellow"/>
        </w:rPr>
      </w:pPr>
    </w:p>
    <w:p w14:paraId="4F8A8C58" w14:textId="1CCF338E" w:rsidR="008E2234" w:rsidRPr="006B0A23" w:rsidRDefault="008E2234" w:rsidP="008E2234">
      <w:pPr>
        <w:spacing w:line="259" w:lineRule="auto"/>
        <w:rPr>
          <w:rFonts w:ascii="Times New Roman" w:hAnsi="Times New Roman" w:cs="Times New Roman"/>
          <w:b/>
          <w:bCs/>
        </w:rPr>
      </w:pPr>
      <w:r w:rsidRPr="006B0A23">
        <w:rPr>
          <w:rFonts w:ascii="Times New Roman" w:hAnsi="Times New Roman" w:cs="Times New Roman"/>
          <w:b/>
          <w:bCs/>
        </w:rPr>
        <w:t xml:space="preserve">Key </w:t>
      </w:r>
      <w:r w:rsidR="00A52F7D">
        <w:rPr>
          <w:rFonts w:ascii="Times New Roman" w:hAnsi="Times New Roman" w:cs="Times New Roman"/>
          <w:b/>
          <w:bCs/>
        </w:rPr>
        <w:t>element</w:t>
      </w:r>
      <w:r w:rsidR="00A52F7D" w:rsidRPr="006B0A23">
        <w:rPr>
          <w:rFonts w:ascii="Times New Roman" w:hAnsi="Times New Roman" w:cs="Times New Roman"/>
          <w:b/>
          <w:bCs/>
        </w:rPr>
        <w:t>s</w:t>
      </w:r>
      <w:r w:rsidRPr="006B0A23">
        <w:rPr>
          <w:rFonts w:ascii="Times New Roman" w:hAnsi="Times New Roman" w:cs="Times New Roman"/>
          <w:b/>
          <w:bCs/>
        </w:rPr>
        <w:t xml:space="preserve"> of the Global Environmental Impacts of Consumption</w:t>
      </w:r>
      <w:r w:rsidR="00C85AFE">
        <w:rPr>
          <w:rFonts w:ascii="Times New Roman" w:hAnsi="Times New Roman" w:cs="Times New Roman"/>
          <w:b/>
          <w:bCs/>
        </w:rPr>
        <w:t xml:space="preserve"> Indicator </w:t>
      </w:r>
    </w:p>
    <w:p w14:paraId="0226875C" w14:textId="30C3099F" w:rsidR="008E2234" w:rsidRPr="006B0A23" w:rsidRDefault="008E2234" w:rsidP="008E2234">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 xml:space="preserve">Links </w:t>
      </w:r>
      <w:r w:rsidR="00B86FF2" w:rsidRPr="006B0A23">
        <w:rPr>
          <w:rFonts w:ascii="Times New Roman" w:hAnsi="Times New Roman" w:cs="Times New Roman"/>
        </w:rPr>
        <w:t xml:space="preserve">consumption to environmental </w:t>
      </w:r>
      <w:r w:rsidRPr="006B0A23">
        <w:rPr>
          <w:rFonts w:ascii="Times New Roman" w:hAnsi="Times New Roman" w:cs="Times New Roman"/>
        </w:rPr>
        <w:t xml:space="preserve">impacts </w:t>
      </w:r>
      <w:r w:rsidR="00724D24" w:rsidRPr="006B0A23">
        <w:rPr>
          <w:rFonts w:ascii="Times New Roman" w:hAnsi="Times New Roman" w:cs="Times New Roman"/>
        </w:rPr>
        <w:t>using</w:t>
      </w:r>
      <w:r w:rsidRPr="006B0A23">
        <w:rPr>
          <w:rFonts w:ascii="Times New Roman" w:hAnsi="Times New Roman" w:cs="Times New Roman"/>
        </w:rPr>
        <w:t xml:space="preserve"> </w:t>
      </w:r>
      <w:r w:rsidR="00724D24" w:rsidRPr="006B0A23">
        <w:rPr>
          <w:rFonts w:ascii="Times New Roman" w:hAnsi="Times New Roman" w:cs="Times New Roman"/>
        </w:rPr>
        <w:t xml:space="preserve">modelled global </w:t>
      </w:r>
      <w:r w:rsidRPr="006B0A23">
        <w:rPr>
          <w:rFonts w:ascii="Times New Roman" w:hAnsi="Times New Roman" w:cs="Times New Roman"/>
        </w:rPr>
        <w:t xml:space="preserve">trade </w:t>
      </w:r>
      <w:r w:rsidR="00724D24" w:rsidRPr="006B0A23">
        <w:rPr>
          <w:rFonts w:ascii="Times New Roman" w:hAnsi="Times New Roman" w:cs="Times New Roman"/>
        </w:rPr>
        <w:t>flows</w:t>
      </w:r>
    </w:p>
    <w:p w14:paraId="55832F27" w14:textId="0586AE6C" w:rsidR="008129A1" w:rsidRPr="006B0A23" w:rsidRDefault="008129A1" w:rsidP="008129A1">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Commodity specific (</w:t>
      </w:r>
      <w:r w:rsidR="008D4F6E" w:rsidRPr="006B0A23">
        <w:rPr>
          <w:rFonts w:ascii="Times New Roman" w:hAnsi="Times New Roman" w:cs="Times New Roman"/>
        </w:rPr>
        <w:t>impacts for a given consumer country/territory can be broken down by how much each commodity contributes the total)</w:t>
      </w:r>
    </w:p>
    <w:p w14:paraId="2A5FC07D" w14:textId="186E57F1" w:rsidR="008129A1" w:rsidRPr="006B0A23" w:rsidRDefault="008E2234" w:rsidP="008129A1">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 xml:space="preserve">Spatially explicit </w:t>
      </w:r>
      <w:r w:rsidR="008129A1" w:rsidRPr="006B0A23">
        <w:rPr>
          <w:rFonts w:ascii="Times New Roman" w:hAnsi="Times New Roman" w:cs="Times New Roman"/>
        </w:rPr>
        <w:t>(</w:t>
      </w:r>
      <w:r w:rsidR="008D4F6E" w:rsidRPr="006B0A23">
        <w:rPr>
          <w:rFonts w:ascii="Times New Roman" w:hAnsi="Times New Roman" w:cs="Times New Roman"/>
        </w:rPr>
        <w:t>impacts for a given consumer country/territory can be broken down by how much each producer country/territory contributes to the total)</w:t>
      </w:r>
    </w:p>
    <w:p w14:paraId="5C30740B" w14:textId="2FD66838" w:rsidR="008D4F6E" w:rsidRPr="006B0A23" w:rsidRDefault="008D4F6E" w:rsidP="008129A1">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 xml:space="preserve">Goes beyond </w:t>
      </w:r>
      <w:r w:rsidRPr="006B0A23">
        <w:rPr>
          <w:rFonts w:ascii="Times New Roman" w:hAnsi="Times New Roman" w:cs="Times New Roman"/>
          <w:i/>
          <w:iCs/>
        </w:rPr>
        <w:t>pressures</w:t>
      </w:r>
      <w:r w:rsidRPr="006B0A23">
        <w:rPr>
          <w:rFonts w:ascii="Times New Roman" w:hAnsi="Times New Roman" w:cs="Times New Roman"/>
        </w:rPr>
        <w:t xml:space="preserve"> (e.g., tonnes of </w:t>
      </w:r>
      <w:r w:rsidR="00BE3B1C" w:rsidRPr="006B0A23">
        <w:rPr>
          <w:rFonts w:ascii="Times New Roman" w:hAnsi="Times New Roman" w:cs="Times New Roman"/>
        </w:rPr>
        <w:t>material,</w:t>
      </w:r>
      <w:r w:rsidRPr="006B0A23">
        <w:rPr>
          <w:rFonts w:ascii="Times New Roman" w:hAnsi="Times New Roman" w:cs="Times New Roman"/>
        </w:rPr>
        <w:t xml:space="preserve"> hectares of land use) to </w:t>
      </w:r>
      <w:r w:rsidR="00BE3B1C" w:rsidRPr="006B0A23">
        <w:rPr>
          <w:rFonts w:ascii="Times New Roman" w:hAnsi="Times New Roman" w:cs="Times New Roman"/>
        </w:rPr>
        <w:t xml:space="preserve">also </w:t>
      </w:r>
      <w:r w:rsidRPr="006B0A23">
        <w:rPr>
          <w:rFonts w:ascii="Times New Roman" w:hAnsi="Times New Roman" w:cs="Times New Roman"/>
        </w:rPr>
        <w:t>estimate</w:t>
      </w:r>
      <w:r w:rsidR="00BE3B1C" w:rsidRPr="006B0A23">
        <w:rPr>
          <w:rFonts w:ascii="Times New Roman" w:hAnsi="Times New Roman" w:cs="Times New Roman"/>
        </w:rPr>
        <w:t xml:space="preserve"> associated</w:t>
      </w:r>
      <w:r w:rsidRPr="006B0A23">
        <w:rPr>
          <w:rFonts w:ascii="Times New Roman" w:hAnsi="Times New Roman" w:cs="Times New Roman"/>
        </w:rPr>
        <w:t xml:space="preserve"> </w:t>
      </w:r>
      <w:r w:rsidRPr="006B0A23">
        <w:rPr>
          <w:rFonts w:ascii="Times New Roman" w:hAnsi="Times New Roman" w:cs="Times New Roman"/>
          <w:i/>
          <w:iCs/>
        </w:rPr>
        <w:t xml:space="preserve">impacts </w:t>
      </w:r>
      <w:r w:rsidRPr="006B0A23">
        <w:rPr>
          <w:rFonts w:ascii="Times New Roman" w:hAnsi="Times New Roman" w:cs="Times New Roman"/>
        </w:rPr>
        <w:t>(e.g., hectares of tropical/subtropical deforestation, predicted species loss, scarcity weighted water use)</w:t>
      </w:r>
    </w:p>
    <w:p w14:paraId="687FAA2C" w14:textId="77777777" w:rsidR="008E2234" w:rsidRPr="006B0A23" w:rsidRDefault="008E2234" w:rsidP="008E2234">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Useful for directing action</w:t>
      </w:r>
    </w:p>
    <w:p w14:paraId="14535BCC" w14:textId="77777777" w:rsidR="00A52F7D" w:rsidRPr="006B0A23" w:rsidRDefault="00A52F7D" w:rsidP="00A52F7D">
      <w:pPr>
        <w:pStyle w:val="ListParagraph"/>
        <w:numPr>
          <w:ilvl w:val="0"/>
          <w:numId w:val="31"/>
        </w:numPr>
        <w:spacing w:line="259" w:lineRule="auto"/>
        <w:rPr>
          <w:rFonts w:ascii="Times New Roman" w:hAnsi="Times New Roman" w:cs="Times New Roman"/>
        </w:rPr>
      </w:pPr>
      <w:r w:rsidRPr="006B0A23">
        <w:rPr>
          <w:rFonts w:ascii="Times New Roman" w:hAnsi="Times New Roman" w:cs="Times New Roman"/>
        </w:rPr>
        <w:t>Free, practical, and easy-to-use interactive dashboard</w:t>
      </w:r>
    </w:p>
    <w:p w14:paraId="7078567B" w14:textId="77777777" w:rsidR="00306E0B" w:rsidRPr="005C1FD3" w:rsidRDefault="00306E0B" w:rsidP="00617444">
      <w:pPr>
        <w:spacing w:line="259" w:lineRule="auto"/>
        <w:rPr>
          <w:rFonts w:ascii="Times New Roman" w:hAnsi="Times New Roman" w:cs="Times New Roman"/>
          <w:szCs w:val="22"/>
        </w:rPr>
      </w:pPr>
    </w:p>
    <w:p w14:paraId="33782782" w14:textId="7D42BEF2" w:rsidR="008510DB" w:rsidRPr="00A225AE" w:rsidRDefault="00AF508D" w:rsidP="00617444">
      <w:pPr>
        <w:spacing w:line="259" w:lineRule="auto"/>
        <w:rPr>
          <w:rFonts w:ascii="Times New Roman" w:hAnsi="Times New Roman" w:cs="Times New Roman"/>
          <w:b/>
          <w:bCs/>
        </w:rPr>
      </w:pPr>
      <w:r w:rsidRPr="00A225AE">
        <w:rPr>
          <w:rFonts w:ascii="Times New Roman" w:hAnsi="Times New Roman" w:cs="Times New Roman"/>
          <w:b/>
          <w:bCs/>
        </w:rPr>
        <w:t>Key links</w:t>
      </w:r>
    </w:p>
    <w:p w14:paraId="7890CE21" w14:textId="1F37708E" w:rsidR="00A6342A" w:rsidRDefault="008510DB" w:rsidP="00617444">
      <w:pPr>
        <w:spacing w:line="259" w:lineRule="auto"/>
        <w:rPr>
          <w:rFonts w:ascii="Times New Roman" w:hAnsi="Times New Roman" w:cs="Times New Roman"/>
        </w:rPr>
      </w:pPr>
      <w:r w:rsidRPr="00A225AE">
        <w:rPr>
          <w:rFonts w:ascii="Times New Roman" w:hAnsi="Times New Roman" w:cs="Times New Roman"/>
        </w:rPr>
        <w:t xml:space="preserve">Data can be </w:t>
      </w:r>
      <w:r w:rsidR="00A6342A" w:rsidRPr="00A225AE">
        <w:rPr>
          <w:rFonts w:ascii="Times New Roman" w:hAnsi="Times New Roman" w:cs="Times New Roman"/>
        </w:rPr>
        <w:t xml:space="preserve">downloaded and viewed through an interactive dashboard at: </w:t>
      </w:r>
      <w:hyperlink r:id="rId14" w:history="1">
        <w:r w:rsidR="00A6342A" w:rsidRPr="00A225AE">
          <w:rPr>
            <w:rStyle w:val="Hyperlink"/>
            <w:rFonts w:ascii="Times New Roman" w:hAnsi="Times New Roman" w:cs="Times New Roman"/>
          </w:rPr>
          <w:t>https://commodityfootprints.earth/</w:t>
        </w:r>
      </w:hyperlink>
      <w:r w:rsidR="00A6342A" w:rsidRPr="00A225AE">
        <w:rPr>
          <w:rFonts w:ascii="Times New Roman" w:hAnsi="Times New Roman" w:cs="Times New Roman"/>
        </w:rPr>
        <w:t xml:space="preserve">. Technical documentation detailing the methods behind the production of the data can be found at: </w:t>
      </w:r>
      <w:hyperlink r:id="rId15" w:history="1">
        <w:r w:rsidR="00A6342A" w:rsidRPr="00A225AE">
          <w:rPr>
            <w:rStyle w:val="Hyperlink"/>
            <w:rFonts w:ascii="Times New Roman" w:hAnsi="Times New Roman" w:cs="Times New Roman"/>
          </w:rPr>
          <w:t>https://hub.jncc.gov.uk/assets/91efc19d-f675-426f-9333-ed0195cc729d</w:t>
        </w:r>
      </w:hyperlink>
      <w:r w:rsidR="00A6342A" w:rsidRPr="00A225AE">
        <w:rPr>
          <w:rFonts w:ascii="Times New Roman" w:hAnsi="Times New Roman" w:cs="Times New Roman"/>
        </w:rPr>
        <w:t>.</w:t>
      </w:r>
    </w:p>
    <w:p w14:paraId="4C7C207C" w14:textId="77777777" w:rsidR="00A34982" w:rsidRDefault="00A34982" w:rsidP="00617444">
      <w:pPr>
        <w:spacing w:line="259" w:lineRule="auto"/>
        <w:rPr>
          <w:rFonts w:ascii="Times New Roman" w:hAnsi="Times New Roman" w:cs="Times New Roman"/>
        </w:rPr>
      </w:pPr>
    </w:p>
    <w:p w14:paraId="32EB9627" w14:textId="5B41371A" w:rsidR="00A34982" w:rsidRPr="00A225AE" w:rsidRDefault="00A34982" w:rsidP="00617444">
      <w:pPr>
        <w:spacing w:line="259" w:lineRule="auto"/>
        <w:rPr>
          <w:rFonts w:ascii="Times New Roman" w:hAnsi="Times New Roman" w:cs="Times New Roman"/>
        </w:rPr>
      </w:pPr>
      <w:r>
        <w:rPr>
          <w:rFonts w:ascii="Times New Roman" w:hAnsi="Times New Roman" w:cs="Times New Roman"/>
        </w:rPr>
        <w:t xml:space="preserve">Metadata </w:t>
      </w:r>
      <w:r w:rsidR="00787383">
        <w:rPr>
          <w:rFonts w:ascii="Times New Roman" w:hAnsi="Times New Roman" w:cs="Times New Roman"/>
        </w:rPr>
        <w:t>are</w:t>
      </w:r>
      <w:r>
        <w:rPr>
          <w:rFonts w:ascii="Times New Roman" w:hAnsi="Times New Roman" w:cs="Times New Roman"/>
        </w:rPr>
        <w:t xml:space="preserve"> provided in Annex 1.</w:t>
      </w:r>
    </w:p>
    <w:p w14:paraId="002CB443" w14:textId="77777777" w:rsidR="008510DB" w:rsidRPr="00A225AE" w:rsidRDefault="008510DB" w:rsidP="00617444">
      <w:pPr>
        <w:spacing w:line="259" w:lineRule="auto"/>
        <w:rPr>
          <w:rFonts w:ascii="Times New Roman" w:hAnsi="Times New Roman" w:cs="Times New Roman"/>
          <w:b/>
          <w:bCs/>
        </w:rPr>
      </w:pPr>
    </w:p>
    <w:p w14:paraId="2526BA65" w14:textId="6FEBCBF7" w:rsidR="008510DB" w:rsidRPr="00A225AE" w:rsidRDefault="008510DB" w:rsidP="00617444">
      <w:pPr>
        <w:spacing w:line="259" w:lineRule="auto"/>
        <w:rPr>
          <w:rFonts w:ascii="Times New Roman" w:hAnsi="Times New Roman" w:cs="Times New Roman"/>
          <w:b/>
          <w:bCs/>
        </w:rPr>
      </w:pPr>
      <w:r w:rsidRPr="00A225AE">
        <w:rPr>
          <w:rFonts w:ascii="Times New Roman" w:hAnsi="Times New Roman" w:cs="Times New Roman"/>
          <w:b/>
          <w:bCs/>
        </w:rPr>
        <w:t xml:space="preserve">Relevance to the </w:t>
      </w:r>
      <w:r w:rsidR="00154851" w:rsidRPr="00A225AE">
        <w:rPr>
          <w:rFonts w:ascii="Times New Roman" w:hAnsi="Times New Roman" w:cs="Times New Roman"/>
          <w:b/>
          <w:bCs/>
        </w:rPr>
        <w:t>C</w:t>
      </w:r>
      <w:r w:rsidR="00154851">
        <w:rPr>
          <w:rFonts w:ascii="Times New Roman" w:hAnsi="Times New Roman" w:cs="Times New Roman"/>
          <w:b/>
          <w:bCs/>
        </w:rPr>
        <w:t>onvention on Biological Diversity (CBD)</w:t>
      </w:r>
    </w:p>
    <w:p w14:paraId="2DDBA10E" w14:textId="6DBD2674" w:rsidR="00946068" w:rsidRPr="006B0A23" w:rsidRDefault="00946068" w:rsidP="00617444">
      <w:pPr>
        <w:spacing w:line="259" w:lineRule="auto"/>
        <w:rPr>
          <w:rFonts w:ascii="Times New Roman" w:hAnsi="Times New Roman" w:cs="Times New Roman"/>
        </w:rPr>
      </w:pPr>
      <w:r w:rsidRPr="00A225AE">
        <w:rPr>
          <w:rFonts w:ascii="Times New Roman" w:hAnsi="Times New Roman" w:cs="Times New Roman"/>
        </w:rPr>
        <w:t>Unsustainable overconsumption of food and other materials is linked to significant production-related environmental impacts, such as deforestation, land use</w:t>
      </w:r>
      <w:r w:rsidR="00F94BF0">
        <w:rPr>
          <w:rFonts w:ascii="Times New Roman" w:hAnsi="Times New Roman" w:cs="Times New Roman"/>
        </w:rPr>
        <w:t xml:space="preserve"> change</w:t>
      </w:r>
      <w:r w:rsidRPr="00A225AE">
        <w:rPr>
          <w:rFonts w:ascii="Times New Roman" w:hAnsi="Times New Roman" w:cs="Times New Roman"/>
        </w:rPr>
        <w:t xml:space="preserve">, biodiversity loss and water stress. Consumers are often far removed from these impacts, at the other end of supply chains which may span many different countries. This makes it difficult for individuals, </w:t>
      </w:r>
      <w:r w:rsidR="00F94BF0">
        <w:rPr>
          <w:rFonts w:ascii="Times New Roman" w:hAnsi="Times New Roman" w:cs="Times New Roman"/>
        </w:rPr>
        <w:t>businesses</w:t>
      </w:r>
      <w:r w:rsidRPr="00A225AE">
        <w:rPr>
          <w:rFonts w:ascii="Times New Roman" w:hAnsi="Times New Roman" w:cs="Times New Roman"/>
        </w:rPr>
        <w:t xml:space="preserve">, </w:t>
      </w:r>
      <w:r w:rsidR="00A04FA3">
        <w:rPr>
          <w:rFonts w:ascii="Times New Roman" w:hAnsi="Times New Roman" w:cs="Times New Roman"/>
        </w:rPr>
        <w:t>g</w:t>
      </w:r>
      <w:r w:rsidRPr="00A225AE">
        <w:rPr>
          <w:rFonts w:ascii="Times New Roman" w:hAnsi="Times New Roman" w:cs="Times New Roman"/>
        </w:rPr>
        <w:t xml:space="preserve">overnments and other actors to make responsible choices and </w:t>
      </w:r>
      <w:r w:rsidR="00DA366C">
        <w:rPr>
          <w:rFonts w:ascii="Times New Roman" w:hAnsi="Times New Roman" w:cs="Times New Roman"/>
        </w:rPr>
        <w:t xml:space="preserve">to </w:t>
      </w:r>
      <w:r w:rsidRPr="00A225AE">
        <w:rPr>
          <w:rFonts w:ascii="Times New Roman" w:hAnsi="Times New Roman" w:cs="Times New Roman"/>
        </w:rPr>
        <w:t xml:space="preserve">have access to relevant information about the environmental impacts of their consumption. By providing information on the </w:t>
      </w:r>
      <w:r w:rsidR="00A04FA3">
        <w:rPr>
          <w:rFonts w:ascii="Times New Roman" w:hAnsi="Times New Roman" w:cs="Times New Roman"/>
        </w:rPr>
        <w:t>g</w:t>
      </w:r>
      <w:r w:rsidR="006B0A23" w:rsidRPr="00A225AE">
        <w:rPr>
          <w:rFonts w:ascii="Times New Roman" w:hAnsi="Times New Roman" w:cs="Times New Roman"/>
        </w:rPr>
        <w:t xml:space="preserve">lobal </w:t>
      </w:r>
      <w:r w:rsidR="00A04FA3">
        <w:rPr>
          <w:rFonts w:ascii="Times New Roman" w:hAnsi="Times New Roman" w:cs="Times New Roman"/>
        </w:rPr>
        <w:t>e</w:t>
      </w:r>
      <w:r w:rsidR="006B0A23" w:rsidRPr="00A225AE">
        <w:rPr>
          <w:rFonts w:ascii="Times New Roman" w:hAnsi="Times New Roman" w:cs="Times New Roman"/>
        </w:rPr>
        <w:t xml:space="preserve">nvironmental </w:t>
      </w:r>
      <w:r w:rsidR="00A04FA3">
        <w:rPr>
          <w:rFonts w:ascii="Times New Roman" w:hAnsi="Times New Roman" w:cs="Times New Roman"/>
        </w:rPr>
        <w:t>i</w:t>
      </w:r>
      <w:r w:rsidR="006B0A23" w:rsidRPr="00A225AE">
        <w:rPr>
          <w:rFonts w:ascii="Times New Roman" w:hAnsi="Times New Roman" w:cs="Times New Roman"/>
        </w:rPr>
        <w:t xml:space="preserve">mpacts of </w:t>
      </w:r>
      <w:r w:rsidR="00A04FA3">
        <w:rPr>
          <w:rFonts w:ascii="Times New Roman" w:hAnsi="Times New Roman" w:cs="Times New Roman"/>
        </w:rPr>
        <w:t>c</w:t>
      </w:r>
      <w:r w:rsidR="006B0A23" w:rsidRPr="00A225AE">
        <w:rPr>
          <w:rFonts w:ascii="Times New Roman" w:hAnsi="Times New Roman" w:cs="Times New Roman"/>
        </w:rPr>
        <w:t>onsumption</w:t>
      </w:r>
      <w:r w:rsidRPr="00A225AE">
        <w:rPr>
          <w:rFonts w:ascii="Times New Roman" w:hAnsi="Times New Roman" w:cs="Times New Roman"/>
        </w:rPr>
        <w:t xml:space="preserve">, the indicator supports </w:t>
      </w:r>
      <w:r w:rsidRPr="006B0A23">
        <w:rPr>
          <w:rFonts w:ascii="Times New Roman" w:hAnsi="Times New Roman" w:cs="Times New Roman"/>
          <w:b/>
          <w:bCs/>
        </w:rPr>
        <w:t>Target 16</w:t>
      </w:r>
      <w:r w:rsidRPr="00A225AE">
        <w:rPr>
          <w:rFonts w:ascii="Times New Roman" w:hAnsi="Times New Roman" w:cs="Times New Roman"/>
        </w:rPr>
        <w:t xml:space="preserve"> of the </w:t>
      </w:r>
      <w:r w:rsidR="00B13E49">
        <w:rPr>
          <w:rFonts w:ascii="Times New Roman" w:hAnsi="Times New Roman" w:cs="Times New Roman"/>
        </w:rPr>
        <w:t>f</w:t>
      </w:r>
      <w:r w:rsidRPr="00A225AE">
        <w:rPr>
          <w:rFonts w:ascii="Times New Roman" w:hAnsi="Times New Roman" w:cs="Times New Roman"/>
        </w:rPr>
        <w:t xml:space="preserve">irst </w:t>
      </w:r>
      <w:r w:rsidR="00B13E49">
        <w:rPr>
          <w:rFonts w:ascii="Times New Roman" w:hAnsi="Times New Roman" w:cs="Times New Roman"/>
        </w:rPr>
        <w:t>d</w:t>
      </w:r>
      <w:r w:rsidRPr="00A225AE">
        <w:rPr>
          <w:rFonts w:ascii="Times New Roman" w:hAnsi="Times New Roman" w:cs="Times New Roman"/>
        </w:rPr>
        <w:t xml:space="preserve">raft of the </w:t>
      </w:r>
      <w:r w:rsidR="00A04FA3">
        <w:rPr>
          <w:rFonts w:ascii="Times New Roman" w:hAnsi="Times New Roman" w:cs="Times New Roman"/>
        </w:rPr>
        <w:t xml:space="preserve">post-2020 global biodiversity framework (REF#) </w:t>
      </w:r>
      <w:r w:rsidRPr="00A225AE">
        <w:rPr>
          <w:rFonts w:ascii="Times New Roman" w:hAnsi="Times New Roman" w:cs="Times New Roman"/>
          <w:i/>
          <w:iCs/>
        </w:rPr>
        <w:t>(“</w:t>
      </w:r>
      <w:r w:rsidR="00147636" w:rsidRPr="00A225AE">
        <w:rPr>
          <w:rFonts w:ascii="Times New Roman" w:hAnsi="Times New Roman" w:cs="Times New Roman"/>
          <w:i/>
          <w:iCs/>
        </w:rPr>
        <w:t>Target 16: Ensure that people are encouraged and enabled to make responsible choices and have access to relevant information and alternatives, taking into account cultural preferences, to reduce by at least half the waste and, where relevant the overconsumption, of food and other materials.”</w:t>
      </w:r>
      <w:r w:rsidR="0073549C">
        <w:rPr>
          <w:rStyle w:val="FootnoteReference"/>
          <w:rFonts w:ascii="Times New Roman" w:hAnsi="Times New Roman" w:cs="Times New Roman"/>
          <w:i/>
          <w:iCs/>
        </w:rPr>
        <w:footnoteReference w:id="1"/>
      </w:r>
      <w:r w:rsidR="00147636" w:rsidRPr="00A225AE">
        <w:rPr>
          <w:rFonts w:ascii="Times New Roman" w:hAnsi="Times New Roman" w:cs="Times New Roman"/>
          <w:i/>
          <w:iCs/>
        </w:rPr>
        <w:t>)</w:t>
      </w:r>
      <w:r w:rsidR="005017AF">
        <w:rPr>
          <w:rFonts w:ascii="Times New Roman" w:hAnsi="Times New Roman" w:cs="Times New Roman"/>
          <w:i/>
          <w:iCs/>
        </w:rPr>
        <w:t xml:space="preserve">. </w:t>
      </w:r>
    </w:p>
    <w:p w14:paraId="4E287674" w14:textId="77777777" w:rsidR="005017AF" w:rsidRDefault="005017AF" w:rsidP="00617444">
      <w:pPr>
        <w:spacing w:line="259" w:lineRule="auto"/>
        <w:rPr>
          <w:rFonts w:ascii="Times New Roman" w:hAnsi="Times New Roman" w:cs="Times New Roman"/>
          <w:i/>
          <w:iCs/>
        </w:rPr>
      </w:pPr>
    </w:p>
    <w:p w14:paraId="2365673F" w14:textId="25F121F6" w:rsidR="003F4778" w:rsidRDefault="003F4778" w:rsidP="00243C60">
      <w:pPr>
        <w:spacing w:line="259" w:lineRule="auto"/>
        <w:rPr>
          <w:rFonts w:ascii="Times New Roman" w:hAnsi="Times New Roman" w:cs="Times New Roman"/>
        </w:rPr>
      </w:pPr>
      <w:r>
        <w:rPr>
          <w:rFonts w:ascii="Times New Roman" w:hAnsi="Times New Roman" w:cs="Times New Roman"/>
        </w:rPr>
        <w:t xml:space="preserve">The expert workshop on the monitoring framework for the </w:t>
      </w:r>
      <w:r w:rsidR="00091D37">
        <w:rPr>
          <w:rFonts w:ascii="Times New Roman" w:hAnsi="Times New Roman" w:cs="Times New Roman"/>
        </w:rPr>
        <w:t>p</w:t>
      </w:r>
      <w:r>
        <w:rPr>
          <w:rFonts w:ascii="Times New Roman" w:hAnsi="Times New Roman" w:cs="Times New Roman"/>
        </w:rPr>
        <w:t xml:space="preserve">ost-2020 </w:t>
      </w:r>
      <w:r w:rsidR="00091D37">
        <w:rPr>
          <w:rFonts w:ascii="Times New Roman" w:hAnsi="Times New Roman" w:cs="Times New Roman"/>
        </w:rPr>
        <w:t>g</w:t>
      </w:r>
      <w:r>
        <w:rPr>
          <w:rFonts w:ascii="Times New Roman" w:hAnsi="Times New Roman" w:cs="Times New Roman"/>
        </w:rPr>
        <w:t xml:space="preserve">lobal </w:t>
      </w:r>
      <w:r w:rsidR="00091D37">
        <w:rPr>
          <w:rFonts w:ascii="Times New Roman" w:hAnsi="Times New Roman" w:cs="Times New Roman"/>
        </w:rPr>
        <w:t>b</w:t>
      </w:r>
      <w:r>
        <w:rPr>
          <w:rFonts w:ascii="Times New Roman" w:hAnsi="Times New Roman" w:cs="Times New Roman"/>
        </w:rPr>
        <w:t xml:space="preserve">iodiversity </w:t>
      </w:r>
      <w:r w:rsidR="00091D37">
        <w:rPr>
          <w:rFonts w:ascii="Times New Roman" w:hAnsi="Times New Roman" w:cs="Times New Roman"/>
        </w:rPr>
        <w:t>f</w:t>
      </w:r>
      <w:r>
        <w:rPr>
          <w:rFonts w:ascii="Times New Roman" w:hAnsi="Times New Roman" w:cs="Times New Roman"/>
        </w:rPr>
        <w:t xml:space="preserve">ramework </w:t>
      </w:r>
      <w:r w:rsidR="00A04FA3">
        <w:rPr>
          <w:rFonts w:ascii="Times New Roman" w:hAnsi="Times New Roman" w:cs="Times New Roman"/>
        </w:rPr>
        <w:t xml:space="preserve">convened by the CBD Secretariat </w:t>
      </w:r>
      <w:r>
        <w:rPr>
          <w:rFonts w:ascii="Times New Roman" w:hAnsi="Times New Roman" w:cs="Times New Roman"/>
        </w:rPr>
        <w:t xml:space="preserve">(Bonn, Germany, 30 June – 1 July 2022) </w:t>
      </w:r>
      <w:r w:rsidR="00855C3C">
        <w:rPr>
          <w:rFonts w:ascii="Times New Roman" w:hAnsi="Times New Roman" w:cs="Times New Roman"/>
        </w:rPr>
        <w:t>identified</w:t>
      </w:r>
      <w:r>
        <w:rPr>
          <w:rFonts w:ascii="Times New Roman" w:hAnsi="Times New Roman" w:cs="Times New Roman"/>
        </w:rPr>
        <w:t xml:space="preserve"> the </w:t>
      </w:r>
      <w:r w:rsidR="00FD27C2">
        <w:rPr>
          <w:rFonts w:ascii="Times New Roman" w:hAnsi="Times New Roman" w:cs="Times New Roman"/>
        </w:rPr>
        <w:t>G</w:t>
      </w:r>
      <w:r>
        <w:rPr>
          <w:rFonts w:ascii="Times New Roman" w:hAnsi="Times New Roman" w:cs="Times New Roman"/>
        </w:rPr>
        <w:t xml:space="preserve">lobal </w:t>
      </w:r>
      <w:r w:rsidR="00FD27C2">
        <w:rPr>
          <w:rFonts w:ascii="Times New Roman" w:hAnsi="Times New Roman" w:cs="Times New Roman"/>
        </w:rPr>
        <w:lastRenderedPageBreak/>
        <w:t>E</w:t>
      </w:r>
      <w:r>
        <w:rPr>
          <w:rFonts w:ascii="Times New Roman" w:hAnsi="Times New Roman" w:cs="Times New Roman"/>
        </w:rPr>
        <w:t xml:space="preserve">nvironmental </w:t>
      </w:r>
      <w:r w:rsidR="00FD27C2">
        <w:rPr>
          <w:rFonts w:ascii="Times New Roman" w:hAnsi="Times New Roman" w:cs="Times New Roman"/>
        </w:rPr>
        <w:t>I</w:t>
      </w:r>
      <w:r>
        <w:rPr>
          <w:rFonts w:ascii="Times New Roman" w:hAnsi="Times New Roman" w:cs="Times New Roman"/>
        </w:rPr>
        <w:t xml:space="preserve">mpacts of </w:t>
      </w:r>
      <w:r w:rsidR="00FD27C2">
        <w:rPr>
          <w:rFonts w:ascii="Times New Roman" w:hAnsi="Times New Roman" w:cs="Times New Roman"/>
        </w:rPr>
        <w:t>C</w:t>
      </w:r>
      <w:r>
        <w:rPr>
          <w:rFonts w:ascii="Times New Roman" w:hAnsi="Times New Roman" w:cs="Times New Roman"/>
        </w:rPr>
        <w:t xml:space="preserve">onsumption </w:t>
      </w:r>
      <w:r w:rsidR="00FD27C2">
        <w:rPr>
          <w:rFonts w:ascii="Times New Roman" w:hAnsi="Times New Roman" w:cs="Times New Roman"/>
        </w:rPr>
        <w:t>I</w:t>
      </w:r>
      <w:r>
        <w:rPr>
          <w:rFonts w:ascii="Times New Roman" w:hAnsi="Times New Roman" w:cs="Times New Roman"/>
        </w:rPr>
        <w:t xml:space="preserve">ndicator </w:t>
      </w:r>
      <w:r w:rsidR="00855C3C">
        <w:rPr>
          <w:rFonts w:ascii="Times New Roman" w:hAnsi="Times New Roman" w:cs="Times New Roman"/>
        </w:rPr>
        <w:t>as</w:t>
      </w:r>
      <w:r>
        <w:rPr>
          <w:rFonts w:ascii="Times New Roman" w:hAnsi="Times New Roman" w:cs="Times New Roman"/>
        </w:rPr>
        <w:t xml:space="preserve"> </w:t>
      </w:r>
      <w:r w:rsidR="005E47D7">
        <w:rPr>
          <w:rFonts w:ascii="Times New Roman" w:hAnsi="Times New Roman" w:cs="Times New Roman"/>
        </w:rPr>
        <w:t xml:space="preserve">a </w:t>
      </w:r>
      <w:r>
        <w:rPr>
          <w:rFonts w:ascii="Times New Roman" w:hAnsi="Times New Roman" w:cs="Times New Roman"/>
        </w:rPr>
        <w:t>potential headline indicator</w:t>
      </w:r>
      <w:r w:rsidR="006B0A23">
        <w:rPr>
          <w:rStyle w:val="FootnoteReference"/>
          <w:rFonts w:ascii="Times New Roman" w:hAnsi="Times New Roman" w:cs="Times New Roman"/>
        </w:rPr>
        <w:footnoteReference w:id="2"/>
      </w:r>
      <w:r>
        <w:rPr>
          <w:rFonts w:ascii="Times New Roman" w:hAnsi="Times New Roman" w:cs="Times New Roman"/>
        </w:rPr>
        <w:t xml:space="preserve">. </w:t>
      </w:r>
      <w:r w:rsidR="0093258B">
        <w:rPr>
          <w:rFonts w:ascii="Times New Roman" w:hAnsi="Times New Roman" w:cs="Times New Roman"/>
        </w:rPr>
        <w:t xml:space="preserve">In the technical assessment of indicators, </w:t>
      </w:r>
      <w:r w:rsidR="00243C60">
        <w:rPr>
          <w:rFonts w:ascii="Times New Roman" w:hAnsi="Times New Roman" w:cs="Times New Roman"/>
        </w:rPr>
        <w:t>t</w:t>
      </w:r>
      <w:r>
        <w:rPr>
          <w:rFonts w:ascii="Times New Roman" w:hAnsi="Times New Roman" w:cs="Times New Roman"/>
        </w:rPr>
        <w:t>he workshop rated the indicator ‘2’ out of ‘5’</w:t>
      </w:r>
      <w:r w:rsidR="00243C60">
        <w:rPr>
          <w:rFonts w:ascii="Times New Roman" w:hAnsi="Times New Roman" w:cs="Times New Roman"/>
        </w:rPr>
        <w:t xml:space="preserve"> </w:t>
      </w:r>
      <w:r w:rsidR="00474B38" w:rsidRPr="00474B38">
        <w:rPr>
          <w:rFonts w:ascii="Times New Roman" w:hAnsi="Times New Roman" w:cs="Times New Roman"/>
        </w:rPr>
        <w:t>, as an option alongside the Ecological Footprint</w:t>
      </w:r>
      <w:r w:rsidR="00474B38">
        <w:rPr>
          <w:rFonts w:ascii="Times New Roman" w:hAnsi="Times New Roman" w:cs="Times New Roman"/>
        </w:rPr>
        <w:t>,</w:t>
      </w:r>
      <w:r w:rsidR="00474B38" w:rsidRPr="00474B38">
        <w:rPr>
          <w:rFonts w:ascii="Times New Roman" w:hAnsi="Times New Roman" w:cs="Times New Roman"/>
        </w:rPr>
        <w:t xml:space="preserve"> </w:t>
      </w:r>
      <w:r w:rsidR="00243C60">
        <w:rPr>
          <w:rFonts w:ascii="Times New Roman" w:hAnsi="Times New Roman" w:cs="Times New Roman"/>
        </w:rPr>
        <w:t>which means, according to the scoring system, “</w:t>
      </w:r>
      <w:r w:rsidR="00243C60" w:rsidRPr="00243C60">
        <w:rPr>
          <w:rFonts w:ascii="Times New Roman" w:hAnsi="Times New Roman" w:cs="Times New Roman"/>
        </w:rPr>
        <w:t>Support for inclusion as a headline indicator, but does not currently meet all th</w:t>
      </w:r>
      <w:r w:rsidR="008A1C69">
        <w:rPr>
          <w:rFonts w:ascii="Times New Roman" w:hAnsi="Times New Roman" w:cs="Times New Roman"/>
        </w:rPr>
        <w:t xml:space="preserve">e </w:t>
      </w:r>
      <w:r w:rsidR="00243C60" w:rsidRPr="00243C60">
        <w:rPr>
          <w:rFonts w:ascii="Times New Roman" w:hAnsi="Times New Roman" w:cs="Times New Roman"/>
        </w:rPr>
        <w:t>assessment criteria and further development necessary (i.e., less relevant when nationally</w:t>
      </w:r>
      <w:r w:rsidR="008A1C69">
        <w:rPr>
          <w:rFonts w:ascii="Times New Roman" w:hAnsi="Times New Roman" w:cs="Times New Roman"/>
        </w:rPr>
        <w:t xml:space="preserve"> </w:t>
      </w:r>
      <w:r w:rsidR="00243C60" w:rsidRPr="00243C60">
        <w:rPr>
          <w:rFonts w:ascii="Times New Roman" w:hAnsi="Times New Roman" w:cs="Times New Roman"/>
        </w:rPr>
        <w:t>disaggregated, lack of agreement on the methodology, lack of national capacity to monitor</w:t>
      </w:r>
      <w:r w:rsidR="008A1C69">
        <w:rPr>
          <w:rFonts w:ascii="Times New Roman" w:hAnsi="Times New Roman" w:cs="Times New Roman"/>
        </w:rPr>
        <w:t xml:space="preserve"> </w:t>
      </w:r>
      <w:r w:rsidR="00243C60" w:rsidRPr="00243C60">
        <w:rPr>
          <w:rFonts w:ascii="Times New Roman" w:hAnsi="Times New Roman" w:cs="Times New Roman"/>
        </w:rPr>
        <w:t>the indicator, lack of data in some countries, etc.)</w:t>
      </w:r>
      <w:r w:rsidR="00243C60">
        <w:rPr>
          <w:rFonts w:ascii="Times New Roman" w:hAnsi="Times New Roman" w:cs="Times New Roman"/>
        </w:rPr>
        <w:t>”</w:t>
      </w:r>
      <w:r w:rsidR="00855C3C">
        <w:rPr>
          <w:rFonts w:ascii="Times New Roman" w:hAnsi="Times New Roman" w:cs="Times New Roman"/>
        </w:rPr>
        <w:t>. Only 23 indicators</w:t>
      </w:r>
      <w:r w:rsidR="00966588">
        <w:rPr>
          <w:rFonts w:ascii="Times New Roman" w:hAnsi="Times New Roman" w:cs="Times New Roman"/>
        </w:rPr>
        <w:t xml:space="preserve"> of the </w:t>
      </w:r>
      <w:r w:rsidR="00C12991">
        <w:rPr>
          <w:rFonts w:ascii="Times New Roman" w:hAnsi="Times New Roman" w:cs="Times New Roman"/>
        </w:rPr>
        <w:t>245</w:t>
      </w:r>
      <w:r w:rsidR="00966588">
        <w:rPr>
          <w:rFonts w:ascii="Times New Roman" w:hAnsi="Times New Roman" w:cs="Times New Roman"/>
        </w:rPr>
        <w:t xml:space="preserve"> assessed</w:t>
      </w:r>
      <w:r w:rsidR="00855C3C">
        <w:rPr>
          <w:rFonts w:ascii="Times New Roman" w:hAnsi="Times New Roman" w:cs="Times New Roman"/>
        </w:rPr>
        <w:t xml:space="preserve"> received a score of ‘1’ or ‘2’.</w:t>
      </w:r>
      <w:r w:rsidR="00916BAE">
        <w:rPr>
          <w:rFonts w:ascii="Times New Roman" w:hAnsi="Times New Roman" w:cs="Times New Roman"/>
        </w:rPr>
        <w:t xml:space="preserve"> The indicator </w:t>
      </w:r>
      <w:r w:rsidR="00916BAE" w:rsidRPr="00916BAE">
        <w:rPr>
          <w:rFonts w:ascii="Times New Roman" w:hAnsi="Times New Roman" w:cs="Times New Roman"/>
        </w:rPr>
        <w:t xml:space="preserve">is </w:t>
      </w:r>
      <w:r w:rsidR="00916BAE">
        <w:rPr>
          <w:rFonts w:ascii="Times New Roman" w:hAnsi="Times New Roman" w:cs="Times New Roman"/>
        </w:rPr>
        <w:t xml:space="preserve">the </w:t>
      </w:r>
      <w:r w:rsidR="00916BAE" w:rsidRPr="00916BAE">
        <w:rPr>
          <w:rFonts w:ascii="Times New Roman" w:hAnsi="Times New Roman" w:cs="Times New Roman"/>
        </w:rPr>
        <w:t xml:space="preserve">subject of active </w:t>
      </w:r>
      <w:r w:rsidR="008A11BC">
        <w:rPr>
          <w:rFonts w:ascii="Times New Roman" w:hAnsi="Times New Roman" w:cs="Times New Roman"/>
        </w:rPr>
        <w:t xml:space="preserve">ongoing </w:t>
      </w:r>
      <w:r w:rsidR="00966588">
        <w:rPr>
          <w:rFonts w:ascii="Times New Roman" w:hAnsi="Times New Roman" w:cs="Times New Roman"/>
        </w:rPr>
        <w:t>research and development</w:t>
      </w:r>
      <w:r w:rsidR="00916BAE" w:rsidRPr="00916BAE">
        <w:rPr>
          <w:rFonts w:ascii="Times New Roman" w:hAnsi="Times New Roman" w:cs="Times New Roman"/>
        </w:rPr>
        <w:t xml:space="preserve"> </w:t>
      </w:r>
      <w:r w:rsidR="008A11BC">
        <w:rPr>
          <w:rFonts w:ascii="Times New Roman" w:hAnsi="Times New Roman" w:cs="Times New Roman"/>
        </w:rPr>
        <w:t>as outlined below</w:t>
      </w:r>
      <w:r w:rsidR="00916BAE">
        <w:rPr>
          <w:rFonts w:ascii="Times New Roman" w:hAnsi="Times New Roman" w:cs="Times New Roman"/>
        </w:rPr>
        <w:t>.</w:t>
      </w:r>
      <w:r w:rsidR="00C12991">
        <w:rPr>
          <w:rFonts w:ascii="Times New Roman" w:hAnsi="Times New Roman" w:cs="Times New Roman"/>
        </w:rPr>
        <w:t xml:space="preserve"> In addition to Target 16, the workshop identified that the indicator could be relevant to </w:t>
      </w:r>
      <w:r w:rsidR="00C12991" w:rsidRPr="006B0A23">
        <w:rPr>
          <w:rFonts w:ascii="Times New Roman" w:hAnsi="Times New Roman" w:cs="Times New Roman"/>
          <w:b/>
          <w:bCs/>
        </w:rPr>
        <w:t>Targets 8 and 15</w:t>
      </w:r>
      <w:r w:rsidR="00C12991">
        <w:rPr>
          <w:rFonts w:ascii="Times New Roman" w:hAnsi="Times New Roman" w:cs="Times New Roman"/>
        </w:rPr>
        <w:t xml:space="preserve">, and </w:t>
      </w:r>
      <w:r w:rsidR="00C12991" w:rsidRPr="006B0A23">
        <w:rPr>
          <w:rFonts w:ascii="Times New Roman" w:hAnsi="Times New Roman" w:cs="Times New Roman"/>
          <w:b/>
          <w:bCs/>
        </w:rPr>
        <w:t>Goals B and D</w:t>
      </w:r>
      <w:r w:rsidR="00C12991">
        <w:rPr>
          <w:rFonts w:ascii="Times New Roman" w:hAnsi="Times New Roman" w:cs="Times New Roman"/>
        </w:rPr>
        <w:t>.</w:t>
      </w:r>
    </w:p>
    <w:p w14:paraId="5B77B82A" w14:textId="1AE0FB73" w:rsidR="00713872" w:rsidRDefault="00713872" w:rsidP="00243C60">
      <w:pPr>
        <w:spacing w:line="259" w:lineRule="auto"/>
        <w:rPr>
          <w:rFonts w:ascii="Times New Roman" w:hAnsi="Times New Roman" w:cs="Times New Roman"/>
        </w:rPr>
      </w:pPr>
    </w:p>
    <w:p w14:paraId="46B8CEE3" w14:textId="1793B969" w:rsidR="004D4A4A" w:rsidRPr="00A225AE" w:rsidRDefault="004D4A4A" w:rsidP="00617444">
      <w:pPr>
        <w:spacing w:line="259" w:lineRule="auto"/>
        <w:rPr>
          <w:rFonts w:ascii="Times New Roman" w:hAnsi="Times New Roman" w:cs="Times New Roman"/>
          <w:b/>
          <w:bCs/>
        </w:rPr>
      </w:pPr>
      <w:r w:rsidRPr="00A225AE">
        <w:rPr>
          <w:rFonts w:ascii="Times New Roman" w:hAnsi="Times New Roman" w:cs="Times New Roman"/>
          <w:b/>
          <w:bCs/>
        </w:rPr>
        <w:t>Development timeline</w:t>
      </w:r>
    </w:p>
    <w:p w14:paraId="3AE5A911" w14:textId="26C1281A" w:rsidR="004D4A4A" w:rsidRPr="00A225AE" w:rsidRDefault="004D4A4A" w:rsidP="00617444">
      <w:pPr>
        <w:spacing w:line="259" w:lineRule="auto"/>
        <w:rPr>
          <w:rFonts w:ascii="Times New Roman" w:hAnsi="Times New Roman" w:cs="Times New Roman"/>
          <w:b/>
          <w:bCs/>
        </w:rPr>
      </w:pPr>
      <w:r w:rsidRPr="00A225AE">
        <w:rPr>
          <w:rFonts w:ascii="Times New Roman" w:hAnsi="Times New Roman" w:cs="Times New Roman"/>
        </w:rPr>
        <w:t xml:space="preserve">Initial results </w:t>
      </w:r>
      <w:r w:rsidR="008B1608">
        <w:rPr>
          <w:rFonts w:ascii="Times New Roman" w:hAnsi="Times New Roman" w:cs="Times New Roman"/>
        </w:rPr>
        <w:t xml:space="preserve">from the indicator </w:t>
      </w:r>
      <w:r w:rsidRPr="00A225AE">
        <w:rPr>
          <w:rFonts w:ascii="Times New Roman" w:hAnsi="Times New Roman" w:cs="Times New Roman"/>
        </w:rPr>
        <w:t>were published in October 2021</w:t>
      </w:r>
      <w:r w:rsidR="00EE574C" w:rsidRPr="00EE574C">
        <w:rPr>
          <w:rFonts w:ascii="Times New Roman" w:hAnsi="Times New Roman" w:cs="Times New Roman"/>
        </w:rPr>
        <w:t xml:space="preserve"> by the JNCC as a</w:t>
      </w:r>
      <w:r w:rsidR="00916BAE">
        <w:rPr>
          <w:rFonts w:ascii="Times New Roman" w:hAnsi="Times New Roman" w:cs="Times New Roman"/>
        </w:rPr>
        <w:t xml:space="preserve"> UK</w:t>
      </w:r>
      <w:r w:rsidR="00EE574C" w:rsidRPr="00EE574C">
        <w:rPr>
          <w:rFonts w:ascii="Times New Roman" w:hAnsi="Times New Roman" w:cs="Times New Roman"/>
        </w:rPr>
        <w:t xml:space="preserve"> </w:t>
      </w:r>
      <w:hyperlink r:id="rId16" w:history="1">
        <w:r w:rsidR="00EE574C" w:rsidRPr="00EE574C">
          <w:rPr>
            <w:rStyle w:val="Hyperlink"/>
            <w:rFonts w:ascii="Times New Roman" w:hAnsi="Times New Roman" w:cs="Times New Roman"/>
          </w:rPr>
          <w:t>experimental statistic</w:t>
        </w:r>
      </w:hyperlink>
      <w:r w:rsidR="00EE574C" w:rsidRPr="00EE574C">
        <w:rPr>
          <w:rFonts w:ascii="Times New Roman" w:hAnsi="Times New Roman" w:cs="Times New Roman"/>
        </w:rPr>
        <w:t xml:space="preserve"> </w:t>
      </w:r>
      <w:r w:rsidR="00A50E0B" w:rsidRPr="00A50E0B">
        <w:rPr>
          <w:rFonts w:ascii="Times New Roman" w:hAnsi="Times New Roman" w:cs="Times New Roman"/>
        </w:rPr>
        <w:t>(a statistic that is published officially by government but that is</w:t>
      </w:r>
      <w:r w:rsidR="00A50E0B">
        <w:rPr>
          <w:rFonts w:ascii="Times New Roman" w:hAnsi="Times New Roman" w:cs="Times New Roman"/>
        </w:rPr>
        <w:t xml:space="preserve"> continuing to</w:t>
      </w:r>
      <w:r w:rsidR="00A50E0B" w:rsidRPr="00A50E0B">
        <w:rPr>
          <w:rFonts w:ascii="Times New Roman" w:hAnsi="Times New Roman" w:cs="Times New Roman"/>
        </w:rPr>
        <w:t xml:space="preserve"> undergo further development)</w:t>
      </w:r>
      <w:r w:rsidR="00A50E0B">
        <w:rPr>
          <w:rFonts w:ascii="Times New Roman" w:hAnsi="Times New Roman" w:cs="Times New Roman"/>
        </w:rPr>
        <w:t xml:space="preserve"> </w:t>
      </w:r>
      <w:r w:rsidR="00544157">
        <w:rPr>
          <w:rFonts w:ascii="Times New Roman" w:hAnsi="Times New Roman" w:cs="Times New Roman"/>
        </w:rPr>
        <w:t xml:space="preserve">alongside an internationally relevant </w:t>
      </w:r>
      <w:hyperlink r:id="rId17" w:history="1">
        <w:r w:rsidR="00544157" w:rsidRPr="00544157">
          <w:rPr>
            <w:rStyle w:val="Hyperlink"/>
            <w:rFonts w:ascii="Times New Roman" w:hAnsi="Times New Roman" w:cs="Times New Roman"/>
          </w:rPr>
          <w:t>interactive dashboard</w:t>
        </w:r>
      </w:hyperlink>
      <w:r>
        <w:rPr>
          <w:rFonts w:ascii="Times New Roman" w:hAnsi="Times New Roman" w:cs="Times New Roman"/>
        </w:rPr>
        <w:t>.</w:t>
      </w:r>
      <w:r w:rsidRPr="00A225AE">
        <w:rPr>
          <w:rFonts w:ascii="Times New Roman" w:hAnsi="Times New Roman" w:cs="Times New Roman"/>
        </w:rPr>
        <w:t xml:space="preserve"> </w:t>
      </w:r>
      <w:r w:rsidR="00444356">
        <w:rPr>
          <w:rFonts w:ascii="Times New Roman" w:hAnsi="Times New Roman" w:cs="Times New Roman"/>
        </w:rPr>
        <w:t>It will be updated annually</w:t>
      </w:r>
      <w:r w:rsidR="00474B38">
        <w:rPr>
          <w:rFonts w:ascii="Times New Roman" w:hAnsi="Times New Roman" w:cs="Times New Roman"/>
        </w:rPr>
        <w:t xml:space="preserve"> by the JNCC and SEI</w:t>
      </w:r>
      <w:r w:rsidR="00444356">
        <w:rPr>
          <w:rFonts w:ascii="Times New Roman" w:hAnsi="Times New Roman" w:cs="Times New Roman"/>
        </w:rPr>
        <w:t>, with data</w:t>
      </w:r>
      <w:r w:rsidR="009561A1">
        <w:rPr>
          <w:rFonts w:ascii="Times New Roman" w:hAnsi="Times New Roman" w:cs="Times New Roman"/>
        </w:rPr>
        <w:t xml:space="preserve"> freely available</w:t>
      </w:r>
      <w:r w:rsidR="008A11BC">
        <w:rPr>
          <w:rFonts w:ascii="Times New Roman" w:hAnsi="Times New Roman" w:cs="Times New Roman"/>
        </w:rPr>
        <w:t xml:space="preserve"> online</w:t>
      </w:r>
      <w:r w:rsidRPr="00A225AE">
        <w:rPr>
          <w:rFonts w:ascii="Times New Roman" w:hAnsi="Times New Roman" w:cs="Times New Roman"/>
        </w:rPr>
        <w:t xml:space="preserve">. </w:t>
      </w:r>
      <w:r w:rsidR="00EF6786">
        <w:rPr>
          <w:rFonts w:ascii="Times New Roman" w:hAnsi="Times New Roman" w:cs="Times New Roman"/>
        </w:rPr>
        <w:t xml:space="preserve">A 2022 update will take place on the </w:t>
      </w:r>
      <w:proofErr w:type="gramStart"/>
      <w:r w:rsidR="00EF6786">
        <w:rPr>
          <w:rFonts w:ascii="Times New Roman" w:hAnsi="Times New Roman" w:cs="Times New Roman"/>
        </w:rPr>
        <w:t>27</w:t>
      </w:r>
      <w:r w:rsidR="00EF6786" w:rsidRPr="00EF6786">
        <w:rPr>
          <w:rFonts w:ascii="Times New Roman" w:hAnsi="Times New Roman" w:cs="Times New Roman"/>
          <w:vertAlign w:val="superscript"/>
        </w:rPr>
        <w:t>th</w:t>
      </w:r>
      <w:proofErr w:type="gramEnd"/>
      <w:r w:rsidR="00EF6786">
        <w:rPr>
          <w:rFonts w:ascii="Times New Roman" w:hAnsi="Times New Roman" w:cs="Times New Roman"/>
        </w:rPr>
        <w:t xml:space="preserve"> October 2022, with 2018 data being added to the time series. </w:t>
      </w:r>
      <w:r w:rsidRPr="00A225AE">
        <w:rPr>
          <w:rFonts w:ascii="Times New Roman" w:hAnsi="Times New Roman" w:cs="Times New Roman"/>
        </w:rPr>
        <w:t>Development work to continue improving the indicator (expanding the commodity, country and impact metric scope; integrating finer resolution production data</w:t>
      </w:r>
      <w:r w:rsidR="008B1608">
        <w:rPr>
          <w:rFonts w:ascii="Times New Roman" w:hAnsi="Times New Roman" w:cs="Times New Roman"/>
        </w:rPr>
        <w:t xml:space="preserve">; </w:t>
      </w:r>
      <w:r w:rsidR="008B1608" w:rsidRPr="008B1608">
        <w:rPr>
          <w:rFonts w:ascii="Times New Roman" w:hAnsi="Times New Roman" w:cs="Times New Roman"/>
        </w:rPr>
        <w:t>updating the methods behind the biodiversity metric</w:t>
      </w:r>
      <w:r w:rsidRPr="00A225AE">
        <w:rPr>
          <w:rFonts w:ascii="Times New Roman" w:hAnsi="Times New Roman" w:cs="Times New Roman"/>
        </w:rPr>
        <w:t>) is planned</w:t>
      </w:r>
      <w:r w:rsidR="00EF6786">
        <w:rPr>
          <w:rFonts w:ascii="Times New Roman" w:hAnsi="Times New Roman" w:cs="Times New Roman"/>
        </w:rPr>
        <w:t xml:space="preserve"> to at least 2024</w:t>
      </w:r>
      <w:r w:rsidRPr="00A225AE">
        <w:rPr>
          <w:rFonts w:ascii="Times New Roman" w:hAnsi="Times New Roman" w:cs="Times New Roman"/>
        </w:rPr>
        <w:t>.</w:t>
      </w:r>
      <w:r w:rsidR="00EF6786">
        <w:rPr>
          <w:rFonts w:ascii="Times New Roman" w:hAnsi="Times New Roman" w:cs="Times New Roman"/>
        </w:rPr>
        <w:t xml:space="preserve"> Improvements made through this development work will be incorporated into subsequent updates. For example, the 2023 update will </w:t>
      </w:r>
      <w:r w:rsidR="00EF6786" w:rsidRPr="00EF6786">
        <w:rPr>
          <w:rFonts w:ascii="Times New Roman" w:hAnsi="Times New Roman" w:cs="Times New Roman"/>
        </w:rPr>
        <w:t>expand th</w:t>
      </w:r>
      <w:r w:rsidR="00EF6786">
        <w:rPr>
          <w:rFonts w:ascii="Times New Roman" w:hAnsi="Times New Roman" w:cs="Times New Roman"/>
        </w:rPr>
        <w:t>e</w:t>
      </w:r>
      <w:r w:rsidR="00EF6786" w:rsidRPr="00EF6786">
        <w:rPr>
          <w:rFonts w:ascii="Times New Roman" w:hAnsi="Times New Roman" w:cs="Times New Roman"/>
        </w:rPr>
        <w:t xml:space="preserve"> indicator to encompass at least 120 countries and territories from a consumption perspective</w:t>
      </w:r>
      <w:r w:rsidR="00EF6786">
        <w:rPr>
          <w:rFonts w:ascii="Times New Roman" w:hAnsi="Times New Roman" w:cs="Times New Roman"/>
        </w:rPr>
        <w:t>, instead of the current 44</w:t>
      </w:r>
      <w:r w:rsidR="00EF6786" w:rsidRPr="00EF6786">
        <w:rPr>
          <w:rFonts w:ascii="Times New Roman" w:hAnsi="Times New Roman" w:cs="Times New Roman"/>
        </w:rPr>
        <w:t>.</w:t>
      </w:r>
    </w:p>
    <w:p w14:paraId="788AEDC8" w14:textId="77777777" w:rsidR="00A6342A" w:rsidRPr="00A225AE" w:rsidRDefault="00A6342A" w:rsidP="00617444">
      <w:pPr>
        <w:spacing w:line="259" w:lineRule="auto"/>
        <w:rPr>
          <w:rFonts w:ascii="Times New Roman" w:hAnsi="Times New Roman" w:cs="Times New Roman"/>
          <w:b/>
          <w:bCs/>
        </w:rPr>
      </w:pPr>
    </w:p>
    <w:p w14:paraId="62349EA5" w14:textId="2FE3258D" w:rsidR="008510DB" w:rsidRPr="00A225AE" w:rsidRDefault="008510DB" w:rsidP="00617444">
      <w:pPr>
        <w:spacing w:after="100" w:line="259" w:lineRule="auto"/>
        <w:rPr>
          <w:rFonts w:ascii="Times New Roman" w:hAnsi="Times New Roman" w:cs="Times New Roman"/>
          <w:b/>
          <w:bCs/>
        </w:rPr>
      </w:pPr>
      <w:r w:rsidRPr="00A225AE">
        <w:rPr>
          <w:rFonts w:ascii="Times New Roman" w:hAnsi="Times New Roman" w:cs="Times New Roman"/>
          <w:b/>
          <w:bCs/>
        </w:rPr>
        <w:t>Scope</w:t>
      </w:r>
    </w:p>
    <w:p w14:paraId="38246B8A" w14:textId="7E260FE7" w:rsidR="008510DB" w:rsidRPr="00A225AE" w:rsidRDefault="008510DB" w:rsidP="00617444">
      <w:pPr>
        <w:spacing w:line="259" w:lineRule="auto"/>
        <w:ind w:left="720"/>
        <w:rPr>
          <w:rFonts w:ascii="Times New Roman" w:hAnsi="Times New Roman" w:cs="Times New Roman"/>
          <w:b/>
          <w:bCs/>
        </w:rPr>
      </w:pPr>
      <w:r w:rsidRPr="00A225AE">
        <w:rPr>
          <w:rFonts w:ascii="Times New Roman" w:hAnsi="Times New Roman" w:cs="Times New Roman"/>
          <w:b/>
          <w:bCs/>
        </w:rPr>
        <w:t>Impact metrics</w:t>
      </w:r>
    </w:p>
    <w:p w14:paraId="54F8D790" w14:textId="2EEC753F" w:rsidR="004D4A4A" w:rsidRPr="004D4A4A" w:rsidRDefault="004D4A4A" w:rsidP="00617444">
      <w:pPr>
        <w:spacing w:line="259" w:lineRule="auto"/>
        <w:ind w:firstLine="720"/>
        <w:rPr>
          <w:rFonts w:ascii="Times New Roman" w:hAnsi="Times New Roman" w:cs="Times New Roman"/>
          <w:szCs w:val="22"/>
        </w:rPr>
      </w:pPr>
      <w:r w:rsidRPr="004D4A4A">
        <w:rPr>
          <w:rFonts w:ascii="Times New Roman" w:hAnsi="Times New Roman" w:cs="Times New Roman"/>
          <w:szCs w:val="22"/>
        </w:rPr>
        <w:t xml:space="preserve">The initial </w:t>
      </w:r>
      <w:r w:rsidR="00474B38">
        <w:rPr>
          <w:rFonts w:ascii="Times New Roman" w:hAnsi="Times New Roman" w:cs="Times New Roman"/>
          <w:szCs w:val="22"/>
        </w:rPr>
        <w:t>results (published October 2021)</w:t>
      </w:r>
      <w:r w:rsidR="00474B38" w:rsidRPr="004D4A4A">
        <w:rPr>
          <w:rFonts w:ascii="Times New Roman" w:hAnsi="Times New Roman" w:cs="Times New Roman"/>
          <w:szCs w:val="22"/>
        </w:rPr>
        <w:t xml:space="preserve"> </w:t>
      </w:r>
      <w:r w:rsidRPr="004D4A4A">
        <w:rPr>
          <w:rFonts w:ascii="Times New Roman" w:hAnsi="Times New Roman" w:cs="Times New Roman"/>
          <w:szCs w:val="22"/>
        </w:rPr>
        <w:t>provided data on:</w:t>
      </w:r>
    </w:p>
    <w:p w14:paraId="282732DC" w14:textId="1EAAEFE2" w:rsidR="00F6614A" w:rsidRPr="00A225AE" w:rsidRDefault="00F6614A" w:rsidP="00617444">
      <w:pPr>
        <w:pStyle w:val="ListParagraph"/>
        <w:numPr>
          <w:ilvl w:val="0"/>
          <w:numId w:val="17"/>
        </w:numPr>
        <w:spacing w:line="259" w:lineRule="auto"/>
        <w:rPr>
          <w:rFonts w:ascii="Times New Roman" w:hAnsi="Times New Roman" w:cs="Times New Roman"/>
        </w:rPr>
      </w:pPr>
      <w:r w:rsidRPr="00A225AE">
        <w:rPr>
          <w:rFonts w:ascii="Times New Roman" w:hAnsi="Times New Roman" w:cs="Times New Roman"/>
        </w:rPr>
        <w:t xml:space="preserve">Two separate biodiversity </w:t>
      </w:r>
      <w:r w:rsidR="00B674EA">
        <w:rPr>
          <w:rFonts w:ascii="Times New Roman" w:hAnsi="Times New Roman" w:cs="Times New Roman"/>
        </w:rPr>
        <w:t>risk</w:t>
      </w:r>
      <w:r w:rsidR="00D96F07" w:rsidRPr="00A225AE">
        <w:rPr>
          <w:rFonts w:ascii="Times New Roman" w:hAnsi="Times New Roman" w:cs="Times New Roman"/>
        </w:rPr>
        <w:t xml:space="preserve"> </w:t>
      </w:r>
      <w:r w:rsidRPr="00A225AE">
        <w:rPr>
          <w:rFonts w:ascii="Times New Roman" w:hAnsi="Times New Roman" w:cs="Times New Roman"/>
        </w:rPr>
        <w:t>metrics</w:t>
      </w:r>
      <w:r w:rsidR="00D96F07">
        <w:rPr>
          <w:rFonts w:ascii="Times New Roman" w:hAnsi="Times New Roman" w:cs="Times New Roman"/>
        </w:rPr>
        <w:t xml:space="preserve"> (</w:t>
      </w:r>
      <w:r w:rsidR="00B674EA">
        <w:rPr>
          <w:rFonts w:ascii="Times New Roman" w:hAnsi="Times New Roman" w:cs="Times New Roman"/>
        </w:rPr>
        <w:t xml:space="preserve">predicted regional </w:t>
      </w:r>
      <w:r w:rsidR="00D96F07">
        <w:rPr>
          <w:rFonts w:ascii="Times New Roman" w:hAnsi="Times New Roman" w:cs="Times New Roman"/>
        </w:rPr>
        <w:t>species loss and species proximity to production activities)</w:t>
      </w:r>
    </w:p>
    <w:p w14:paraId="57105722" w14:textId="77777777" w:rsidR="00474B38" w:rsidRPr="00A225AE" w:rsidRDefault="00474B38" w:rsidP="00474B38">
      <w:pPr>
        <w:pStyle w:val="ListParagraph"/>
        <w:numPr>
          <w:ilvl w:val="0"/>
          <w:numId w:val="17"/>
        </w:numPr>
        <w:spacing w:line="259" w:lineRule="auto"/>
        <w:rPr>
          <w:rFonts w:ascii="Times New Roman" w:hAnsi="Times New Roman" w:cs="Times New Roman"/>
        </w:rPr>
      </w:pPr>
      <w:r w:rsidRPr="00A225AE">
        <w:rPr>
          <w:rFonts w:ascii="Times New Roman" w:hAnsi="Times New Roman" w:cs="Times New Roman"/>
        </w:rPr>
        <w:t>Water consumption and scarcity-weighted water footprint</w:t>
      </w:r>
    </w:p>
    <w:p w14:paraId="02D6EF2D" w14:textId="02951D1B" w:rsidR="00F6614A" w:rsidRPr="00A50E0B" w:rsidRDefault="00474B38" w:rsidP="00A50E0B">
      <w:pPr>
        <w:pStyle w:val="ListParagraph"/>
        <w:numPr>
          <w:ilvl w:val="0"/>
          <w:numId w:val="17"/>
        </w:numPr>
        <w:spacing w:line="259" w:lineRule="auto"/>
        <w:rPr>
          <w:rFonts w:ascii="Times New Roman" w:hAnsi="Times New Roman" w:cs="Times New Roman"/>
        </w:rPr>
      </w:pPr>
      <w:r>
        <w:rPr>
          <w:rFonts w:ascii="Times New Roman" w:hAnsi="Times New Roman" w:cs="Times New Roman"/>
        </w:rPr>
        <w:t>D</w:t>
      </w:r>
      <w:r w:rsidRPr="00A225AE">
        <w:rPr>
          <w:rFonts w:ascii="Times New Roman" w:hAnsi="Times New Roman" w:cs="Times New Roman"/>
        </w:rPr>
        <w:t>eforestation</w:t>
      </w:r>
      <w:r>
        <w:rPr>
          <w:rFonts w:ascii="Times New Roman" w:hAnsi="Times New Roman" w:cs="Times New Roman"/>
        </w:rPr>
        <w:t xml:space="preserve"> and GHG emissions related to this deforestation (currently only available for deforestation taking place in tropical and subtropical regions – whereas all other metrics provide </w:t>
      </w:r>
      <w:r w:rsidR="002B05C3">
        <w:rPr>
          <w:rFonts w:ascii="Times New Roman" w:hAnsi="Times New Roman" w:cs="Times New Roman"/>
        </w:rPr>
        <w:t>global data</w:t>
      </w:r>
      <w:r>
        <w:rPr>
          <w:rFonts w:ascii="Times New Roman" w:hAnsi="Times New Roman" w:cs="Times New Roman"/>
        </w:rPr>
        <w:t>)</w:t>
      </w:r>
    </w:p>
    <w:p w14:paraId="0FC6B25A" w14:textId="77777777" w:rsidR="00F6614A" w:rsidRPr="00A225AE" w:rsidRDefault="00F6614A" w:rsidP="00617444">
      <w:pPr>
        <w:pStyle w:val="ListParagraph"/>
        <w:numPr>
          <w:ilvl w:val="0"/>
          <w:numId w:val="17"/>
        </w:numPr>
        <w:spacing w:line="259" w:lineRule="auto"/>
        <w:rPr>
          <w:rFonts w:ascii="Times New Roman" w:hAnsi="Times New Roman" w:cs="Times New Roman"/>
        </w:rPr>
      </w:pPr>
      <w:r w:rsidRPr="00A225AE">
        <w:rPr>
          <w:rFonts w:ascii="Times New Roman" w:hAnsi="Times New Roman" w:cs="Times New Roman"/>
        </w:rPr>
        <w:t>Cropland area harvested</w:t>
      </w:r>
    </w:p>
    <w:p w14:paraId="54B4F356" w14:textId="77777777" w:rsidR="00F6614A" w:rsidRPr="00A225AE" w:rsidRDefault="00F6614A" w:rsidP="00617444">
      <w:pPr>
        <w:pStyle w:val="ListParagraph"/>
        <w:numPr>
          <w:ilvl w:val="0"/>
          <w:numId w:val="17"/>
        </w:numPr>
        <w:spacing w:after="100" w:line="259" w:lineRule="auto"/>
        <w:ind w:left="1434" w:hanging="357"/>
        <w:rPr>
          <w:rFonts w:ascii="Times New Roman" w:hAnsi="Times New Roman" w:cs="Times New Roman"/>
        </w:rPr>
      </w:pPr>
      <w:r w:rsidRPr="00A225AE">
        <w:rPr>
          <w:rFonts w:ascii="Times New Roman" w:hAnsi="Times New Roman" w:cs="Times New Roman"/>
        </w:rPr>
        <w:t>Material consumption (tonnes of biomass production)</w:t>
      </w:r>
    </w:p>
    <w:p w14:paraId="43208870" w14:textId="436A9EEF" w:rsidR="00F6614A" w:rsidRPr="00A225AE" w:rsidRDefault="00B674EA" w:rsidP="00617444">
      <w:pPr>
        <w:spacing w:line="259" w:lineRule="auto"/>
        <w:ind w:left="720"/>
        <w:rPr>
          <w:rFonts w:ascii="Times New Roman" w:hAnsi="Times New Roman" w:cs="Times New Roman"/>
        </w:rPr>
      </w:pPr>
      <w:r>
        <w:rPr>
          <w:rFonts w:ascii="Times New Roman" w:hAnsi="Times New Roman" w:cs="Times New Roman"/>
        </w:rPr>
        <w:t>F</w:t>
      </w:r>
      <w:r w:rsidRPr="00B674EA">
        <w:rPr>
          <w:rFonts w:ascii="Times New Roman" w:hAnsi="Times New Roman" w:cs="Times New Roman"/>
        </w:rPr>
        <w:t>uture work will consider how to incorporate the following into the indicator</w:t>
      </w:r>
      <w:r w:rsidR="002B05C3">
        <w:rPr>
          <w:rFonts w:ascii="Times New Roman" w:hAnsi="Times New Roman" w:cs="Times New Roman"/>
        </w:rPr>
        <w:t xml:space="preserve"> suite</w:t>
      </w:r>
      <w:r w:rsidR="00F6614A" w:rsidRPr="00A225AE">
        <w:rPr>
          <w:rFonts w:ascii="Times New Roman" w:hAnsi="Times New Roman" w:cs="Times New Roman"/>
        </w:rPr>
        <w:t>:</w:t>
      </w:r>
    </w:p>
    <w:p w14:paraId="32936C32" w14:textId="5FFA2E20" w:rsidR="00E179DB" w:rsidRDefault="002B05C3" w:rsidP="00617444">
      <w:pPr>
        <w:pStyle w:val="ListParagraph"/>
        <w:numPr>
          <w:ilvl w:val="0"/>
          <w:numId w:val="17"/>
        </w:numPr>
        <w:spacing w:line="259" w:lineRule="auto"/>
        <w:rPr>
          <w:rFonts w:ascii="Times New Roman" w:hAnsi="Times New Roman" w:cs="Times New Roman"/>
        </w:rPr>
      </w:pPr>
      <w:r>
        <w:rPr>
          <w:rFonts w:ascii="Times New Roman" w:hAnsi="Times New Roman" w:cs="Times New Roman"/>
        </w:rPr>
        <w:t>D</w:t>
      </w:r>
      <w:r w:rsidR="00E179DB">
        <w:rPr>
          <w:rFonts w:ascii="Times New Roman" w:hAnsi="Times New Roman" w:cs="Times New Roman"/>
        </w:rPr>
        <w:t>eforestation</w:t>
      </w:r>
      <w:r>
        <w:rPr>
          <w:rFonts w:ascii="Times New Roman" w:hAnsi="Times New Roman" w:cs="Times New Roman"/>
        </w:rPr>
        <w:t xml:space="preserve"> in all regions (not just tropical/subtropical regions)</w:t>
      </w:r>
      <w:r w:rsidR="00E179DB">
        <w:rPr>
          <w:rFonts w:ascii="Times New Roman" w:hAnsi="Times New Roman" w:cs="Times New Roman"/>
        </w:rPr>
        <w:t xml:space="preserve"> </w:t>
      </w:r>
    </w:p>
    <w:p w14:paraId="521EFE16" w14:textId="5B9D09F2" w:rsidR="00F6614A" w:rsidRDefault="00F6614A" w:rsidP="00617444">
      <w:pPr>
        <w:pStyle w:val="ListParagraph"/>
        <w:numPr>
          <w:ilvl w:val="0"/>
          <w:numId w:val="17"/>
        </w:numPr>
        <w:spacing w:line="259" w:lineRule="auto"/>
        <w:rPr>
          <w:rFonts w:ascii="Times New Roman" w:hAnsi="Times New Roman" w:cs="Times New Roman"/>
        </w:rPr>
      </w:pPr>
      <w:r w:rsidRPr="00A225AE">
        <w:rPr>
          <w:rFonts w:ascii="Times New Roman" w:hAnsi="Times New Roman" w:cs="Times New Roman"/>
        </w:rPr>
        <w:t>Nitrogen and phosphorous pollution</w:t>
      </w:r>
    </w:p>
    <w:p w14:paraId="3119A96F" w14:textId="167737BC" w:rsidR="00617444" w:rsidRDefault="00F45B96" w:rsidP="00B674EA">
      <w:pPr>
        <w:pStyle w:val="ListParagraph"/>
        <w:numPr>
          <w:ilvl w:val="0"/>
          <w:numId w:val="17"/>
        </w:numPr>
        <w:spacing w:line="259" w:lineRule="auto"/>
      </w:pPr>
      <w:r w:rsidRPr="001A19E7">
        <w:rPr>
          <w:rFonts w:ascii="Times New Roman" w:hAnsi="Times New Roman" w:cs="Times New Roman"/>
          <w:szCs w:val="22"/>
        </w:rPr>
        <w:t>Additional/enhanced biodiversity metrics</w:t>
      </w:r>
    </w:p>
    <w:p w14:paraId="3B9D40BB" w14:textId="77777777" w:rsidR="00B674EA" w:rsidRDefault="00B674EA" w:rsidP="00617444">
      <w:pPr>
        <w:spacing w:line="259" w:lineRule="auto"/>
        <w:ind w:left="720"/>
        <w:rPr>
          <w:rFonts w:ascii="Times New Roman" w:hAnsi="Times New Roman" w:cs="Times New Roman"/>
          <w:b/>
          <w:bCs/>
        </w:rPr>
      </w:pPr>
    </w:p>
    <w:p w14:paraId="3AE26A4F" w14:textId="76A1E363" w:rsidR="008510DB" w:rsidRPr="00A225AE" w:rsidRDefault="008510DB" w:rsidP="00617444">
      <w:pPr>
        <w:spacing w:line="259" w:lineRule="auto"/>
        <w:ind w:left="720"/>
        <w:rPr>
          <w:rFonts w:ascii="Times New Roman" w:hAnsi="Times New Roman" w:cs="Times New Roman"/>
          <w:b/>
          <w:bCs/>
        </w:rPr>
      </w:pPr>
      <w:r w:rsidRPr="00A225AE">
        <w:rPr>
          <w:rFonts w:ascii="Times New Roman" w:hAnsi="Times New Roman" w:cs="Times New Roman"/>
          <w:b/>
          <w:bCs/>
        </w:rPr>
        <w:t>Commodities</w:t>
      </w:r>
    </w:p>
    <w:p w14:paraId="3AB61678" w14:textId="2D8A4164" w:rsidR="00BE5F4F" w:rsidRPr="00A225AE" w:rsidRDefault="00BE5F4F" w:rsidP="00617444">
      <w:pPr>
        <w:spacing w:line="259" w:lineRule="auto"/>
        <w:ind w:left="720"/>
        <w:rPr>
          <w:rFonts w:ascii="Times New Roman" w:hAnsi="Times New Roman" w:cs="Times New Roman"/>
        </w:rPr>
      </w:pPr>
      <w:r w:rsidRPr="00A225AE">
        <w:rPr>
          <w:rFonts w:ascii="Times New Roman" w:hAnsi="Times New Roman" w:cs="Times New Roman"/>
        </w:rPr>
        <w:t xml:space="preserve">The initial </w:t>
      </w:r>
      <w:r w:rsidR="00DA25DC">
        <w:rPr>
          <w:rFonts w:ascii="Times New Roman" w:hAnsi="Times New Roman" w:cs="Times New Roman"/>
        </w:rPr>
        <w:t>results</w:t>
      </w:r>
      <w:r w:rsidR="00DA25DC" w:rsidRPr="00A225AE">
        <w:rPr>
          <w:rFonts w:ascii="Times New Roman" w:hAnsi="Times New Roman" w:cs="Times New Roman"/>
        </w:rPr>
        <w:t xml:space="preserve"> </w:t>
      </w:r>
      <w:r w:rsidRPr="00A225AE">
        <w:rPr>
          <w:rFonts w:ascii="Times New Roman" w:hAnsi="Times New Roman" w:cs="Times New Roman"/>
        </w:rPr>
        <w:t xml:space="preserve">provided data on agricultural crop commodities. For tropical </w:t>
      </w:r>
      <w:r w:rsidR="00D96F07">
        <w:rPr>
          <w:rFonts w:ascii="Times New Roman" w:hAnsi="Times New Roman" w:cs="Times New Roman"/>
        </w:rPr>
        <w:t xml:space="preserve">and subtropical </w:t>
      </w:r>
      <w:r w:rsidRPr="00A225AE">
        <w:rPr>
          <w:rFonts w:ascii="Times New Roman" w:hAnsi="Times New Roman" w:cs="Times New Roman"/>
        </w:rPr>
        <w:t>deforestation, and the GHG emissions related to tropical</w:t>
      </w:r>
      <w:r w:rsidR="00D96F07">
        <w:rPr>
          <w:rFonts w:ascii="Times New Roman" w:hAnsi="Times New Roman" w:cs="Times New Roman"/>
        </w:rPr>
        <w:t xml:space="preserve"> and subtropical</w:t>
      </w:r>
      <w:r w:rsidRPr="00A225AE">
        <w:rPr>
          <w:rFonts w:ascii="Times New Roman" w:hAnsi="Times New Roman" w:cs="Times New Roman"/>
        </w:rPr>
        <w:t xml:space="preserve"> deforestation, cattle</w:t>
      </w:r>
      <w:r w:rsidR="00DA366C">
        <w:rPr>
          <w:rFonts w:ascii="Times New Roman" w:hAnsi="Times New Roman" w:cs="Times New Roman"/>
        </w:rPr>
        <w:t>-</w:t>
      </w:r>
      <w:r w:rsidRPr="00A225AE">
        <w:rPr>
          <w:rFonts w:ascii="Times New Roman" w:hAnsi="Times New Roman" w:cs="Times New Roman"/>
        </w:rPr>
        <w:t xml:space="preserve">related commodities and timber were also included. </w:t>
      </w:r>
      <w:r w:rsidR="00544157">
        <w:rPr>
          <w:rFonts w:ascii="Times New Roman" w:hAnsi="Times New Roman" w:cs="Times New Roman"/>
        </w:rPr>
        <w:t>F</w:t>
      </w:r>
      <w:r w:rsidRPr="00A225AE">
        <w:rPr>
          <w:rFonts w:ascii="Times New Roman" w:hAnsi="Times New Roman" w:cs="Times New Roman"/>
        </w:rPr>
        <w:t xml:space="preserve">uture work </w:t>
      </w:r>
      <w:r w:rsidR="00544157">
        <w:rPr>
          <w:rFonts w:ascii="Times New Roman" w:hAnsi="Times New Roman" w:cs="Times New Roman"/>
        </w:rPr>
        <w:t>plans to</w:t>
      </w:r>
      <w:r w:rsidR="00544157" w:rsidRPr="00A225AE">
        <w:rPr>
          <w:rFonts w:ascii="Times New Roman" w:hAnsi="Times New Roman" w:cs="Times New Roman"/>
        </w:rPr>
        <w:t xml:space="preserve"> </w:t>
      </w:r>
      <w:r w:rsidRPr="00A225AE">
        <w:rPr>
          <w:rFonts w:ascii="Times New Roman" w:hAnsi="Times New Roman" w:cs="Times New Roman"/>
        </w:rPr>
        <w:t xml:space="preserve">scope out the </w:t>
      </w:r>
      <w:r w:rsidR="00544157">
        <w:rPr>
          <w:rFonts w:ascii="Times New Roman" w:hAnsi="Times New Roman" w:cs="Times New Roman"/>
        </w:rPr>
        <w:t xml:space="preserve">potential for </w:t>
      </w:r>
      <w:r w:rsidRPr="00A225AE">
        <w:rPr>
          <w:rFonts w:ascii="Times New Roman" w:hAnsi="Times New Roman" w:cs="Times New Roman"/>
        </w:rPr>
        <w:t>addition of metals / minerals and marine commodities to the dataset.</w:t>
      </w:r>
    </w:p>
    <w:p w14:paraId="6111923E" w14:textId="77777777" w:rsidR="00F6614A" w:rsidRPr="00A225AE" w:rsidRDefault="00F6614A" w:rsidP="00617444">
      <w:pPr>
        <w:spacing w:line="259" w:lineRule="auto"/>
        <w:ind w:left="720"/>
        <w:rPr>
          <w:rFonts w:ascii="Times New Roman" w:hAnsi="Times New Roman" w:cs="Times New Roman"/>
          <w:b/>
          <w:bCs/>
        </w:rPr>
      </w:pPr>
    </w:p>
    <w:p w14:paraId="6D69608A" w14:textId="459E0286" w:rsidR="008510DB" w:rsidRPr="00A225AE" w:rsidRDefault="009E3F3F" w:rsidP="00617444">
      <w:pPr>
        <w:spacing w:line="259" w:lineRule="auto"/>
        <w:ind w:left="720"/>
        <w:rPr>
          <w:rFonts w:ascii="Times New Roman" w:hAnsi="Times New Roman" w:cs="Times New Roman"/>
          <w:b/>
          <w:bCs/>
        </w:rPr>
      </w:pPr>
      <w:r w:rsidRPr="00A225AE">
        <w:rPr>
          <w:rFonts w:ascii="Times New Roman" w:hAnsi="Times New Roman" w:cs="Times New Roman"/>
          <w:b/>
          <w:bCs/>
        </w:rPr>
        <w:t>Geographic</w:t>
      </w:r>
    </w:p>
    <w:p w14:paraId="6FBD84A0" w14:textId="1D038A7D" w:rsidR="00381F48" w:rsidRPr="00A225AE" w:rsidRDefault="00D96F07" w:rsidP="00617444">
      <w:pPr>
        <w:pStyle w:val="ListParagraph"/>
        <w:spacing w:line="259" w:lineRule="auto"/>
        <w:rPr>
          <w:rFonts w:ascii="Times New Roman" w:hAnsi="Times New Roman" w:cs="Times New Roman"/>
        </w:rPr>
      </w:pPr>
      <w:r>
        <w:rPr>
          <w:rFonts w:ascii="Times New Roman" w:hAnsi="Times New Roman" w:cs="Times New Roman"/>
        </w:rPr>
        <w:lastRenderedPageBreak/>
        <w:t>The</w:t>
      </w:r>
      <w:r w:rsidR="00381F48" w:rsidRPr="00A225AE">
        <w:rPr>
          <w:rFonts w:ascii="Times New Roman" w:hAnsi="Times New Roman" w:cs="Times New Roman"/>
        </w:rPr>
        <w:t xml:space="preserve"> dataset provides globally relevant results. Any country </w:t>
      </w:r>
      <w:r w:rsidR="00B674EA">
        <w:rPr>
          <w:rFonts w:ascii="Times New Roman" w:hAnsi="Times New Roman" w:cs="Times New Roman"/>
        </w:rPr>
        <w:t xml:space="preserve">(and several territories) </w:t>
      </w:r>
      <w:r w:rsidR="00381F48" w:rsidRPr="00A225AE">
        <w:rPr>
          <w:rFonts w:ascii="Times New Roman" w:hAnsi="Times New Roman" w:cs="Times New Roman"/>
        </w:rPr>
        <w:t xml:space="preserve">worldwide </w:t>
      </w:r>
      <w:r w:rsidR="00946068" w:rsidRPr="00A225AE">
        <w:rPr>
          <w:rFonts w:ascii="Times New Roman" w:hAnsi="Times New Roman" w:cs="Times New Roman"/>
        </w:rPr>
        <w:t>can</w:t>
      </w:r>
      <w:r w:rsidR="00381F48" w:rsidRPr="00A225AE">
        <w:rPr>
          <w:rFonts w:ascii="Times New Roman" w:hAnsi="Times New Roman" w:cs="Times New Roman"/>
        </w:rPr>
        <w:t xml:space="preserve"> view results from a </w:t>
      </w:r>
      <w:r w:rsidR="00381F48" w:rsidRPr="00A225AE">
        <w:rPr>
          <w:rFonts w:ascii="Times New Roman" w:hAnsi="Times New Roman" w:cs="Times New Roman"/>
          <w:i/>
          <w:iCs/>
        </w:rPr>
        <w:t>production</w:t>
      </w:r>
      <w:r w:rsidR="00381F48" w:rsidRPr="00A225AE">
        <w:rPr>
          <w:rFonts w:ascii="Times New Roman" w:hAnsi="Times New Roman" w:cs="Times New Roman"/>
        </w:rPr>
        <w:t xml:space="preserve"> perspective, to </w:t>
      </w:r>
      <w:r w:rsidR="00A77CA8">
        <w:rPr>
          <w:rFonts w:ascii="Times New Roman" w:hAnsi="Times New Roman" w:cs="Times New Roman"/>
        </w:rPr>
        <w:t>understand</w:t>
      </w:r>
      <w:r w:rsidR="00381F48" w:rsidRPr="00A225AE">
        <w:rPr>
          <w:rFonts w:ascii="Times New Roman" w:hAnsi="Times New Roman" w:cs="Times New Roman"/>
        </w:rPr>
        <w:t xml:space="preserve"> impacts taking place in their own country</w:t>
      </w:r>
      <w:r w:rsidR="00B674EA">
        <w:rPr>
          <w:rFonts w:ascii="Times New Roman" w:hAnsi="Times New Roman" w:cs="Times New Roman"/>
        </w:rPr>
        <w:t xml:space="preserve"> (or territory)</w:t>
      </w:r>
      <w:r w:rsidR="00381F48" w:rsidRPr="00A225AE">
        <w:rPr>
          <w:rFonts w:ascii="Times New Roman" w:hAnsi="Times New Roman" w:cs="Times New Roman"/>
        </w:rPr>
        <w:t xml:space="preserve"> </w:t>
      </w:r>
      <w:r w:rsidR="00B674EA">
        <w:rPr>
          <w:rFonts w:ascii="Times New Roman" w:hAnsi="Times New Roman" w:cs="Times New Roman"/>
        </w:rPr>
        <w:t>that</w:t>
      </w:r>
      <w:r w:rsidR="00DA366C">
        <w:rPr>
          <w:rFonts w:ascii="Times New Roman" w:hAnsi="Times New Roman" w:cs="Times New Roman"/>
        </w:rPr>
        <w:t xml:space="preserve"> are driven </w:t>
      </w:r>
      <w:r w:rsidR="00381F48" w:rsidRPr="00A225AE">
        <w:rPr>
          <w:rFonts w:ascii="Times New Roman" w:hAnsi="Times New Roman" w:cs="Times New Roman"/>
        </w:rPr>
        <w:t xml:space="preserve">by the </w:t>
      </w:r>
      <w:r w:rsidR="00DA366C">
        <w:rPr>
          <w:rFonts w:ascii="Times New Roman" w:hAnsi="Times New Roman" w:cs="Times New Roman"/>
        </w:rPr>
        <w:t xml:space="preserve">consumption of other </w:t>
      </w:r>
      <w:r w:rsidR="00381F48" w:rsidRPr="00A225AE">
        <w:rPr>
          <w:rFonts w:ascii="Times New Roman" w:hAnsi="Times New Roman" w:cs="Times New Roman"/>
        </w:rPr>
        <w:t>countries</w:t>
      </w:r>
      <w:r w:rsidR="00B674EA">
        <w:rPr>
          <w:rFonts w:ascii="Times New Roman" w:hAnsi="Times New Roman" w:cs="Times New Roman"/>
        </w:rPr>
        <w:t>,</w:t>
      </w:r>
      <w:r w:rsidR="00381F48" w:rsidRPr="00A225AE">
        <w:rPr>
          <w:rFonts w:ascii="Times New Roman" w:hAnsi="Times New Roman" w:cs="Times New Roman"/>
        </w:rPr>
        <w:t xml:space="preserve"> regions</w:t>
      </w:r>
      <w:r w:rsidR="00B674EA">
        <w:rPr>
          <w:rFonts w:ascii="Times New Roman" w:hAnsi="Times New Roman" w:cs="Times New Roman"/>
        </w:rPr>
        <w:t xml:space="preserve"> or territories</w:t>
      </w:r>
      <w:r w:rsidR="00474B38">
        <w:rPr>
          <w:rFonts w:ascii="Times New Roman" w:hAnsi="Times New Roman" w:cs="Times New Roman"/>
        </w:rPr>
        <w:t xml:space="preserve"> (although for the deforestation metric this is currently restricted to countries/territories containing tropical/subtropical forest)</w:t>
      </w:r>
      <w:r w:rsidR="00381F48" w:rsidRPr="00A225AE">
        <w:rPr>
          <w:rFonts w:ascii="Times New Roman" w:hAnsi="Times New Roman" w:cs="Times New Roman"/>
        </w:rPr>
        <w:t xml:space="preserve">. It </w:t>
      </w:r>
      <w:r w:rsidR="00946068" w:rsidRPr="00A225AE">
        <w:rPr>
          <w:rFonts w:ascii="Times New Roman" w:hAnsi="Times New Roman" w:cs="Times New Roman"/>
        </w:rPr>
        <w:t>is also currently</w:t>
      </w:r>
      <w:r w:rsidR="00381F48" w:rsidRPr="00A225AE">
        <w:rPr>
          <w:rFonts w:ascii="Times New Roman" w:hAnsi="Times New Roman" w:cs="Times New Roman"/>
        </w:rPr>
        <w:t xml:space="preserve"> possible to view results from a </w:t>
      </w:r>
      <w:r w:rsidR="00381F48" w:rsidRPr="00A225AE">
        <w:rPr>
          <w:rFonts w:ascii="Times New Roman" w:hAnsi="Times New Roman" w:cs="Times New Roman"/>
          <w:i/>
          <w:iCs/>
        </w:rPr>
        <w:t xml:space="preserve">consumption </w:t>
      </w:r>
      <w:r w:rsidR="00381F48" w:rsidRPr="00A225AE">
        <w:rPr>
          <w:rFonts w:ascii="Times New Roman" w:hAnsi="Times New Roman" w:cs="Times New Roman"/>
        </w:rPr>
        <w:t xml:space="preserve">perspective for 44 </w:t>
      </w:r>
      <w:r w:rsidR="00B674EA">
        <w:rPr>
          <w:rFonts w:ascii="Times New Roman" w:hAnsi="Times New Roman" w:cs="Times New Roman"/>
        </w:rPr>
        <w:t>countries/territories</w:t>
      </w:r>
      <w:r w:rsidR="00381F48" w:rsidRPr="00A225AE">
        <w:rPr>
          <w:rFonts w:ascii="Times New Roman" w:hAnsi="Times New Roman" w:cs="Times New Roman"/>
        </w:rPr>
        <w:t>, to identify the impacts that their consumption is driving within each producer country</w:t>
      </w:r>
      <w:r w:rsidR="007D5AF7">
        <w:rPr>
          <w:rFonts w:ascii="Times New Roman" w:hAnsi="Times New Roman" w:cs="Times New Roman"/>
        </w:rPr>
        <w:t>/territory</w:t>
      </w:r>
      <w:r w:rsidR="00381F48" w:rsidRPr="00A225AE">
        <w:rPr>
          <w:rFonts w:ascii="Times New Roman" w:hAnsi="Times New Roman" w:cs="Times New Roman"/>
        </w:rPr>
        <w:t xml:space="preserve">. Other countries </w:t>
      </w:r>
      <w:r w:rsidR="00946068" w:rsidRPr="00A225AE">
        <w:rPr>
          <w:rFonts w:ascii="Times New Roman" w:hAnsi="Times New Roman" w:cs="Times New Roman"/>
        </w:rPr>
        <w:t>are currently</w:t>
      </w:r>
      <w:r w:rsidR="00381F48" w:rsidRPr="00A225AE">
        <w:rPr>
          <w:rFonts w:ascii="Times New Roman" w:hAnsi="Times New Roman" w:cs="Times New Roman"/>
        </w:rPr>
        <w:t xml:space="preserve"> grouped into five ‘rest of world’ regions due to </w:t>
      </w:r>
      <w:r w:rsidR="00615E59">
        <w:rPr>
          <w:rFonts w:ascii="Times New Roman" w:hAnsi="Times New Roman" w:cs="Times New Roman"/>
        </w:rPr>
        <w:t xml:space="preserve">limited </w:t>
      </w:r>
      <w:r w:rsidR="00381F48" w:rsidRPr="00A225AE">
        <w:rPr>
          <w:rFonts w:ascii="Times New Roman" w:hAnsi="Times New Roman" w:cs="Times New Roman"/>
        </w:rPr>
        <w:t xml:space="preserve">data availability. </w:t>
      </w:r>
      <w:r w:rsidR="00946068" w:rsidRPr="00A225AE">
        <w:rPr>
          <w:rFonts w:ascii="Times New Roman" w:hAnsi="Times New Roman" w:cs="Times New Roman"/>
        </w:rPr>
        <w:t>Work is underway</w:t>
      </w:r>
      <w:r>
        <w:rPr>
          <w:rFonts w:ascii="Times New Roman" w:hAnsi="Times New Roman" w:cs="Times New Roman"/>
        </w:rPr>
        <w:t xml:space="preserve"> – with results expected to be available for a 2023 data release -</w:t>
      </w:r>
      <w:r w:rsidR="00946068" w:rsidRPr="00A225AE">
        <w:rPr>
          <w:rFonts w:ascii="Times New Roman" w:hAnsi="Times New Roman" w:cs="Times New Roman"/>
        </w:rPr>
        <w:t xml:space="preserve"> to expand this</w:t>
      </w:r>
      <w:r w:rsidR="00ED7203">
        <w:rPr>
          <w:rFonts w:ascii="Times New Roman" w:hAnsi="Times New Roman" w:cs="Times New Roman"/>
        </w:rPr>
        <w:t xml:space="preserve"> indicator</w:t>
      </w:r>
      <w:r w:rsidR="00946068" w:rsidRPr="00A225AE">
        <w:rPr>
          <w:rFonts w:ascii="Times New Roman" w:hAnsi="Times New Roman" w:cs="Times New Roman"/>
        </w:rPr>
        <w:t xml:space="preserve"> to</w:t>
      </w:r>
      <w:r w:rsidR="00BE5F4F" w:rsidRPr="00A225AE">
        <w:rPr>
          <w:rFonts w:ascii="Times New Roman" w:hAnsi="Times New Roman" w:cs="Times New Roman"/>
        </w:rPr>
        <w:t xml:space="preserve"> </w:t>
      </w:r>
      <w:r w:rsidR="00ED7203">
        <w:rPr>
          <w:rFonts w:ascii="Times New Roman" w:hAnsi="Times New Roman" w:cs="Times New Roman"/>
        </w:rPr>
        <w:t>encompass</w:t>
      </w:r>
      <w:r w:rsidR="00530D3C">
        <w:rPr>
          <w:rFonts w:ascii="Times New Roman" w:hAnsi="Times New Roman" w:cs="Times New Roman"/>
        </w:rPr>
        <w:t xml:space="preserve"> at least</w:t>
      </w:r>
      <w:r w:rsidR="00ED7203">
        <w:rPr>
          <w:rFonts w:ascii="Times New Roman" w:hAnsi="Times New Roman" w:cs="Times New Roman"/>
        </w:rPr>
        <w:t xml:space="preserve"> </w:t>
      </w:r>
      <w:r w:rsidR="00BE5F4F" w:rsidRPr="00A225AE">
        <w:rPr>
          <w:rFonts w:ascii="Times New Roman" w:hAnsi="Times New Roman" w:cs="Times New Roman"/>
        </w:rPr>
        <w:t>120 countries</w:t>
      </w:r>
      <w:r w:rsidR="00A9611F">
        <w:rPr>
          <w:rFonts w:ascii="Times New Roman" w:hAnsi="Times New Roman" w:cs="Times New Roman"/>
        </w:rPr>
        <w:t xml:space="preserve"> and territories</w:t>
      </w:r>
      <w:r w:rsidR="00BE5F4F" w:rsidRPr="00A225AE">
        <w:rPr>
          <w:rFonts w:ascii="Times New Roman" w:hAnsi="Times New Roman" w:cs="Times New Roman"/>
        </w:rPr>
        <w:t xml:space="preserve"> from a consumption perspective. </w:t>
      </w:r>
      <w:r w:rsidR="00381F48" w:rsidRPr="00A225AE">
        <w:rPr>
          <w:rFonts w:ascii="Times New Roman" w:hAnsi="Times New Roman" w:cs="Times New Roman"/>
        </w:rPr>
        <w:t>On the dashboard, there is a drop-down menu where it is possible to select any country</w:t>
      </w:r>
      <w:r w:rsidR="007D5AF7">
        <w:rPr>
          <w:rFonts w:ascii="Times New Roman" w:hAnsi="Times New Roman" w:cs="Times New Roman"/>
        </w:rPr>
        <w:t>/territory</w:t>
      </w:r>
      <w:r w:rsidR="00381F48" w:rsidRPr="00A225AE">
        <w:rPr>
          <w:rFonts w:ascii="Times New Roman" w:hAnsi="Times New Roman" w:cs="Times New Roman"/>
        </w:rPr>
        <w:t xml:space="preserve"> for which there </w:t>
      </w:r>
      <w:r w:rsidR="00A77CA8">
        <w:rPr>
          <w:rFonts w:ascii="Times New Roman" w:hAnsi="Times New Roman" w:cs="Times New Roman"/>
        </w:rPr>
        <w:t xml:space="preserve">are </w:t>
      </w:r>
      <w:r w:rsidR="00381F48" w:rsidRPr="00A225AE">
        <w:rPr>
          <w:rFonts w:ascii="Times New Roman" w:hAnsi="Times New Roman" w:cs="Times New Roman"/>
        </w:rPr>
        <w:t>data, to visualise results.</w:t>
      </w:r>
    </w:p>
    <w:p w14:paraId="08904F13" w14:textId="233645C0" w:rsidR="009E3F3F" w:rsidRPr="00A225AE" w:rsidRDefault="009E3F3F" w:rsidP="00617444">
      <w:pPr>
        <w:pStyle w:val="ListParagraph"/>
        <w:spacing w:line="259" w:lineRule="auto"/>
        <w:rPr>
          <w:rFonts w:ascii="Times New Roman" w:hAnsi="Times New Roman" w:cs="Times New Roman"/>
        </w:rPr>
      </w:pPr>
    </w:p>
    <w:p w14:paraId="741E92EA" w14:textId="59D39809" w:rsidR="009E3F3F" w:rsidRPr="00A225AE" w:rsidRDefault="009E3F3F" w:rsidP="00617444">
      <w:pPr>
        <w:pStyle w:val="ListParagraph"/>
        <w:spacing w:line="259" w:lineRule="auto"/>
        <w:rPr>
          <w:rFonts w:ascii="Times New Roman" w:hAnsi="Times New Roman" w:cs="Times New Roman"/>
          <w:b/>
          <w:bCs/>
        </w:rPr>
      </w:pPr>
      <w:r w:rsidRPr="00A225AE">
        <w:rPr>
          <w:rFonts w:ascii="Times New Roman" w:hAnsi="Times New Roman" w:cs="Times New Roman"/>
          <w:b/>
          <w:bCs/>
        </w:rPr>
        <w:t>Temporal</w:t>
      </w:r>
    </w:p>
    <w:p w14:paraId="257C6471" w14:textId="037B85F1" w:rsidR="009E3F3F" w:rsidRPr="00A225AE" w:rsidRDefault="009E3F3F" w:rsidP="00617444">
      <w:pPr>
        <w:pStyle w:val="ListParagraph"/>
        <w:spacing w:line="259" w:lineRule="auto"/>
        <w:rPr>
          <w:rFonts w:ascii="Times New Roman" w:hAnsi="Times New Roman" w:cs="Times New Roman"/>
        </w:rPr>
      </w:pPr>
      <w:r w:rsidRPr="00A225AE">
        <w:rPr>
          <w:rFonts w:ascii="Times New Roman" w:hAnsi="Times New Roman" w:cs="Times New Roman"/>
        </w:rPr>
        <w:t xml:space="preserve">Data are currently available </w:t>
      </w:r>
      <w:r w:rsidR="00562365">
        <w:rPr>
          <w:rFonts w:ascii="Times New Roman" w:hAnsi="Times New Roman" w:cs="Times New Roman"/>
        </w:rPr>
        <w:t xml:space="preserve">annually </w:t>
      </w:r>
      <w:r w:rsidRPr="00A225AE">
        <w:rPr>
          <w:rFonts w:ascii="Times New Roman" w:hAnsi="Times New Roman" w:cs="Times New Roman"/>
        </w:rPr>
        <w:t>for 2005-2017.</w:t>
      </w:r>
      <w:r w:rsidR="00397A97" w:rsidRPr="00A225AE">
        <w:rPr>
          <w:rFonts w:ascii="Times New Roman" w:hAnsi="Times New Roman" w:cs="Times New Roman"/>
        </w:rPr>
        <w:t xml:space="preserve"> Data for 2018 will become available in </w:t>
      </w:r>
      <w:r w:rsidR="00544157">
        <w:rPr>
          <w:rFonts w:ascii="Times New Roman" w:hAnsi="Times New Roman" w:cs="Times New Roman"/>
        </w:rPr>
        <w:t>late</w:t>
      </w:r>
      <w:r w:rsidR="00544157" w:rsidRPr="00A225AE">
        <w:rPr>
          <w:rFonts w:ascii="Times New Roman" w:hAnsi="Times New Roman" w:cs="Times New Roman"/>
        </w:rPr>
        <w:t xml:space="preserve"> </w:t>
      </w:r>
      <w:r w:rsidR="00397A97" w:rsidRPr="00A225AE">
        <w:rPr>
          <w:rFonts w:ascii="Times New Roman" w:hAnsi="Times New Roman" w:cs="Times New Roman"/>
        </w:rPr>
        <w:t xml:space="preserve">2022. </w:t>
      </w:r>
      <w:r w:rsidR="001274B2">
        <w:rPr>
          <w:rFonts w:ascii="Times New Roman" w:hAnsi="Times New Roman" w:cs="Times New Roman"/>
        </w:rPr>
        <w:t>It will be updated annually</w:t>
      </w:r>
      <w:r w:rsidR="00397A97" w:rsidRPr="00A225AE">
        <w:rPr>
          <w:rFonts w:ascii="Times New Roman" w:hAnsi="Times New Roman" w:cs="Times New Roman"/>
        </w:rPr>
        <w:t>.</w:t>
      </w:r>
    </w:p>
    <w:p w14:paraId="64FD5845" w14:textId="77777777" w:rsidR="008510DB" w:rsidRPr="00A225AE" w:rsidRDefault="008510DB" w:rsidP="00617444">
      <w:pPr>
        <w:spacing w:line="259" w:lineRule="auto"/>
        <w:rPr>
          <w:rFonts w:ascii="Times New Roman" w:hAnsi="Times New Roman" w:cs="Times New Roman"/>
          <w:b/>
          <w:bCs/>
        </w:rPr>
      </w:pPr>
    </w:p>
    <w:p w14:paraId="7ECE3A4C" w14:textId="77777777" w:rsidR="005D0270" w:rsidRPr="00A225AE" w:rsidRDefault="005D0270" w:rsidP="00617444">
      <w:pPr>
        <w:spacing w:line="259" w:lineRule="auto"/>
        <w:rPr>
          <w:rFonts w:ascii="Times New Roman" w:hAnsi="Times New Roman" w:cs="Times New Roman"/>
          <w:b/>
          <w:bCs/>
        </w:rPr>
      </w:pPr>
    </w:p>
    <w:p w14:paraId="1E1698FE" w14:textId="3C0744C0" w:rsidR="00306E0B" w:rsidRPr="00A225AE" w:rsidRDefault="00397A97" w:rsidP="00617444">
      <w:pPr>
        <w:spacing w:line="259" w:lineRule="auto"/>
        <w:rPr>
          <w:rFonts w:ascii="Times New Roman" w:hAnsi="Times New Roman" w:cs="Times New Roman"/>
          <w:b/>
          <w:bCs/>
        </w:rPr>
      </w:pPr>
      <w:r w:rsidRPr="00A225AE">
        <w:rPr>
          <w:rFonts w:ascii="Times New Roman" w:hAnsi="Times New Roman" w:cs="Times New Roman"/>
          <w:b/>
          <w:bCs/>
        </w:rPr>
        <w:t>Methodology and data sources</w:t>
      </w:r>
    </w:p>
    <w:p w14:paraId="146E5439" w14:textId="71033E0B" w:rsidR="00784EC0" w:rsidRPr="00A225AE" w:rsidRDefault="00784EC0" w:rsidP="00617444">
      <w:pPr>
        <w:spacing w:line="259" w:lineRule="auto"/>
        <w:rPr>
          <w:rFonts w:ascii="Times New Roman" w:hAnsi="Times New Roman" w:cs="Times New Roman"/>
          <w:lang w:val="en-US"/>
        </w:rPr>
      </w:pPr>
      <w:r w:rsidRPr="00A225AE">
        <w:rPr>
          <w:rFonts w:ascii="Times New Roman" w:hAnsi="Times New Roman" w:cs="Times New Roman"/>
          <w:lang w:val="en-US"/>
        </w:rPr>
        <w:t xml:space="preserve">Full technical information providing all relevant details about how the indicator is calculated is available from the indicator’s </w:t>
      </w:r>
      <w:hyperlink r:id="rId18" w:history="1">
        <w:r w:rsidRPr="00A225AE">
          <w:rPr>
            <w:rStyle w:val="Hyperlink"/>
            <w:rFonts w:ascii="Times New Roman" w:hAnsi="Times New Roman" w:cs="Times New Roman"/>
            <w:lang w:val="en-US"/>
          </w:rPr>
          <w:t>technical documentation</w:t>
        </w:r>
      </w:hyperlink>
      <w:r w:rsidRPr="00A225AE">
        <w:rPr>
          <w:rFonts w:ascii="Times New Roman" w:hAnsi="Times New Roman" w:cs="Times New Roman"/>
          <w:lang w:val="en-US"/>
        </w:rPr>
        <w:t>.</w:t>
      </w:r>
    </w:p>
    <w:p w14:paraId="67A1C2B5" w14:textId="77777777" w:rsidR="00784EC0" w:rsidRPr="00A225AE" w:rsidRDefault="00784EC0" w:rsidP="00617444">
      <w:pPr>
        <w:spacing w:line="259" w:lineRule="auto"/>
        <w:rPr>
          <w:rFonts w:ascii="Times New Roman" w:hAnsi="Times New Roman" w:cs="Times New Roman"/>
          <w:lang w:val="en-US"/>
        </w:rPr>
      </w:pPr>
    </w:p>
    <w:p w14:paraId="432A9C25" w14:textId="01847151" w:rsidR="00DF0AE4" w:rsidRDefault="00784EC0">
      <w:r w:rsidRPr="00A225AE">
        <w:rPr>
          <w:rFonts w:ascii="Times New Roman" w:hAnsi="Times New Roman" w:cs="Times New Roman"/>
          <w:lang w:val="en-US"/>
        </w:rPr>
        <w:t>In brief, the indicator is based on</w:t>
      </w:r>
      <w:r w:rsidR="00B33B9E">
        <w:rPr>
          <w:rFonts w:ascii="Times New Roman" w:hAnsi="Times New Roman" w:cs="Times New Roman"/>
          <w:lang w:val="en-US"/>
        </w:rPr>
        <w:t xml:space="preserve"> </w:t>
      </w:r>
      <w:r w:rsidR="007D5AF7">
        <w:rPr>
          <w:rFonts w:ascii="Times New Roman" w:hAnsi="Times New Roman" w:cs="Times New Roman"/>
          <w:lang w:val="en-US"/>
        </w:rPr>
        <w:t>a modified</w:t>
      </w:r>
      <w:r w:rsidR="00B33B9E">
        <w:rPr>
          <w:rFonts w:ascii="Times New Roman" w:hAnsi="Times New Roman" w:cs="Times New Roman"/>
          <w:lang w:val="en-US"/>
        </w:rPr>
        <w:t xml:space="preserve"> form of</w:t>
      </w:r>
      <w:r w:rsidRPr="00A225AE">
        <w:rPr>
          <w:rFonts w:ascii="Times New Roman" w:hAnsi="Times New Roman" w:cs="Times New Roman"/>
          <w:lang w:val="en-US"/>
        </w:rPr>
        <w:t xml:space="preserve"> MRIO (multi regional input-output) modelling, which is used to model global trade flows representing the monetary inputs and outputs across different countries</w:t>
      </w:r>
      <w:r w:rsidR="007F4AFE">
        <w:rPr>
          <w:rFonts w:ascii="Times New Roman" w:hAnsi="Times New Roman" w:cs="Times New Roman"/>
          <w:lang w:val="en-US"/>
        </w:rPr>
        <w:t>/territories</w:t>
      </w:r>
      <w:r w:rsidRPr="00A225AE">
        <w:rPr>
          <w:rFonts w:ascii="Times New Roman" w:hAnsi="Times New Roman" w:cs="Times New Roman"/>
          <w:lang w:val="en-US"/>
        </w:rPr>
        <w:t xml:space="preserve"> and their commercial sectors (e.g.</w:t>
      </w:r>
      <w:r w:rsidR="007D5AF7">
        <w:rPr>
          <w:rFonts w:ascii="Times New Roman" w:hAnsi="Times New Roman" w:cs="Times New Roman"/>
          <w:lang w:val="en-US"/>
        </w:rPr>
        <w:t>,</w:t>
      </w:r>
      <w:r w:rsidRPr="00A225AE">
        <w:rPr>
          <w:rFonts w:ascii="Times New Roman" w:hAnsi="Times New Roman" w:cs="Times New Roman"/>
          <w:lang w:val="en-US"/>
        </w:rPr>
        <w:t xml:space="preserve"> oilseeds, cattle farming, paddy rice, etc.). The MRIO data used for this indicator were from </w:t>
      </w:r>
      <w:hyperlink r:id="rId19" w:history="1">
        <w:proofErr w:type="spellStart"/>
        <w:r w:rsidRPr="00A225AE">
          <w:rPr>
            <w:rStyle w:val="Hyperlink"/>
            <w:rFonts w:ascii="Times New Roman" w:hAnsi="Times New Roman" w:cs="Times New Roman"/>
            <w:lang w:val="en-US"/>
          </w:rPr>
          <w:t>Exiobase</w:t>
        </w:r>
        <w:proofErr w:type="spellEnd"/>
      </w:hyperlink>
      <w:r w:rsidR="007D5AF7">
        <w:rPr>
          <w:rFonts w:ascii="Times New Roman" w:hAnsi="Times New Roman" w:cs="Times New Roman"/>
          <w:lang w:val="en-US"/>
        </w:rPr>
        <w:t xml:space="preserve"> </w:t>
      </w:r>
      <w:r w:rsidR="007D5AF7" w:rsidRPr="007D5AF7">
        <w:rPr>
          <w:rFonts w:ascii="Times New Roman" w:hAnsi="Times New Roman" w:cs="Times New Roman"/>
          <w:lang w:val="en-US"/>
        </w:rPr>
        <w:t>(although the addition of other MRIO datasets is being explored for the work aiming to expand consumption country</w:t>
      </w:r>
      <w:r w:rsidR="007D5AF7">
        <w:rPr>
          <w:rFonts w:ascii="Times New Roman" w:hAnsi="Times New Roman" w:cs="Times New Roman"/>
          <w:lang w:val="en-US"/>
        </w:rPr>
        <w:t>/territory</w:t>
      </w:r>
      <w:r w:rsidR="007D5AF7" w:rsidRPr="007D5AF7">
        <w:rPr>
          <w:rFonts w:ascii="Times New Roman" w:hAnsi="Times New Roman" w:cs="Times New Roman"/>
          <w:lang w:val="en-US"/>
        </w:rPr>
        <w:t xml:space="preserve"> coverage)</w:t>
      </w:r>
      <w:r w:rsidR="007D5AF7">
        <w:rPr>
          <w:rFonts w:ascii="Times New Roman" w:hAnsi="Times New Roman" w:cs="Times New Roman"/>
          <w:lang w:val="en-US"/>
        </w:rPr>
        <w:t>.</w:t>
      </w:r>
      <w:r w:rsidRPr="00A225AE">
        <w:rPr>
          <w:rFonts w:ascii="Times New Roman" w:hAnsi="Times New Roman" w:cs="Times New Roman"/>
          <w:lang w:val="en-US"/>
        </w:rPr>
        <w:t xml:space="preserve"> The MRIO data </w:t>
      </w:r>
      <w:r w:rsidR="00DF0AE4">
        <w:rPr>
          <w:rFonts w:ascii="Times New Roman" w:hAnsi="Times New Roman" w:cs="Times New Roman"/>
          <w:lang w:val="en-US"/>
        </w:rPr>
        <w:t>are</w:t>
      </w:r>
      <w:r w:rsidR="00DF0AE4" w:rsidRPr="00A225AE">
        <w:rPr>
          <w:rFonts w:ascii="Times New Roman" w:hAnsi="Times New Roman" w:cs="Times New Roman"/>
          <w:lang w:val="en-US"/>
        </w:rPr>
        <w:t xml:space="preserve"> </w:t>
      </w:r>
      <w:proofErr w:type="spellStart"/>
      <w:r w:rsidR="00DF0AE4" w:rsidRPr="00A225AE">
        <w:rPr>
          <w:rFonts w:ascii="Times New Roman" w:hAnsi="Times New Roman" w:cs="Times New Roman"/>
          <w:lang w:val="en-US"/>
        </w:rPr>
        <w:t>hybridised</w:t>
      </w:r>
      <w:proofErr w:type="spellEnd"/>
      <w:r w:rsidR="00DF0AE4" w:rsidRPr="00A225AE">
        <w:rPr>
          <w:rFonts w:ascii="Times New Roman" w:hAnsi="Times New Roman" w:cs="Times New Roman"/>
          <w:lang w:val="en-US"/>
        </w:rPr>
        <w:t xml:space="preserve"> </w:t>
      </w:r>
      <w:r w:rsidRPr="00A225AE">
        <w:rPr>
          <w:rFonts w:ascii="Times New Roman" w:hAnsi="Times New Roman" w:cs="Times New Roman"/>
          <w:lang w:val="en-US"/>
        </w:rPr>
        <w:t xml:space="preserve">with </w:t>
      </w:r>
      <w:hyperlink r:id="rId20" w:history="1">
        <w:r w:rsidR="00DF0AE4" w:rsidRPr="00A225AE">
          <w:rPr>
            <w:rStyle w:val="Hyperlink"/>
            <w:rFonts w:ascii="Times New Roman" w:hAnsi="Times New Roman" w:cs="Times New Roman"/>
            <w:lang w:val="en-US"/>
          </w:rPr>
          <w:t>physical production and trade data</w:t>
        </w:r>
      </w:hyperlink>
      <w:r w:rsidR="00DF0AE4" w:rsidRPr="00A225AE">
        <w:rPr>
          <w:rFonts w:ascii="Times New Roman" w:hAnsi="Times New Roman" w:cs="Times New Roman"/>
          <w:lang w:val="en-US"/>
        </w:rPr>
        <w:t xml:space="preserve"> (</w:t>
      </w:r>
      <w:proofErr w:type="spellStart"/>
      <w:r w:rsidR="00DF0AE4" w:rsidRPr="00A225AE">
        <w:rPr>
          <w:rFonts w:ascii="Times New Roman" w:hAnsi="Times New Roman" w:cs="Times New Roman"/>
          <w:lang w:val="en-US"/>
        </w:rPr>
        <w:t>tonnes</w:t>
      </w:r>
      <w:proofErr w:type="spellEnd"/>
      <w:r w:rsidR="00DF0AE4" w:rsidRPr="00A225AE">
        <w:rPr>
          <w:rFonts w:ascii="Times New Roman" w:hAnsi="Times New Roman" w:cs="Times New Roman"/>
          <w:lang w:val="en-US"/>
        </w:rPr>
        <w:t xml:space="preserve"> </w:t>
      </w:r>
      <w:r w:rsidRPr="00A225AE">
        <w:rPr>
          <w:rFonts w:ascii="Times New Roman" w:hAnsi="Times New Roman" w:cs="Times New Roman"/>
          <w:lang w:val="en-US"/>
        </w:rPr>
        <w:t>of each commodity) from the Food and Agricultural Organisation, using the Stockholm Environment Institute’s IOTA (Input Output Trade Analysis) modelling framework (</w:t>
      </w:r>
      <w:hyperlink r:id="rId21" w:history="1">
        <w:r w:rsidRPr="00A225AE">
          <w:rPr>
            <w:rStyle w:val="Hyperlink"/>
            <w:rFonts w:ascii="Times New Roman" w:hAnsi="Times New Roman" w:cs="Times New Roman"/>
            <w:lang w:val="en-US"/>
          </w:rPr>
          <w:t xml:space="preserve">Croft </w:t>
        </w:r>
        <w:r w:rsidRPr="00142E27">
          <w:rPr>
            <w:rStyle w:val="Hyperlink"/>
            <w:rFonts w:ascii="Times New Roman" w:hAnsi="Times New Roman" w:cs="Times New Roman"/>
            <w:i/>
            <w:iCs/>
            <w:lang w:val="en-US"/>
          </w:rPr>
          <w:t>et al</w:t>
        </w:r>
        <w:r w:rsidRPr="00A225AE">
          <w:rPr>
            <w:rStyle w:val="Hyperlink"/>
            <w:rFonts w:ascii="Times New Roman" w:hAnsi="Times New Roman" w:cs="Times New Roman"/>
            <w:lang w:val="en-US"/>
          </w:rPr>
          <w:t>., 2018</w:t>
        </w:r>
      </w:hyperlink>
      <w:r w:rsidRPr="00A225AE">
        <w:rPr>
          <w:rFonts w:ascii="Times New Roman" w:hAnsi="Times New Roman" w:cs="Times New Roman"/>
          <w:lang w:val="en-US"/>
        </w:rPr>
        <w:t xml:space="preserve">). The modelling framework allows for an estimation of the </w:t>
      </w:r>
      <w:r w:rsidR="00142E27">
        <w:rPr>
          <w:rFonts w:ascii="Times New Roman" w:hAnsi="Times New Roman" w:cs="Times New Roman"/>
          <w:lang w:val="en-US"/>
        </w:rPr>
        <w:t>producer country/territory</w:t>
      </w:r>
      <w:r w:rsidRPr="00A225AE">
        <w:rPr>
          <w:rFonts w:ascii="Times New Roman" w:hAnsi="Times New Roman" w:cs="Times New Roman"/>
          <w:lang w:val="en-US"/>
        </w:rPr>
        <w:t xml:space="preserve"> of a commodity, accounting for cases where commodities are embedded within other products as an ingredient or input, and cases where commodities are re-exported through multiple countries before the point of consumption.</w:t>
      </w:r>
      <w:r w:rsidR="00B33B9E">
        <w:rPr>
          <w:rFonts w:ascii="Times New Roman" w:hAnsi="Times New Roman" w:cs="Times New Roman"/>
          <w:lang w:val="en-US"/>
        </w:rPr>
        <w:t xml:space="preserve"> </w:t>
      </w:r>
      <w:r w:rsidR="00DF0AE4">
        <w:rPr>
          <w:rFonts w:ascii="Times New Roman" w:hAnsi="Times New Roman" w:cs="Times New Roman"/>
          <w:lang w:val="en-US"/>
        </w:rPr>
        <w:t xml:space="preserve">The main advantages of the </w:t>
      </w:r>
      <w:proofErr w:type="spellStart"/>
      <w:r w:rsidR="00DF0AE4">
        <w:rPr>
          <w:rFonts w:ascii="Times New Roman" w:hAnsi="Times New Roman" w:cs="Times New Roman"/>
          <w:lang w:val="en-US"/>
        </w:rPr>
        <w:t>hybridisation</w:t>
      </w:r>
      <w:proofErr w:type="spellEnd"/>
      <w:r w:rsidR="00DF0AE4">
        <w:rPr>
          <w:rFonts w:ascii="Times New Roman" w:hAnsi="Times New Roman" w:cs="Times New Roman"/>
          <w:lang w:val="en-US"/>
        </w:rPr>
        <w:t xml:space="preserve"> process are that it provides greater regional and commodity specificity and resolution to the modelling framework than standard MRIO </w:t>
      </w:r>
      <w:r w:rsidR="00142E27">
        <w:rPr>
          <w:rFonts w:ascii="Times New Roman" w:hAnsi="Times New Roman" w:cs="Times New Roman"/>
          <w:lang w:val="en-US"/>
        </w:rPr>
        <w:t>approaches,</w:t>
      </w:r>
      <w:r w:rsidR="00DF0AE4">
        <w:rPr>
          <w:rFonts w:ascii="Times New Roman" w:hAnsi="Times New Roman" w:cs="Times New Roman"/>
          <w:lang w:val="en-US"/>
        </w:rPr>
        <w:t xml:space="preserve"> and full supply chain coverage compared to typical bilateral trade data allow, which are critical for understanding consumption-driven environmental impacts that are highly product and place specific.</w:t>
      </w:r>
    </w:p>
    <w:p w14:paraId="70309C02" w14:textId="54B50B49" w:rsidR="00784EC0" w:rsidRPr="00DF0AE4" w:rsidRDefault="00784EC0" w:rsidP="00DF0AE4">
      <w:pPr>
        <w:rPr>
          <w:rFonts w:ascii="Times New Roman" w:hAnsi="Times New Roman" w:cs="Times New Roman"/>
        </w:rPr>
      </w:pPr>
    </w:p>
    <w:p w14:paraId="13DDEFF1" w14:textId="36BCD981" w:rsidR="00784EC0" w:rsidRPr="00506684" w:rsidRDefault="00784EC0" w:rsidP="00617444">
      <w:pPr>
        <w:spacing w:line="259" w:lineRule="auto"/>
        <w:rPr>
          <w:rFonts w:ascii="Times New Roman" w:hAnsi="Times New Roman" w:cs="Times New Roman"/>
          <w:lang w:val="en-US"/>
        </w:rPr>
      </w:pPr>
      <w:r w:rsidRPr="00A225AE">
        <w:rPr>
          <w:rFonts w:ascii="Times New Roman" w:hAnsi="Times New Roman" w:cs="Times New Roman"/>
          <w:lang w:val="en-US"/>
        </w:rPr>
        <w:t>Th</w:t>
      </w:r>
      <w:r w:rsidR="00D20EF4">
        <w:rPr>
          <w:rFonts w:ascii="Times New Roman" w:hAnsi="Times New Roman" w:cs="Times New Roman"/>
          <w:lang w:val="en-US"/>
        </w:rPr>
        <w:t>e</w:t>
      </w:r>
      <w:r w:rsidRPr="00A225AE">
        <w:rPr>
          <w:rFonts w:ascii="Times New Roman" w:hAnsi="Times New Roman" w:cs="Times New Roman"/>
          <w:lang w:val="en-US"/>
        </w:rPr>
        <w:t>s</w:t>
      </w:r>
      <w:r w:rsidR="00D20EF4">
        <w:rPr>
          <w:rFonts w:ascii="Times New Roman" w:hAnsi="Times New Roman" w:cs="Times New Roman"/>
          <w:lang w:val="en-US"/>
        </w:rPr>
        <w:t>e</w:t>
      </w:r>
      <w:r w:rsidRPr="00A225AE">
        <w:rPr>
          <w:rFonts w:ascii="Times New Roman" w:hAnsi="Times New Roman" w:cs="Times New Roman"/>
          <w:lang w:val="en-US"/>
        </w:rPr>
        <w:t xml:space="preserve"> data </w:t>
      </w:r>
      <w:r w:rsidR="00D20EF4">
        <w:rPr>
          <w:rFonts w:ascii="Times New Roman" w:hAnsi="Times New Roman" w:cs="Times New Roman"/>
          <w:lang w:val="en-US"/>
        </w:rPr>
        <w:t>are</w:t>
      </w:r>
      <w:r w:rsidRPr="00A225AE">
        <w:rPr>
          <w:rFonts w:ascii="Times New Roman" w:hAnsi="Times New Roman" w:cs="Times New Roman"/>
          <w:lang w:val="en-US"/>
        </w:rPr>
        <w:t xml:space="preserve"> then combined with datasets linking commodity production to environmental impacts within relevant production countries</w:t>
      </w:r>
      <w:r w:rsidR="007F4AFE">
        <w:rPr>
          <w:rFonts w:ascii="Times New Roman" w:hAnsi="Times New Roman" w:cs="Times New Roman"/>
          <w:lang w:val="en-US"/>
        </w:rPr>
        <w:t>/territories</w:t>
      </w:r>
      <w:r w:rsidRPr="00A225AE">
        <w:rPr>
          <w:rFonts w:ascii="Times New Roman" w:hAnsi="Times New Roman" w:cs="Times New Roman"/>
          <w:lang w:val="en-US"/>
        </w:rPr>
        <w:t>. For biodiversity loss, th</w:t>
      </w:r>
      <w:r w:rsidR="007015A6">
        <w:rPr>
          <w:rFonts w:ascii="Times New Roman" w:hAnsi="Times New Roman" w:cs="Times New Roman"/>
          <w:lang w:val="en-US"/>
        </w:rPr>
        <w:t>e</w:t>
      </w:r>
      <w:r w:rsidRPr="00A225AE">
        <w:rPr>
          <w:rFonts w:ascii="Times New Roman" w:hAnsi="Times New Roman" w:cs="Times New Roman"/>
          <w:lang w:val="en-US"/>
        </w:rPr>
        <w:t>s</w:t>
      </w:r>
      <w:r w:rsidR="007015A6">
        <w:rPr>
          <w:rFonts w:ascii="Times New Roman" w:hAnsi="Times New Roman" w:cs="Times New Roman"/>
          <w:lang w:val="en-US"/>
        </w:rPr>
        <w:t>e</w:t>
      </w:r>
      <w:r w:rsidRPr="00A225AE">
        <w:rPr>
          <w:rFonts w:ascii="Times New Roman" w:hAnsi="Times New Roman" w:cs="Times New Roman"/>
          <w:lang w:val="en-US"/>
        </w:rPr>
        <w:t xml:space="preserve"> </w:t>
      </w:r>
      <w:r w:rsidR="007015A6">
        <w:rPr>
          <w:rFonts w:ascii="Times New Roman" w:hAnsi="Times New Roman" w:cs="Times New Roman"/>
          <w:lang w:val="en-US"/>
        </w:rPr>
        <w:t>are</w:t>
      </w:r>
      <w:r w:rsidRPr="00A225AE">
        <w:rPr>
          <w:rFonts w:ascii="Times New Roman" w:hAnsi="Times New Roman" w:cs="Times New Roman"/>
          <w:lang w:val="en-US"/>
        </w:rPr>
        <w:t xml:space="preserve"> data from </w:t>
      </w:r>
      <w:hyperlink r:id="rId22" w:history="1">
        <w:r w:rsidRPr="00A225AE">
          <w:rPr>
            <w:rStyle w:val="Hyperlink"/>
            <w:rFonts w:ascii="Times New Roman" w:hAnsi="Times New Roman" w:cs="Times New Roman"/>
            <w:lang w:val="en-US"/>
          </w:rPr>
          <w:t>Chaudhary and Kastner (2016)</w:t>
        </w:r>
      </w:hyperlink>
      <w:r w:rsidRPr="00A225AE">
        <w:rPr>
          <w:rFonts w:ascii="Times New Roman" w:hAnsi="Times New Roman" w:cs="Times New Roman"/>
          <w:lang w:val="en-US"/>
        </w:rPr>
        <w:t xml:space="preserve"> for one metric</w:t>
      </w:r>
      <w:r w:rsidR="00B33B9E">
        <w:rPr>
          <w:rFonts w:ascii="Times New Roman" w:hAnsi="Times New Roman" w:cs="Times New Roman"/>
          <w:lang w:val="en-US"/>
        </w:rPr>
        <w:t xml:space="preserve"> (species loss)</w:t>
      </w:r>
      <w:r w:rsidRPr="00A225AE">
        <w:rPr>
          <w:rFonts w:ascii="Times New Roman" w:hAnsi="Times New Roman" w:cs="Times New Roman"/>
          <w:lang w:val="en-US"/>
        </w:rPr>
        <w:t xml:space="preserve"> and</w:t>
      </w:r>
      <w:r w:rsidR="007015A6">
        <w:rPr>
          <w:rFonts w:ascii="Times New Roman" w:hAnsi="Times New Roman" w:cs="Times New Roman"/>
          <w:lang w:val="en-US"/>
        </w:rPr>
        <w:t>,</w:t>
      </w:r>
      <w:r w:rsidRPr="00A225AE">
        <w:rPr>
          <w:rFonts w:ascii="Times New Roman" w:hAnsi="Times New Roman" w:cs="Times New Roman"/>
          <w:lang w:val="en-US"/>
        </w:rPr>
        <w:t xml:space="preserve"> </w:t>
      </w:r>
      <w:r w:rsidR="007015A6" w:rsidRPr="00A225AE">
        <w:rPr>
          <w:rFonts w:ascii="Times New Roman" w:hAnsi="Times New Roman" w:cs="Times New Roman"/>
          <w:lang w:val="en-US"/>
        </w:rPr>
        <w:t>for the other metric</w:t>
      </w:r>
      <w:r w:rsidR="007015A6">
        <w:rPr>
          <w:rFonts w:ascii="Times New Roman" w:hAnsi="Times New Roman" w:cs="Times New Roman"/>
          <w:lang w:val="en-US"/>
        </w:rPr>
        <w:t xml:space="preserve"> (species proximity to production, a.k.a. ‘species hectares</w:t>
      </w:r>
      <w:r w:rsidR="00506684">
        <w:rPr>
          <w:rFonts w:ascii="Times New Roman" w:hAnsi="Times New Roman" w:cs="Times New Roman"/>
          <w:lang w:val="en-US"/>
        </w:rPr>
        <w:t>’</w:t>
      </w:r>
      <w:r w:rsidR="007015A6">
        <w:rPr>
          <w:rFonts w:ascii="Times New Roman" w:hAnsi="Times New Roman" w:cs="Times New Roman"/>
          <w:lang w:val="en-US"/>
        </w:rPr>
        <w:t xml:space="preserve">), </w:t>
      </w:r>
      <w:r w:rsidRPr="00A225AE">
        <w:rPr>
          <w:rFonts w:ascii="Times New Roman" w:hAnsi="Times New Roman" w:cs="Times New Roman"/>
          <w:lang w:val="en-US"/>
        </w:rPr>
        <w:t xml:space="preserve">data from </w:t>
      </w:r>
      <w:hyperlink r:id="rId23" w:history="1">
        <w:r w:rsidRPr="00A225AE">
          <w:rPr>
            <w:rStyle w:val="Hyperlink"/>
            <w:rFonts w:ascii="Times New Roman" w:hAnsi="Times New Roman" w:cs="Times New Roman"/>
            <w:lang w:val="en-US"/>
          </w:rPr>
          <w:t>MAPSPAM</w:t>
        </w:r>
      </w:hyperlink>
      <w:r w:rsidRPr="00A225AE">
        <w:rPr>
          <w:rFonts w:ascii="Times New Roman" w:hAnsi="Times New Roman" w:cs="Times New Roman"/>
          <w:lang w:val="en-US"/>
        </w:rPr>
        <w:t xml:space="preserve">, </w:t>
      </w:r>
      <w:hyperlink r:id="rId24" w:history="1">
        <w:r w:rsidRPr="00A225AE">
          <w:rPr>
            <w:rStyle w:val="Hyperlink"/>
            <w:rFonts w:ascii="Times New Roman" w:hAnsi="Times New Roman" w:cs="Times New Roman"/>
            <w:lang w:val="en-US"/>
          </w:rPr>
          <w:t>Birdlife International</w:t>
        </w:r>
      </w:hyperlink>
      <w:r w:rsidRPr="00A225AE">
        <w:rPr>
          <w:rFonts w:ascii="Times New Roman" w:hAnsi="Times New Roman" w:cs="Times New Roman"/>
          <w:lang w:val="en-US"/>
        </w:rPr>
        <w:t xml:space="preserve">, and the </w:t>
      </w:r>
      <w:hyperlink r:id="rId25" w:history="1">
        <w:r w:rsidRPr="00A225AE">
          <w:rPr>
            <w:rStyle w:val="Hyperlink"/>
            <w:rFonts w:ascii="Times New Roman" w:hAnsi="Times New Roman" w:cs="Times New Roman"/>
            <w:lang w:val="en-US"/>
          </w:rPr>
          <w:t>International Union for the Conservation of Nature</w:t>
        </w:r>
      </w:hyperlink>
      <w:r w:rsidRPr="00A225AE">
        <w:rPr>
          <w:rFonts w:ascii="Times New Roman" w:hAnsi="Times New Roman" w:cs="Times New Roman"/>
          <w:lang w:val="en-US"/>
        </w:rPr>
        <w:t xml:space="preserve">. For scarcity weighted water use, </w:t>
      </w:r>
      <w:r w:rsidR="007015A6">
        <w:rPr>
          <w:rFonts w:ascii="Times New Roman" w:hAnsi="Times New Roman" w:cs="Times New Roman"/>
          <w:lang w:val="en-US"/>
        </w:rPr>
        <w:t>dataset</w:t>
      </w:r>
      <w:r w:rsidR="00506684">
        <w:rPr>
          <w:rFonts w:ascii="Times New Roman" w:hAnsi="Times New Roman" w:cs="Times New Roman"/>
          <w:lang w:val="en-US"/>
        </w:rPr>
        <w:t>s</w:t>
      </w:r>
      <w:r w:rsidR="007015A6">
        <w:rPr>
          <w:rFonts w:ascii="Times New Roman" w:hAnsi="Times New Roman" w:cs="Times New Roman"/>
          <w:lang w:val="en-US"/>
        </w:rPr>
        <w:t xml:space="preserve"> </w:t>
      </w:r>
      <w:r w:rsidRPr="00A225AE">
        <w:rPr>
          <w:rFonts w:ascii="Times New Roman" w:hAnsi="Times New Roman" w:cs="Times New Roman"/>
          <w:lang w:val="en-US"/>
        </w:rPr>
        <w:t xml:space="preserve">from the </w:t>
      </w:r>
      <w:hyperlink r:id="rId26" w:history="1">
        <w:r w:rsidRPr="00A225AE">
          <w:rPr>
            <w:rStyle w:val="Hyperlink"/>
            <w:rFonts w:ascii="Times New Roman" w:hAnsi="Times New Roman" w:cs="Times New Roman"/>
            <w:lang w:val="en-US"/>
          </w:rPr>
          <w:t>Water Footprint Network</w:t>
        </w:r>
      </w:hyperlink>
      <w:r w:rsidRPr="00A225AE">
        <w:rPr>
          <w:rFonts w:ascii="Times New Roman" w:hAnsi="Times New Roman" w:cs="Times New Roman"/>
          <w:lang w:val="en-US"/>
        </w:rPr>
        <w:t xml:space="preserve"> and </w:t>
      </w:r>
      <w:hyperlink r:id="rId27" w:history="1">
        <w:r w:rsidRPr="00A225AE">
          <w:rPr>
            <w:rStyle w:val="Hyperlink"/>
            <w:rFonts w:ascii="Times New Roman" w:hAnsi="Times New Roman" w:cs="Times New Roman"/>
            <w:lang w:val="en-US"/>
          </w:rPr>
          <w:t xml:space="preserve">Boulay </w:t>
        </w:r>
        <w:r w:rsidRPr="00142E27">
          <w:rPr>
            <w:rStyle w:val="Hyperlink"/>
            <w:rFonts w:ascii="Times New Roman" w:hAnsi="Times New Roman" w:cs="Times New Roman"/>
            <w:i/>
            <w:iCs/>
            <w:lang w:val="en-US"/>
          </w:rPr>
          <w:t>et al</w:t>
        </w:r>
        <w:r w:rsidRPr="00A225AE">
          <w:rPr>
            <w:rStyle w:val="Hyperlink"/>
            <w:rFonts w:ascii="Times New Roman" w:hAnsi="Times New Roman" w:cs="Times New Roman"/>
            <w:lang w:val="en-US"/>
          </w:rPr>
          <w:t>. (2018)</w:t>
        </w:r>
      </w:hyperlink>
      <w:r w:rsidR="00506684">
        <w:rPr>
          <w:rStyle w:val="Hyperlink"/>
          <w:rFonts w:ascii="Times New Roman" w:hAnsi="Times New Roman" w:cs="Times New Roman"/>
          <w:color w:val="auto"/>
          <w:u w:val="none"/>
          <w:lang w:val="en-US"/>
        </w:rPr>
        <w:t xml:space="preserve"> are used. </w:t>
      </w:r>
      <w:r w:rsidR="00506684" w:rsidRPr="00506684">
        <w:rPr>
          <w:rStyle w:val="Hyperlink"/>
          <w:rFonts w:ascii="Times New Roman" w:hAnsi="Times New Roman" w:cs="Times New Roman"/>
          <w:color w:val="auto"/>
          <w:u w:val="none"/>
          <w:lang w:val="en-US"/>
        </w:rPr>
        <w:t>Subsequent updates may rely on updated underlying datasets where relevant.</w:t>
      </w:r>
      <w:r w:rsidR="00700710" w:rsidRPr="00700710">
        <w:rPr>
          <w:rFonts w:ascii="Times New Roman" w:hAnsi="Times New Roman" w:cs="Times New Roman"/>
          <w:lang w:val="en-US"/>
        </w:rPr>
        <w:t xml:space="preserve"> </w:t>
      </w:r>
      <w:r w:rsidR="00700710" w:rsidRPr="00A225AE">
        <w:rPr>
          <w:rFonts w:ascii="Times New Roman" w:hAnsi="Times New Roman" w:cs="Times New Roman"/>
          <w:lang w:val="en-US"/>
        </w:rPr>
        <w:t xml:space="preserve">For </w:t>
      </w:r>
      <w:r w:rsidR="00700710">
        <w:rPr>
          <w:rFonts w:ascii="Times New Roman" w:hAnsi="Times New Roman" w:cs="Times New Roman"/>
          <w:lang w:val="en-US"/>
        </w:rPr>
        <w:t xml:space="preserve">tropical </w:t>
      </w:r>
      <w:r w:rsidR="00700710" w:rsidRPr="00A225AE">
        <w:rPr>
          <w:rFonts w:ascii="Times New Roman" w:hAnsi="Times New Roman" w:cs="Times New Roman"/>
          <w:lang w:val="en-US"/>
        </w:rPr>
        <w:t xml:space="preserve">deforestation, this </w:t>
      </w:r>
      <w:r w:rsidR="00700710">
        <w:rPr>
          <w:rFonts w:ascii="Times New Roman" w:hAnsi="Times New Roman" w:cs="Times New Roman"/>
          <w:lang w:val="en-US"/>
        </w:rPr>
        <w:t>was</w:t>
      </w:r>
      <w:r w:rsidR="00700710" w:rsidRPr="00A225AE">
        <w:rPr>
          <w:rFonts w:ascii="Times New Roman" w:hAnsi="Times New Roman" w:cs="Times New Roman"/>
          <w:lang w:val="en-US"/>
        </w:rPr>
        <w:t xml:space="preserve"> the </w:t>
      </w:r>
      <w:hyperlink r:id="rId28" w:history="1">
        <w:proofErr w:type="spellStart"/>
        <w:r w:rsidR="00700710" w:rsidRPr="00A225AE">
          <w:rPr>
            <w:rStyle w:val="Hyperlink"/>
            <w:rFonts w:ascii="Times New Roman" w:hAnsi="Times New Roman" w:cs="Times New Roman"/>
            <w:lang w:val="en-US"/>
          </w:rPr>
          <w:t>Pendrill</w:t>
        </w:r>
        <w:proofErr w:type="spellEnd"/>
        <w:r w:rsidR="00700710" w:rsidRPr="00A225AE">
          <w:rPr>
            <w:rStyle w:val="Hyperlink"/>
            <w:rFonts w:ascii="Times New Roman" w:hAnsi="Times New Roman" w:cs="Times New Roman"/>
            <w:lang w:val="en-US"/>
          </w:rPr>
          <w:t xml:space="preserve"> </w:t>
        </w:r>
        <w:r w:rsidR="00700710" w:rsidRPr="00142E27">
          <w:rPr>
            <w:rStyle w:val="Hyperlink"/>
            <w:rFonts w:ascii="Times New Roman" w:hAnsi="Times New Roman" w:cs="Times New Roman"/>
            <w:i/>
            <w:iCs/>
            <w:lang w:val="en-US"/>
          </w:rPr>
          <w:t>et al</w:t>
        </w:r>
        <w:r w:rsidR="00700710">
          <w:rPr>
            <w:rStyle w:val="Hyperlink"/>
            <w:rFonts w:ascii="Times New Roman" w:hAnsi="Times New Roman" w:cs="Times New Roman"/>
            <w:lang w:val="en-US"/>
          </w:rPr>
          <w:t>.</w:t>
        </w:r>
        <w:r w:rsidR="00700710" w:rsidRPr="00A225AE">
          <w:rPr>
            <w:rStyle w:val="Hyperlink"/>
            <w:rFonts w:ascii="Times New Roman" w:hAnsi="Times New Roman" w:cs="Times New Roman"/>
            <w:lang w:val="en-US"/>
          </w:rPr>
          <w:t>, 2020</w:t>
        </w:r>
      </w:hyperlink>
      <w:r w:rsidR="00700710" w:rsidRPr="00A225AE">
        <w:rPr>
          <w:rFonts w:ascii="Times New Roman" w:hAnsi="Times New Roman" w:cs="Times New Roman"/>
          <w:lang w:val="en-US"/>
        </w:rPr>
        <w:t xml:space="preserve"> dataset</w:t>
      </w:r>
      <w:r w:rsidR="00700710">
        <w:rPr>
          <w:rFonts w:ascii="Times New Roman" w:hAnsi="Times New Roman" w:cs="Times New Roman"/>
          <w:lang w:val="en-US"/>
        </w:rPr>
        <w:t xml:space="preserve"> in the initial release (which will update to the </w:t>
      </w:r>
      <w:proofErr w:type="spellStart"/>
      <w:r w:rsidR="00700710">
        <w:rPr>
          <w:rFonts w:ascii="Times New Roman" w:hAnsi="Times New Roman" w:cs="Times New Roman"/>
          <w:lang w:val="en-US"/>
        </w:rPr>
        <w:t>Pendrill</w:t>
      </w:r>
      <w:proofErr w:type="spellEnd"/>
      <w:r w:rsidR="00700710">
        <w:rPr>
          <w:rFonts w:ascii="Times New Roman" w:hAnsi="Times New Roman" w:cs="Times New Roman"/>
          <w:lang w:val="en-US"/>
        </w:rPr>
        <w:t xml:space="preserve"> </w:t>
      </w:r>
      <w:r w:rsidR="00700710" w:rsidRPr="00142E27">
        <w:rPr>
          <w:rFonts w:ascii="Times New Roman" w:hAnsi="Times New Roman" w:cs="Times New Roman"/>
          <w:i/>
          <w:iCs/>
          <w:lang w:val="en-US"/>
        </w:rPr>
        <w:t>et al</w:t>
      </w:r>
      <w:r w:rsidR="00700710">
        <w:rPr>
          <w:rFonts w:ascii="Times New Roman" w:hAnsi="Times New Roman" w:cs="Times New Roman"/>
          <w:lang w:val="en-US"/>
        </w:rPr>
        <w:t>., 2022 dataset for the 2022 release</w:t>
      </w:r>
      <w:r w:rsidR="00B75508" w:rsidRPr="00B75508">
        <w:rPr>
          <w:rFonts w:ascii="Times New Roman" w:hAnsi="Times New Roman" w:cs="Times New Roman"/>
          <w:lang w:val="en-US"/>
        </w:rPr>
        <w:t xml:space="preserve">, and </w:t>
      </w:r>
      <w:r w:rsidR="00B75508">
        <w:rPr>
          <w:rFonts w:ascii="Times New Roman" w:hAnsi="Times New Roman" w:cs="Times New Roman"/>
          <w:lang w:val="en-US"/>
        </w:rPr>
        <w:t>may</w:t>
      </w:r>
      <w:r w:rsidR="00B75508" w:rsidRPr="00B75508">
        <w:rPr>
          <w:rFonts w:ascii="Times New Roman" w:hAnsi="Times New Roman" w:cs="Times New Roman"/>
          <w:lang w:val="en-US"/>
        </w:rPr>
        <w:t xml:space="preserve"> be combined with other datasets after this point to enable reporting on all forest types, not just tropical deforestation</w:t>
      </w:r>
      <w:r w:rsidR="00700710">
        <w:rPr>
          <w:rFonts w:ascii="Times New Roman" w:hAnsi="Times New Roman" w:cs="Times New Roman"/>
          <w:lang w:val="en-US"/>
        </w:rPr>
        <w:t>)</w:t>
      </w:r>
      <w:r w:rsidR="00700710" w:rsidRPr="00A225AE">
        <w:rPr>
          <w:rFonts w:ascii="Times New Roman" w:hAnsi="Times New Roman" w:cs="Times New Roman"/>
          <w:lang w:val="en-US"/>
        </w:rPr>
        <w:t>.</w:t>
      </w:r>
      <w:r w:rsidR="00562365">
        <w:rPr>
          <w:rFonts w:ascii="Times New Roman" w:hAnsi="Times New Roman" w:cs="Times New Roman"/>
          <w:lang w:val="en-US"/>
        </w:rPr>
        <w:t xml:space="preserve"> Each of these datasets has been internationally peer reviewed (further information is provided in the indicator’s full </w:t>
      </w:r>
      <w:hyperlink r:id="rId29" w:history="1">
        <w:r w:rsidR="00562365" w:rsidRPr="00562365">
          <w:rPr>
            <w:rStyle w:val="Hyperlink"/>
            <w:rFonts w:ascii="Times New Roman" w:hAnsi="Times New Roman" w:cs="Times New Roman"/>
            <w:lang w:val="en-US"/>
          </w:rPr>
          <w:t>technical documentation</w:t>
        </w:r>
      </w:hyperlink>
      <w:r w:rsidR="00562365">
        <w:rPr>
          <w:rFonts w:ascii="Times New Roman" w:hAnsi="Times New Roman" w:cs="Times New Roman"/>
          <w:lang w:val="en-US"/>
        </w:rPr>
        <w:t>).</w:t>
      </w:r>
    </w:p>
    <w:p w14:paraId="3F58DA31" w14:textId="77777777" w:rsidR="00306E0B" w:rsidRPr="00A225AE" w:rsidRDefault="00306E0B" w:rsidP="00617444">
      <w:pPr>
        <w:spacing w:line="259" w:lineRule="auto"/>
        <w:rPr>
          <w:rFonts w:ascii="Times New Roman" w:hAnsi="Times New Roman" w:cs="Times New Roman"/>
          <w:b/>
          <w:bCs/>
        </w:rPr>
      </w:pPr>
    </w:p>
    <w:p w14:paraId="3BB50868" w14:textId="77777777" w:rsidR="005425DB" w:rsidRPr="00A225AE" w:rsidRDefault="005425DB" w:rsidP="00617444">
      <w:pPr>
        <w:spacing w:line="259" w:lineRule="auto"/>
        <w:rPr>
          <w:rFonts w:ascii="Times New Roman" w:hAnsi="Times New Roman" w:cs="Times New Roman"/>
          <w:b/>
          <w:bCs/>
        </w:rPr>
      </w:pPr>
      <w:r w:rsidRPr="00A225AE">
        <w:rPr>
          <w:rFonts w:ascii="Times New Roman" w:hAnsi="Times New Roman" w:cs="Times New Roman"/>
          <w:b/>
          <w:bCs/>
        </w:rPr>
        <w:t>Caveats, limitations and uncertainties</w:t>
      </w:r>
    </w:p>
    <w:p w14:paraId="2B105513" w14:textId="2BFB7618" w:rsidR="005425DB" w:rsidRPr="00A225AE" w:rsidRDefault="005425DB" w:rsidP="00617444">
      <w:pPr>
        <w:spacing w:line="259" w:lineRule="auto"/>
        <w:rPr>
          <w:rFonts w:ascii="Times New Roman" w:hAnsi="Times New Roman" w:cs="Times New Roman"/>
        </w:rPr>
      </w:pPr>
      <w:r w:rsidRPr="00A225AE">
        <w:rPr>
          <w:rFonts w:ascii="Times New Roman" w:hAnsi="Times New Roman" w:cs="Times New Roman"/>
        </w:rPr>
        <w:lastRenderedPageBreak/>
        <w:t xml:space="preserve">For </w:t>
      </w:r>
      <w:r w:rsidR="005E3147">
        <w:rPr>
          <w:rFonts w:ascii="Times New Roman" w:hAnsi="Times New Roman" w:cs="Times New Roman"/>
        </w:rPr>
        <w:t>appropriate</w:t>
      </w:r>
      <w:r w:rsidR="005E3147" w:rsidRPr="00A225AE">
        <w:rPr>
          <w:rFonts w:ascii="Times New Roman" w:hAnsi="Times New Roman" w:cs="Times New Roman"/>
        </w:rPr>
        <w:t xml:space="preserve"> </w:t>
      </w:r>
      <w:r w:rsidRPr="00A225AE">
        <w:rPr>
          <w:rFonts w:ascii="Times New Roman" w:hAnsi="Times New Roman" w:cs="Times New Roman"/>
        </w:rPr>
        <w:t>interpretation of the results presented within this indicator, it is necessary to understand the following caveats:</w:t>
      </w:r>
    </w:p>
    <w:p w14:paraId="2C9C84D5" w14:textId="0994F173" w:rsidR="005425DB" w:rsidRPr="00A225AE" w:rsidRDefault="005425DB" w:rsidP="00617444">
      <w:pPr>
        <w:numPr>
          <w:ilvl w:val="0"/>
          <w:numId w:val="18"/>
        </w:numPr>
        <w:spacing w:line="259" w:lineRule="auto"/>
        <w:rPr>
          <w:rFonts w:ascii="Times New Roman" w:hAnsi="Times New Roman" w:cs="Times New Roman"/>
        </w:rPr>
      </w:pPr>
      <w:r w:rsidRPr="00A225AE">
        <w:rPr>
          <w:rFonts w:ascii="Times New Roman" w:hAnsi="Times New Roman" w:cs="Times New Roman"/>
        </w:rPr>
        <w:t xml:space="preserve">Data </w:t>
      </w:r>
      <w:r w:rsidR="00D20EF4">
        <w:rPr>
          <w:rFonts w:ascii="Times New Roman" w:hAnsi="Times New Roman" w:cs="Times New Roman"/>
        </w:rPr>
        <w:t xml:space="preserve">to </w:t>
      </w:r>
      <w:r w:rsidRPr="00A225AE">
        <w:rPr>
          <w:rFonts w:ascii="Times New Roman" w:hAnsi="Times New Roman" w:cs="Times New Roman"/>
        </w:rPr>
        <w:t>trac</w:t>
      </w:r>
      <w:r w:rsidR="00D20EF4">
        <w:rPr>
          <w:rFonts w:ascii="Times New Roman" w:hAnsi="Times New Roman" w:cs="Times New Roman"/>
        </w:rPr>
        <w:t>e</w:t>
      </w:r>
      <w:r w:rsidRPr="00A225AE">
        <w:rPr>
          <w:rFonts w:ascii="Times New Roman" w:hAnsi="Times New Roman" w:cs="Times New Roman"/>
        </w:rPr>
        <w:t xml:space="preserve"> all commodities back to their </w:t>
      </w:r>
      <w:r w:rsidR="00D20EF4">
        <w:rPr>
          <w:rFonts w:ascii="Times New Roman" w:hAnsi="Times New Roman" w:cs="Times New Roman"/>
        </w:rPr>
        <w:t xml:space="preserve">precise </w:t>
      </w:r>
      <w:r w:rsidR="00142E27">
        <w:rPr>
          <w:rFonts w:ascii="Times New Roman" w:hAnsi="Times New Roman" w:cs="Times New Roman"/>
        </w:rPr>
        <w:t>producer country/territory</w:t>
      </w:r>
      <w:r w:rsidRPr="00A225AE">
        <w:rPr>
          <w:rFonts w:ascii="Times New Roman" w:hAnsi="Times New Roman" w:cs="Times New Roman"/>
        </w:rPr>
        <w:t xml:space="preserve"> are not publicly available. Whilst based on empirical statistics, the outputs produced by this indicator are derived from modelling so should be considered as </w:t>
      </w:r>
      <w:r w:rsidR="00D20EF4">
        <w:rPr>
          <w:rFonts w:ascii="Times New Roman" w:hAnsi="Times New Roman" w:cs="Times New Roman"/>
        </w:rPr>
        <w:t xml:space="preserve">providing </w:t>
      </w:r>
      <w:r w:rsidRPr="00A225AE">
        <w:rPr>
          <w:rFonts w:ascii="Times New Roman" w:hAnsi="Times New Roman" w:cs="Times New Roman"/>
        </w:rPr>
        <w:t>estimates</w:t>
      </w:r>
      <w:r w:rsidR="00D20EF4">
        <w:rPr>
          <w:rFonts w:ascii="Times New Roman" w:hAnsi="Times New Roman" w:cs="Times New Roman"/>
        </w:rPr>
        <w:t xml:space="preserve"> of</w:t>
      </w:r>
      <w:r w:rsidRPr="00A225AE">
        <w:rPr>
          <w:rFonts w:ascii="Times New Roman" w:hAnsi="Times New Roman" w:cs="Times New Roman"/>
        </w:rPr>
        <w:t xml:space="preserve"> </w:t>
      </w:r>
      <w:r w:rsidR="00142E27">
        <w:rPr>
          <w:rFonts w:ascii="Times New Roman" w:hAnsi="Times New Roman" w:cs="Times New Roman"/>
        </w:rPr>
        <w:t>producer countries/territories</w:t>
      </w:r>
      <w:r w:rsidR="00D20EF4">
        <w:rPr>
          <w:rFonts w:ascii="Times New Roman" w:hAnsi="Times New Roman" w:cs="Times New Roman"/>
        </w:rPr>
        <w:t xml:space="preserve"> </w:t>
      </w:r>
      <w:r w:rsidR="00D20EF4" w:rsidRPr="00A225AE">
        <w:rPr>
          <w:rFonts w:ascii="Times New Roman" w:hAnsi="Times New Roman" w:cs="Times New Roman"/>
        </w:rPr>
        <w:t>rather than exact</w:t>
      </w:r>
      <w:r w:rsidR="00D20EF4">
        <w:rPr>
          <w:rFonts w:ascii="Times New Roman" w:hAnsi="Times New Roman" w:cs="Times New Roman"/>
        </w:rPr>
        <w:t xml:space="preserve"> information</w:t>
      </w:r>
      <w:r w:rsidRPr="00A225AE">
        <w:rPr>
          <w:rFonts w:ascii="Times New Roman" w:hAnsi="Times New Roman" w:cs="Times New Roman"/>
        </w:rPr>
        <w:t>.</w:t>
      </w:r>
    </w:p>
    <w:p w14:paraId="3C711E37" w14:textId="0E3AEDDD" w:rsidR="00F45B96" w:rsidRDefault="005425DB" w:rsidP="00617444">
      <w:pPr>
        <w:pStyle w:val="ListParagraph"/>
        <w:numPr>
          <w:ilvl w:val="0"/>
          <w:numId w:val="18"/>
        </w:numPr>
        <w:spacing w:line="259" w:lineRule="auto"/>
      </w:pPr>
      <w:r w:rsidRPr="00F45B96">
        <w:rPr>
          <w:rFonts w:ascii="Times New Roman" w:hAnsi="Times New Roman" w:cs="Times New Roman"/>
        </w:rPr>
        <w:t xml:space="preserve">Only the </w:t>
      </w:r>
      <w:r w:rsidR="00142E27">
        <w:rPr>
          <w:rFonts w:ascii="Times New Roman" w:hAnsi="Times New Roman" w:cs="Times New Roman"/>
        </w:rPr>
        <w:t>producer country/territory</w:t>
      </w:r>
      <w:r w:rsidRPr="00F45B96">
        <w:rPr>
          <w:rFonts w:ascii="Times New Roman" w:hAnsi="Times New Roman" w:cs="Times New Roman"/>
        </w:rPr>
        <w:t xml:space="preserve">, and not the exact location of </w:t>
      </w:r>
      <w:r w:rsidR="00142E27">
        <w:rPr>
          <w:rFonts w:ascii="Times New Roman" w:hAnsi="Times New Roman" w:cs="Times New Roman"/>
        </w:rPr>
        <w:t>the production</w:t>
      </w:r>
      <w:r w:rsidRPr="00F45B96">
        <w:rPr>
          <w:rFonts w:ascii="Times New Roman" w:hAnsi="Times New Roman" w:cs="Times New Roman"/>
        </w:rPr>
        <w:t xml:space="preserve">, can be obtained from the current version of the indicator as only national scale data were used. This means impacts are </w:t>
      </w:r>
      <w:r w:rsidR="005E3147">
        <w:rPr>
          <w:rFonts w:ascii="Times New Roman" w:hAnsi="Times New Roman" w:cs="Times New Roman"/>
        </w:rPr>
        <w:t xml:space="preserve">currently </w:t>
      </w:r>
      <w:r w:rsidRPr="00F45B96">
        <w:rPr>
          <w:rFonts w:ascii="Times New Roman" w:hAnsi="Times New Roman" w:cs="Times New Roman"/>
        </w:rPr>
        <w:t xml:space="preserve">based on average production practices per country, not the actual impacts at the exact location the product came from. </w:t>
      </w:r>
      <w:r w:rsidR="005E3147">
        <w:rPr>
          <w:rFonts w:ascii="Times New Roman" w:hAnsi="Times New Roman" w:cs="Times New Roman"/>
        </w:rPr>
        <w:t xml:space="preserve">The development team are exploring options to improve this </w:t>
      </w:r>
      <w:r w:rsidRPr="00F45B96">
        <w:rPr>
          <w:rFonts w:ascii="Times New Roman" w:hAnsi="Times New Roman" w:cs="Times New Roman"/>
        </w:rPr>
        <w:t xml:space="preserve">by using sub-national data (where available) in </w:t>
      </w:r>
      <w:r w:rsidR="005E3147">
        <w:rPr>
          <w:rFonts w:ascii="Times New Roman" w:hAnsi="Times New Roman" w:cs="Times New Roman"/>
        </w:rPr>
        <w:t>future</w:t>
      </w:r>
      <w:r w:rsidR="005E3147" w:rsidRPr="00F45B96">
        <w:rPr>
          <w:rFonts w:ascii="Times New Roman" w:hAnsi="Times New Roman" w:cs="Times New Roman"/>
        </w:rPr>
        <w:t xml:space="preserve"> </w:t>
      </w:r>
      <w:r w:rsidRPr="00F45B96">
        <w:rPr>
          <w:rFonts w:ascii="Times New Roman" w:hAnsi="Times New Roman" w:cs="Times New Roman"/>
        </w:rPr>
        <w:t>iterations of the indicator</w:t>
      </w:r>
      <w:r w:rsidR="00F45B96" w:rsidRPr="00F45B96">
        <w:rPr>
          <w:rFonts w:ascii="Times New Roman" w:hAnsi="Times New Roman" w:cs="Times New Roman"/>
          <w:szCs w:val="22"/>
        </w:rPr>
        <w:t>.</w:t>
      </w:r>
    </w:p>
    <w:p w14:paraId="0B52F463" w14:textId="49D3F38E" w:rsidR="005425DB" w:rsidRPr="00A225AE" w:rsidRDefault="005425DB" w:rsidP="00617444">
      <w:pPr>
        <w:numPr>
          <w:ilvl w:val="0"/>
          <w:numId w:val="18"/>
        </w:numPr>
        <w:spacing w:line="259" w:lineRule="auto"/>
        <w:rPr>
          <w:rFonts w:ascii="Times New Roman" w:hAnsi="Times New Roman" w:cs="Times New Roman"/>
        </w:rPr>
      </w:pPr>
      <w:r w:rsidRPr="00A225AE">
        <w:rPr>
          <w:rFonts w:ascii="Times New Roman" w:hAnsi="Times New Roman" w:cs="Times New Roman"/>
        </w:rPr>
        <w:t xml:space="preserve">Data lags in the underlying data sets mean that data </w:t>
      </w:r>
      <w:r w:rsidR="00D20EF4">
        <w:rPr>
          <w:rFonts w:ascii="Times New Roman" w:hAnsi="Times New Roman" w:cs="Times New Roman"/>
        </w:rPr>
        <w:t>are</w:t>
      </w:r>
      <w:r w:rsidRPr="00A225AE">
        <w:rPr>
          <w:rFonts w:ascii="Times New Roman" w:hAnsi="Times New Roman" w:cs="Times New Roman"/>
        </w:rPr>
        <w:t xml:space="preserve"> only available in the current release up to 2017</w:t>
      </w:r>
      <w:r w:rsidR="00B33B9E">
        <w:rPr>
          <w:rFonts w:ascii="Times New Roman" w:hAnsi="Times New Roman" w:cs="Times New Roman"/>
        </w:rPr>
        <w:t xml:space="preserve"> (with 2018 due for release in October 2022)</w:t>
      </w:r>
      <w:r w:rsidRPr="00A225AE">
        <w:rPr>
          <w:rFonts w:ascii="Times New Roman" w:hAnsi="Times New Roman" w:cs="Times New Roman"/>
        </w:rPr>
        <w:t>. Care should also be taken in analysing trends over time which can reflect complex changes in production volume, trade distributions, estimated inter-sectoral demands and final consumption expenditure.</w:t>
      </w:r>
    </w:p>
    <w:p w14:paraId="08764186" w14:textId="05C3FB66" w:rsidR="005425DB" w:rsidRPr="00DF0AE4" w:rsidRDefault="005E3147" w:rsidP="00DF0AE4">
      <w:r>
        <w:rPr>
          <w:rFonts w:ascii="Times New Roman" w:hAnsi="Times New Roman" w:cs="Times New Roman"/>
        </w:rPr>
        <w:t>Work is underway to understand the extent to which u</w:t>
      </w:r>
      <w:r w:rsidR="005425DB" w:rsidRPr="00A225AE">
        <w:rPr>
          <w:rFonts w:ascii="Times New Roman" w:hAnsi="Times New Roman" w:cs="Times New Roman"/>
        </w:rPr>
        <w:t>se of different MRIOs as the underlying dataset (for example, </w:t>
      </w:r>
      <w:hyperlink r:id="rId30" w:tgtFrame="_blank" w:tooltip="External link: Global Trade Analysis Project" w:history="1">
        <w:r w:rsidR="005425DB" w:rsidRPr="00A225AE">
          <w:rPr>
            <w:rStyle w:val="Hyperlink"/>
            <w:rFonts w:ascii="Times New Roman" w:hAnsi="Times New Roman" w:cs="Times New Roman"/>
          </w:rPr>
          <w:t>GTAP</w:t>
        </w:r>
      </w:hyperlink>
      <w:r w:rsidR="005425DB" w:rsidRPr="00A225AE">
        <w:rPr>
          <w:rFonts w:ascii="Times New Roman" w:hAnsi="Times New Roman" w:cs="Times New Roman"/>
        </w:rPr>
        <w:t> rather than </w:t>
      </w:r>
      <w:proofErr w:type="spellStart"/>
      <w:r w:rsidR="004914FC">
        <w:fldChar w:fldCharType="begin"/>
      </w:r>
      <w:r w:rsidR="004914FC">
        <w:instrText xml:space="preserve"> HYPERLINK "https://www.exiobase.eu/index.php" \t "_blank" \o "External link: Exiobase" </w:instrText>
      </w:r>
      <w:r w:rsidR="004914FC">
        <w:fldChar w:fldCharType="separate"/>
      </w:r>
      <w:r w:rsidR="005425DB" w:rsidRPr="00A225AE">
        <w:rPr>
          <w:rStyle w:val="Hyperlink"/>
          <w:rFonts w:ascii="Times New Roman" w:hAnsi="Times New Roman" w:cs="Times New Roman"/>
        </w:rPr>
        <w:t>Exiobase</w:t>
      </w:r>
      <w:proofErr w:type="spellEnd"/>
      <w:r w:rsidR="004914FC">
        <w:rPr>
          <w:rStyle w:val="Hyperlink"/>
          <w:rFonts w:ascii="Times New Roman" w:hAnsi="Times New Roman" w:cs="Times New Roman"/>
        </w:rPr>
        <w:fldChar w:fldCharType="end"/>
      </w:r>
      <w:r w:rsidR="005425DB" w:rsidRPr="00A225AE">
        <w:rPr>
          <w:rFonts w:ascii="Times New Roman" w:hAnsi="Times New Roman" w:cs="Times New Roman"/>
        </w:rPr>
        <w:t>) could lead to differences in results, due to factors including geographic and sectoral resolution, temporal coverage and lag.</w:t>
      </w:r>
      <w:r w:rsidR="00B33B9E">
        <w:rPr>
          <w:rFonts w:ascii="Times New Roman" w:hAnsi="Times New Roman" w:cs="Times New Roman"/>
        </w:rPr>
        <w:t xml:space="preserve"> Work is also underway to compare results from </w:t>
      </w:r>
      <w:r w:rsidR="00506684">
        <w:rPr>
          <w:rFonts w:ascii="Times New Roman" w:hAnsi="Times New Roman" w:cs="Times New Roman"/>
        </w:rPr>
        <w:t>using</w:t>
      </w:r>
      <w:r w:rsidR="00DF0AE4">
        <w:rPr>
          <w:rFonts w:ascii="Times New Roman" w:hAnsi="Times New Roman" w:cs="Times New Roman"/>
        </w:rPr>
        <w:t xml:space="preserve"> </w:t>
      </w:r>
      <w:r w:rsidR="00B33B9E">
        <w:rPr>
          <w:rFonts w:ascii="Times New Roman" w:hAnsi="Times New Roman" w:cs="Times New Roman"/>
        </w:rPr>
        <w:t xml:space="preserve">different </w:t>
      </w:r>
      <w:r w:rsidR="00DF0AE4">
        <w:rPr>
          <w:rFonts w:ascii="Times New Roman" w:hAnsi="Times New Roman" w:cs="Times New Roman"/>
        </w:rPr>
        <w:t xml:space="preserve">MRIO models within the IOTA framework, </w:t>
      </w:r>
      <w:r w:rsidR="00B33B9E">
        <w:rPr>
          <w:rFonts w:ascii="Times New Roman" w:hAnsi="Times New Roman" w:cs="Times New Roman"/>
        </w:rPr>
        <w:t xml:space="preserve">which can </w:t>
      </w:r>
      <w:r w:rsidR="00506684">
        <w:rPr>
          <w:rFonts w:ascii="Times New Roman" w:hAnsi="Times New Roman" w:cs="Times New Roman"/>
        </w:rPr>
        <w:t>help</w:t>
      </w:r>
      <w:r w:rsidR="00B33B9E">
        <w:rPr>
          <w:rFonts w:ascii="Times New Roman" w:hAnsi="Times New Roman" w:cs="Times New Roman"/>
        </w:rPr>
        <w:t xml:space="preserve"> to understand how perceived impacts/risks might change based on model assumptions (e.g.</w:t>
      </w:r>
      <w:r w:rsidR="00506684">
        <w:rPr>
          <w:rFonts w:ascii="Times New Roman" w:hAnsi="Times New Roman" w:cs="Times New Roman"/>
        </w:rPr>
        <w:t>,</w:t>
      </w:r>
      <w:r w:rsidR="00B33B9E">
        <w:rPr>
          <w:rFonts w:ascii="Times New Roman" w:hAnsi="Times New Roman" w:cs="Times New Roman"/>
        </w:rPr>
        <w:t xml:space="preserve"> to provide ‘envelopes’ of risk exposure).</w:t>
      </w:r>
    </w:p>
    <w:p w14:paraId="2E0CA681" w14:textId="039513B5" w:rsidR="0051564C" w:rsidRPr="00A225AE" w:rsidRDefault="0051564C" w:rsidP="00617444">
      <w:pPr>
        <w:spacing w:line="259" w:lineRule="auto"/>
        <w:rPr>
          <w:rFonts w:ascii="Times New Roman" w:hAnsi="Times New Roman" w:cs="Times New Roman"/>
        </w:rPr>
      </w:pPr>
    </w:p>
    <w:p w14:paraId="0921AF4B" w14:textId="5DAF3675" w:rsidR="0051564C" w:rsidRPr="00A225AE" w:rsidRDefault="005425DB" w:rsidP="00617444">
      <w:pPr>
        <w:spacing w:line="259" w:lineRule="auto"/>
        <w:rPr>
          <w:rFonts w:ascii="Times New Roman" w:hAnsi="Times New Roman" w:cs="Times New Roman"/>
          <w:b/>
          <w:bCs/>
        </w:rPr>
      </w:pPr>
      <w:bookmarkStart w:id="0" w:name="_Hlk115690565"/>
      <w:r w:rsidRPr="00A225AE">
        <w:rPr>
          <w:rFonts w:ascii="Times New Roman" w:hAnsi="Times New Roman" w:cs="Times New Roman"/>
          <w:b/>
          <w:bCs/>
        </w:rPr>
        <w:t>Data providers and funders</w:t>
      </w:r>
    </w:p>
    <w:bookmarkEnd w:id="0"/>
    <w:p w14:paraId="36779131" w14:textId="2259640A" w:rsidR="000438FB" w:rsidRPr="00A225AE" w:rsidRDefault="006E1553" w:rsidP="00617444">
      <w:pPr>
        <w:pStyle w:val="ListParagraph"/>
        <w:numPr>
          <w:ilvl w:val="0"/>
          <w:numId w:val="16"/>
        </w:numPr>
        <w:spacing w:line="259" w:lineRule="auto"/>
        <w:rPr>
          <w:rFonts w:ascii="Times New Roman" w:hAnsi="Times New Roman" w:cs="Times New Roman"/>
        </w:rPr>
      </w:pPr>
      <w:r w:rsidRPr="00A225AE">
        <w:rPr>
          <w:rFonts w:ascii="Times New Roman" w:hAnsi="Times New Roman" w:cs="Times New Roman"/>
        </w:rPr>
        <w:t xml:space="preserve">The indicator is being developed by the </w:t>
      </w:r>
      <w:hyperlink r:id="rId31" w:history="1">
        <w:r w:rsidRPr="00A225AE">
          <w:rPr>
            <w:rStyle w:val="Hyperlink"/>
            <w:rFonts w:ascii="Times New Roman" w:hAnsi="Times New Roman" w:cs="Times New Roman"/>
          </w:rPr>
          <w:t xml:space="preserve">Stockholm Environment Institute </w:t>
        </w:r>
        <w:r w:rsidR="008C3D7A" w:rsidRPr="00A225AE">
          <w:rPr>
            <w:rStyle w:val="Hyperlink"/>
            <w:rFonts w:ascii="Times New Roman" w:hAnsi="Times New Roman" w:cs="Times New Roman"/>
          </w:rPr>
          <w:t>(</w:t>
        </w:r>
        <w:r w:rsidRPr="00A225AE">
          <w:rPr>
            <w:rStyle w:val="Hyperlink"/>
            <w:rFonts w:ascii="Times New Roman" w:hAnsi="Times New Roman" w:cs="Times New Roman"/>
          </w:rPr>
          <w:t>University of York</w:t>
        </w:r>
        <w:r w:rsidR="008C3D7A" w:rsidRPr="00A225AE">
          <w:rPr>
            <w:rStyle w:val="Hyperlink"/>
            <w:rFonts w:ascii="Times New Roman" w:hAnsi="Times New Roman" w:cs="Times New Roman"/>
          </w:rPr>
          <w:t>)</w:t>
        </w:r>
      </w:hyperlink>
      <w:r w:rsidRPr="00A225AE">
        <w:rPr>
          <w:rFonts w:ascii="Times New Roman" w:hAnsi="Times New Roman" w:cs="Times New Roman"/>
        </w:rPr>
        <w:t xml:space="preserve"> and the </w:t>
      </w:r>
      <w:hyperlink r:id="rId32" w:history="1">
        <w:r w:rsidRPr="00A225AE">
          <w:rPr>
            <w:rStyle w:val="Hyperlink"/>
            <w:rFonts w:ascii="Times New Roman" w:hAnsi="Times New Roman" w:cs="Times New Roman"/>
          </w:rPr>
          <w:t>Joint Nature Conservation Committee</w:t>
        </w:r>
      </w:hyperlink>
      <w:r w:rsidRPr="00A225AE">
        <w:rPr>
          <w:rFonts w:ascii="Times New Roman" w:hAnsi="Times New Roman" w:cs="Times New Roman"/>
        </w:rPr>
        <w:t>.</w:t>
      </w:r>
    </w:p>
    <w:p w14:paraId="634B12A0" w14:textId="37F6F13D" w:rsidR="000438FB" w:rsidRPr="00A225AE" w:rsidRDefault="006E1553" w:rsidP="00617444">
      <w:pPr>
        <w:pStyle w:val="ListParagraph"/>
        <w:numPr>
          <w:ilvl w:val="0"/>
          <w:numId w:val="16"/>
        </w:numPr>
        <w:spacing w:line="259" w:lineRule="auto"/>
        <w:rPr>
          <w:rFonts w:ascii="Times New Roman" w:hAnsi="Times New Roman" w:cs="Times New Roman"/>
        </w:rPr>
      </w:pPr>
      <w:r w:rsidRPr="00A225AE">
        <w:rPr>
          <w:rFonts w:ascii="Times New Roman" w:hAnsi="Times New Roman" w:cs="Times New Roman"/>
        </w:rPr>
        <w:t xml:space="preserve">Work is being funded by </w:t>
      </w:r>
      <w:r w:rsidR="005425DB" w:rsidRPr="00A225AE">
        <w:rPr>
          <w:rFonts w:ascii="Times New Roman" w:hAnsi="Times New Roman" w:cs="Times New Roman"/>
        </w:rPr>
        <w:t xml:space="preserve">the </w:t>
      </w:r>
      <w:hyperlink r:id="rId33" w:history="1">
        <w:r w:rsidR="005425DB" w:rsidRPr="00A225AE">
          <w:rPr>
            <w:rStyle w:val="Hyperlink"/>
            <w:rFonts w:ascii="Times New Roman" w:hAnsi="Times New Roman" w:cs="Times New Roman"/>
          </w:rPr>
          <w:t>UK’s Department for Environment, Food and Rural Affairs (Defra)</w:t>
        </w:r>
      </w:hyperlink>
      <w:r w:rsidR="005425DB" w:rsidRPr="00A225AE">
        <w:rPr>
          <w:rFonts w:ascii="Times New Roman" w:hAnsi="Times New Roman" w:cs="Times New Roman"/>
        </w:rPr>
        <w:t>.</w:t>
      </w:r>
    </w:p>
    <w:p w14:paraId="3D90374E" w14:textId="536DC7D3" w:rsidR="00DF2E0E" w:rsidRDefault="000438FB" w:rsidP="00617444">
      <w:pPr>
        <w:pStyle w:val="ListParagraph"/>
        <w:numPr>
          <w:ilvl w:val="0"/>
          <w:numId w:val="16"/>
        </w:numPr>
        <w:spacing w:line="259" w:lineRule="auto"/>
        <w:rPr>
          <w:rFonts w:ascii="Times New Roman" w:hAnsi="Times New Roman" w:cs="Times New Roman"/>
        </w:rPr>
      </w:pPr>
      <w:r w:rsidRPr="00A225AE">
        <w:rPr>
          <w:rFonts w:ascii="Times New Roman" w:hAnsi="Times New Roman" w:cs="Times New Roman"/>
        </w:rPr>
        <w:t>Additional</w:t>
      </w:r>
      <w:r w:rsidR="008C3D7A" w:rsidRPr="00A225AE">
        <w:rPr>
          <w:rFonts w:ascii="Times New Roman" w:hAnsi="Times New Roman" w:cs="Times New Roman"/>
        </w:rPr>
        <w:t xml:space="preserve"> resource to further improve the dashboard </w:t>
      </w:r>
      <w:r w:rsidR="005425DB" w:rsidRPr="00A225AE">
        <w:rPr>
          <w:rFonts w:ascii="Times New Roman" w:hAnsi="Times New Roman" w:cs="Times New Roman"/>
        </w:rPr>
        <w:t>have also been</w:t>
      </w:r>
      <w:r w:rsidR="008C3D7A" w:rsidRPr="00A225AE">
        <w:rPr>
          <w:rFonts w:ascii="Times New Roman" w:hAnsi="Times New Roman" w:cs="Times New Roman"/>
        </w:rPr>
        <w:t xml:space="preserve"> provided by </w:t>
      </w:r>
      <w:r w:rsidRPr="00A225AE">
        <w:rPr>
          <w:rFonts w:ascii="Times New Roman" w:hAnsi="Times New Roman" w:cs="Times New Roman"/>
        </w:rPr>
        <w:t>the</w:t>
      </w:r>
      <w:r w:rsidR="00B33B9E">
        <w:rPr>
          <w:rFonts w:ascii="Times New Roman" w:hAnsi="Times New Roman" w:cs="Times New Roman"/>
        </w:rPr>
        <w:t xml:space="preserve"> Global UKRI Challenges Research Fund</w:t>
      </w:r>
      <w:r w:rsidRPr="00A225AE">
        <w:rPr>
          <w:rFonts w:ascii="Times New Roman" w:hAnsi="Times New Roman" w:cs="Times New Roman"/>
        </w:rPr>
        <w:t xml:space="preserve"> </w:t>
      </w:r>
      <w:hyperlink r:id="rId34" w:history="1">
        <w:r w:rsidRPr="00A225AE">
          <w:rPr>
            <w:rStyle w:val="Hyperlink"/>
            <w:rFonts w:ascii="Times New Roman" w:hAnsi="Times New Roman" w:cs="Times New Roman"/>
          </w:rPr>
          <w:t>Trade Hub</w:t>
        </w:r>
      </w:hyperlink>
      <w:r w:rsidR="004246FC" w:rsidRPr="00A225AE">
        <w:rPr>
          <w:rFonts w:ascii="Times New Roman" w:hAnsi="Times New Roman" w:cs="Times New Roman"/>
        </w:rPr>
        <w:t xml:space="preserve"> and </w:t>
      </w:r>
      <w:hyperlink r:id="rId35" w:history="1">
        <w:proofErr w:type="spellStart"/>
        <w:r w:rsidR="004246FC" w:rsidRPr="00A225AE">
          <w:rPr>
            <w:rStyle w:val="Hyperlink"/>
            <w:rFonts w:ascii="Times New Roman" w:hAnsi="Times New Roman" w:cs="Times New Roman"/>
          </w:rPr>
          <w:t>Trase</w:t>
        </w:r>
        <w:proofErr w:type="spellEnd"/>
      </w:hyperlink>
      <w:r w:rsidR="004246FC" w:rsidRPr="00A225AE">
        <w:rPr>
          <w:rFonts w:ascii="Times New Roman" w:hAnsi="Times New Roman" w:cs="Times New Roman"/>
        </w:rPr>
        <w:t>.</w:t>
      </w:r>
      <w:r w:rsidR="006C25ED">
        <w:rPr>
          <w:rFonts w:ascii="Times New Roman" w:hAnsi="Times New Roman" w:cs="Times New Roman"/>
        </w:rPr>
        <w:t xml:space="preserve"> The planned work to produce a</w:t>
      </w:r>
      <w:r w:rsidR="006C25ED" w:rsidRPr="006C25ED">
        <w:rPr>
          <w:rFonts w:ascii="Times New Roman" w:hAnsi="Times New Roman" w:cs="Times New Roman"/>
        </w:rPr>
        <w:t>dditional/enhanced biodiversity metrics</w:t>
      </w:r>
      <w:r w:rsidR="006C25ED">
        <w:rPr>
          <w:rFonts w:ascii="Times New Roman" w:hAnsi="Times New Roman" w:cs="Times New Roman"/>
        </w:rPr>
        <w:t xml:space="preserve"> will also build on work being undertaken by the Trade Hub.</w:t>
      </w:r>
    </w:p>
    <w:p w14:paraId="372B15FB" w14:textId="6323ED7B" w:rsidR="00DF6833" w:rsidRDefault="00DF6833" w:rsidP="00506684"/>
    <w:p w14:paraId="745A6258" w14:textId="202279A1" w:rsidR="005234FE" w:rsidRDefault="005234FE" w:rsidP="00F42231">
      <w:pPr>
        <w:spacing w:line="259" w:lineRule="auto"/>
        <w:rPr>
          <w:rFonts w:ascii="Times New Roman" w:hAnsi="Times New Roman" w:cs="Times New Roman"/>
          <w:b/>
          <w:bCs/>
        </w:rPr>
      </w:pPr>
      <w:r w:rsidRPr="00F42231">
        <w:rPr>
          <w:rFonts w:ascii="Times New Roman" w:hAnsi="Times New Roman" w:cs="Times New Roman"/>
          <w:b/>
          <w:bCs/>
        </w:rPr>
        <w:t>Comparison with other indicators</w:t>
      </w:r>
    </w:p>
    <w:p w14:paraId="0268BC71" w14:textId="2003B3FD" w:rsidR="00C671E0" w:rsidRPr="00C671E0" w:rsidRDefault="00F42231" w:rsidP="00C671E0">
      <w:pPr>
        <w:rPr>
          <w:rFonts w:ascii="Times New Roman" w:hAnsi="Times New Roman" w:cs="Times New Roman"/>
        </w:rPr>
      </w:pPr>
      <w:r>
        <w:rPr>
          <w:rFonts w:ascii="Times New Roman" w:hAnsi="Times New Roman" w:cs="Times New Roman"/>
        </w:rPr>
        <w:t>The Ecological Footprint and Material Footprint have also been proposed as potential indicators for Target 16. The indicator described in this document estimates specific impacts such as biodiversity and deforestation</w:t>
      </w:r>
      <w:r w:rsidR="00E332C0">
        <w:rPr>
          <w:rFonts w:ascii="Times New Roman" w:hAnsi="Times New Roman" w:cs="Times New Roman"/>
        </w:rPr>
        <w:t>,</w:t>
      </w:r>
      <w:r>
        <w:rPr>
          <w:rFonts w:ascii="Times New Roman" w:hAnsi="Times New Roman" w:cs="Times New Roman"/>
        </w:rPr>
        <w:t xml:space="preserve"> through a </w:t>
      </w:r>
      <w:r w:rsidR="00E332C0">
        <w:rPr>
          <w:rFonts w:ascii="Times New Roman" w:hAnsi="Times New Roman" w:cs="Times New Roman"/>
        </w:rPr>
        <w:t>complex</w:t>
      </w:r>
      <w:r w:rsidR="00C671E0">
        <w:rPr>
          <w:rFonts w:ascii="Times New Roman" w:hAnsi="Times New Roman" w:cs="Times New Roman"/>
        </w:rPr>
        <w:t xml:space="preserve"> trade model that allows for a detailed breakdown of commodities and producer countries/territories associated with each </w:t>
      </w:r>
      <w:r w:rsidR="00E332C0">
        <w:rPr>
          <w:rFonts w:ascii="Times New Roman" w:hAnsi="Times New Roman" w:cs="Times New Roman"/>
        </w:rPr>
        <w:t xml:space="preserve">consumer country/territory’s </w:t>
      </w:r>
      <w:r w:rsidR="00C671E0">
        <w:rPr>
          <w:rFonts w:ascii="Times New Roman" w:hAnsi="Times New Roman" w:cs="Times New Roman"/>
        </w:rPr>
        <w:t xml:space="preserve">impact, which is useful for informing action. Meanwhile, the Ecological Footprint focuses on the land use required to support consumption and regeneration potential, providing a simple but powerful communication tool, but accounting for trade in a simpler way that does not allow for the information to be broken down by commodity or producer country. The Material Footprint </w:t>
      </w:r>
      <w:r w:rsidR="00C671E0" w:rsidRPr="00C671E0">
        <w:rPr>
          <w:rFonts w:ascii="Times New Roman" w:hAnsi="Times New Roman" w:cs="Times New Roman"/>
        </w:rPr>
        <w:t xml:space="preserve">estimates the volume of </w:t>
      </w:r>
      <w:r w:rsidR="00E332C0" w:rsidRPr="00C671E0">
        <w:rPr>
          <w:rFonts w:ascii="Times New Roman" w:hAnsi="Times New Roman" w:cs="Times New Roman"/>
        </w:rPr>
        <w:t>consumption but</w:t>
      </w:r>
      <w:r w:rsidR="00C671E0" w:rsidRPr="00C671E0">
        <w:rPr>
          <w:rFonts w:ascii="Times New Roman" w:hAnsi="Times New Roman" w:cs="Times New Roman"/>
        </w:rPr>
        <w:t xml:space="preserve"> does not estimate the impacts this consumption is associated with (which may differ in type and severity depending on the type and location of material extraction)</w:t>
      </w:r>
      <w:r w:rsidR="00E332C0">
        <w:rPr>
          <w:rFonts w:ascii="Times New Roman" w:hAnsi="Times New Roman" w:cs="Times New Roman"/>
        </w:rPr>
        <w:t>.</w:t>
      </w:r>
    </w:p>
    <w:p w14:paraId="0463F547" w14:textId="77777777" w:rsidR="005234FE" w:rsidRPr="00F42231" w:rsidRDefault="005234FE" w:rsidP="00506684"/>
    <w:p w14:paraId="71B556FE" w14:textId="554C940F" w:rsidR="005234FE" w:rsidRPr="00713872" w:rsidRDefault="005234FE" w:rsidP="005234FE">
      <w:pPr>
        <w:spacing w:line="259" w:lineRule="auto"/>
        <w:rPr>
          <w:rFonts w:ascii="Times New Roman" w:hAnsi="Times New Roman" w:cs="Times New Roman"/>
        </w:rPr>
      </w:pPr>
      <w:r w:rsidRPr="00F42231">
        <w:rPr>
          <w:rFonts w:ascii="Times New Roman" w:hAnsi="Times New Roman" w:cs="Times New Roman"/>
        </w:rPr>
        <w:t xml:space="preserve">Please see Section 9 of Annex 1 for a more detailed comparison to </w:t>
      </w:r>
      <w:r w:rsidR="00C671E0">
        <w:rPr>
          <w:rFonts w:ascii="Times New Roman" w:hAnsi="Times New Roman" w:cs="Times New Roman"/>
        </w:rPr>
        <w:t xml:space="preserve">these </w:t>
      </w:r>
      <w:r w:rsidRPr="00F42231">
        <w:rPr>
          <w:rFonts w:ascii="Times New Roman" w:hAnsi="Times New Roman" w:cs="Times New Roman"/>
        </w:rPr>
        <w:t>other methodologies.</w:t>
      </w:r>
      <w:r w:rsidRPr="00713872">
        <w:rPr>
          <w:rFonts w:ascii="Times New Roman" w:hAnsi="Times New Roman" w:cs="Times New Roman"/>
        </w:rPr>
        <w:t xml:space="preserve"> </w:t>
      </w:r>
    </w:p>
    <w:p w14:paraId="41A9CF26" w14:textId="77777777" w:rsidR="00DF6833" w:rsidRPr="00506684" w:rsidRDefault="00DF6833" w:rsidP="00506684"/>
    <w:p w14:paraId="0E9392A7" w14:textId="77777777" w:rsidR="00DF6833" w:rsidRPr="00506684" w:rsidRDefault="00DF6833" w:rsidP="00506684"/>
    <w:p w14:paraId="632A5B33" w14:textId="77777777" w:rsidR="00DF6833" w:rsidRPr="00506684" w:rsidRDefault="00DF6833" w:rsidP="00506684"/>
    <w:p w14:paraId="04CD8883" w14:textId="77777777" w:rsidR="00DF6833" w:rsidRPr="00506684" w:rsidRDefault="00DF6833" w:rsidP="00506684"/>
    <w:p w14:paraId="3C09144C" w14:textId="77777777" w:rsidR="00DF6833" w:rsidRPr="00506684" w:rsidRDefault="00DF6833" w:rsidP="00506684"/>
    <w:p w14:paraId="3A6DA924" w14:textId="014FB66D" w:rsidR="00DF6833" w:rsidRDefault="00DF6833" w:rsidP="00A50E0B">
      <w:pPr>
        <w:tabs>
          <w:tab w:val="left" w:pos="2790"/>
        </w:tabs>
      </w:pPr>
    </w:p>
    <w:p w14:paraId="56AF3286" w14:textId="14EB1703" w:rsidR="00DF6833" w:rsidRPr="00053E6C" w:rsidRDefault="00DF6833" w:rsidP="00053E6C">
      <w:pPr>
        <w:pStyle w:val="Heading2"/>
        <w:spacing w:after="100"/>
        <w:rPr>
          <w:rFonts w:eastAsia="Calibri"/>
          <w:i/>
          <w:sz w:val="24"/>
          <w:szCs w:val="24"/>
        </w:rPr>
      </w:pPr>
      <w:bookmarkStart w:id="1" w:name="_Toc97110471"/>
      <w:r w:rsidRPr="00053E6C">
        <w:rPr>
          <w:rFonts w:eastAsiaTheme="minorHAnsi"/>
          <w:i/>
          <w:iCs w:val="0"/>
        </w:rPr>
        <w:lastRenderedPageBreak/>
        <w:t xml:space="preserve">Annex </w:t>
      </w:r>
      <w:r w:rsidR="009F09C1" w:rsidRPr="00053E6C">
        <w:rPr>
          <w:rFonts w:eastAsiaTheme="minorHAnsi"/>
          <w:i/>
          <w:iCs w:val="0"/>
        </w:rPr>
        <w:t xml:space="preserve">1 </w:t>
      </w:r>
      <w:r w:rsidRPr="00053E6C">
        <w:rPr>
          <w:rFonts w:eastAsiaTheme="minorHAnsi"/>
          <w:i/>
          <w:iCs w:val="0"/>
        </w:rPr>
        <w:t xml:space="preserve">– </w:t>
      </w:r>
      <w:r w:rsidR="009F09C1">
        <w:rPr>
          <w:rFonts w:eastAsiaTheme="minorHAnsi"/>
          <w:i/>
          <w:iCs w:val="0"/>
        </w:rPr>
        <w:t>G</w:t>
      </w:r>
      <w:r w:rsidRPr="00053E6C">
        <w:rPr>
          <w:rFonts w:eastAsiaTheme="minorHAnsi"/>
          <w:i/>
          <w:iCs w:val="0"/>
        </w:rPr>
        <w:t xml:space="preserve">lobal </w:t>
      </w:r>
      <w:r w:rsidR="00FD27C2">
        <w:rPr>
          <w:rFonts w:eastAsiaTheme="minorHAnsi"/>
          <w:i/>
          <w:iCs w:val="0"/>
        </w:rPr>
        <w:t>E</w:t>
      </w:r>
      <w:r w:rsidRPr="00053E6C">
        <w:rPr>
          <w:rFonts w:eastAsiaTheme="minorHAnsi"/>
          <w:i/>
          <w:iCs w:val="0"/>
        </w:rPr>
        <w:t xml:space="preserve">nvironmental </w:t>
      </w:r>
      <w:r w:rsidR="00FD27C2">
        <w:rPr>
          <w:rFonts w:eastAsiaTheme="minorHAnsi"/>
          <w:i/>
          <w:iCs w:val="0"/>
        </w:rPr>
        <w:t>I</w:t>
      </w:r>
      <w:r w:rsidRPr="00053E6C">
        <w:rPr>
          <w:rFonts w:eastAsiaTheme="minorHAnsi"/>
          <w:i/>
          <w:iCs w:val="0"/>
        </w:rPr>
        <w:t xml:space="preserve">mpacts of </w:t>
      </w:r>
      <w:r w:rsidR="00FD27C2">
        <w:rPr>
          <w:rFonts w:eastAsiaTheme="minorHAnsi"/>
          <w:i/>
          <w:iCs w:val="0"/>
        </w:rPr>
        <w:t>C</w:t>
      </w:r>
      <w:r w:rsidRPr="00053E6C">
        <w:rPr>
          <w:rFonts w:eastAsiaTheme="minorHAnsi"/>
          <w:i/>
          <w:iCs w:val="0"/>
        </w:rPr>
        <w:t>onsumption</w:t>
      </w:r>
      <w:bookmarkEnd w:id="1"/>
      <w:r w:rsidRPr="00053E6C">
        <w:rPr>
          <w:rFonts w:eastAsiaTheme="minorHAnsi"/>
          <w:i/>
          <w:iCs w:val="0"/>
        </w:rPr>
        <w:t xml:space="preserve"> </w:t>
      </w:r>
      <w:r w:rsidR="00FD27C2">
        <w:rPr>
          <w:rFonts w:eastAsiaTheme="minorHAnsi"/>
          <w:i/>
          <w:iCs w:val="0"/>
        </w:rPr>
        <w:t>I</w:t>
      </w:r>
      <w:r w:rsidRPr="00053E6C">
        <w:rPr>
          <w:rFonts w:eastAsiaTheme="minorHAnsi"/>
          <w:i/>
          <w:iCs w:val="0"/>
        </w:rPr>
        <w:t>ndicator: metadata sheet</w:t>
      </w:r>
    </w:p>
    <w:p w14:paraId="1A3213E0" w14:textId="25E298F8" w:rsidR="00DF6833" w:rsidRDefault="00DF6833" w:rsidP="00DF6833">
      <w:pPr>
        <w:spacing w:after="100" w:line="256" w:lineRule="auto"/>
        <w:rPr>
          <w:rFonts w:cs="Arial"/>
        </w:rPr>
      </w:pPr>
      <w:r>
        <w:rPr>
          <w:rFonts w:cs="Arial"/>
        </w:rPr>
        <w:t>This metadata sheet has been produced by the Joint Nature Conservation Committee (JNCC)</w:t>
      </w:r>
      <w:r w:rsidR="006D1AC4">
        <w:rPr>
          <w:rFonts w:cs="Arial"/>
        </w:rPr>
        <w:t xml:space="preserve"> </w:t>
      </w:r>
      <w:r>
        <w:rPr>
          <w:rFonts w:cs="Arial"/>
        </w:rPr>
        <w:t xml:space="preserve">in the style of the metadata sheets prepared by the Secretariat for proposed headline indicators for the post-2020 global biodiversity framework. </w:t>
      </w:r>
    </w:p>
    <w:p w14:paraId="12715915" w14:textId="77777777" w:rsidR="00DF6833" w:rsidRDefault="00DF6833" w:rsidP="00DF6833">
      <w:pPr>
        <w:spacing w:after="100" w:line="256" w:lineRule="auto"/>
        <w:jc w:val="center"/>
        <w:rPr>
          <w:rFonts w:cs="Arial"/>
          <w:b/>
          <w:bCs/>
          <w:sz w:val="10"/>
          <w:szCs w:val="10"/>
        </w:rPr>
      </w:pPr>
    </w:p>
    <w:p w14:paraId="217331A1" w14:textId="27DFD015" w:rsidR="00DF6833" w:rsidRDefault="00DF6833" w:rsidP="00DF6833">
      <w:pPr>
        <w:spacing w:after="100" w:line="256" w:lineRule="auto"/>
        <w:jc w:val="center"/>
        <w:rPr>
          <w:rFonts w:eastAsia="Arial" w:cs="Arial"/>
          <w:b/>
          <w:bCs/>
          <w:i/>
          <w:sz w:val="24"/>
        </w:rPr>
      </w:pPr>
      <w:r>
        <w:rPr>
          <w:rFonts w:eastAsia="Arial" w:cs="Arial"/>
          <w:b/>
          <w:bCs/>
          <w:i/>
        </w:rPr>
        <w:t>Indicator metadata sheet v</w:t>
      </w:r>
      <w:r w:rsidR="009F09C1">
        <w:rPr>
          <w:rFonts w:eastAsia="Arial" w:cs="Arial"/>
          <w:b/>
          <w:bCs/>
          <w:i/>
        </w:rPr>
        <w:t>2</w:t>
      </w:r>
      <w:r>
        <w:rPr>
          <w:rFonts w:eastAsia="Arial" w:cs="Arial"/>
          <w:b/>
          <w:bCs/>
          <w:i/>
        </w:rPr>
        <w:t>.0</w:t>
      </w:r>
    </w:p>
    <w:p w14:paraId="5B43AD67" w14:textId="77777777" w:rsidR="00DF6833" w:rsidRDefault="00DF6833" w:rsidP="00DF6833">
      <w:pPr>
        <w:numPr>
          <w:ilvl w:val="0"/>
          <w:numId w:val="20"/>
        </w:numPr>
        <w:autoSpaceDE w:val="0"/>
        <w:autoSpaceDN w:val="0"/>
        <w:adjustRightInd w:val="0"/>
        <w:spacing w:after="100"/>
        <w:rPr>
          <w:rFonts w:eastAsia="Times New Roman" w:cs="Arial"/>
          <w:b/>
          <w:bCs/>
          <w:szCs w:val="22"/>
          <w:lang w:val="en-CA" w:eastAsia="en-GB"/>
        </w:rPr>
      </w:pPr>
      <w:r>
        <w:rPr>
          <w:rFonts w:eastAsia="Times New Roman" w:cs="Arial"/>
          <w:b/>
          <w:bCs/>
          <w:szCs w:val="22"/>
          <w:lang w:val="en-AU"/>
        </w:rPr>
        <w:t>Indicator name</w:t>
      </w:r>
      <w:r>
        <w:rPr>
          <w:rFonts w:eastAsia="Times New Roman" w:cs="Arial"/>
          <w:b/>
          <w:bCs/>
          <w:i/>
          <w:iCs/>
          <w:szCs w:val="22"/>
          <w:lang w:val="en-CA" w:eastAsia="en-GB"/>
        </w:rPr>
        <w:t xml:space="preserve"> </w:t>
      </w:r>
    </w:p>
    <w:p w14:paraId="4E601FEF" w14:textId="18657D67" w:rsidR="00DF6833" w:rsidRDefault="00DF6833" w:rsidP="00DF6833">
      <w:pPr>
        <w:autoSpaceDE w:val="0"/>
        <w:autoSpaceDN w:val="0"/>
        <w:adjustRightInd w:val="0"/>
        <w:spacing w:after="100"/>
        <w:rPr>
          <w:rFonts w:eastAsia="Times New Roman" w:cs="Arial"/>
          <w:b/>
          <w:bCs/>
          <w:sz w:val="20"/>
          <w:szCs w:val="20"/>
          <w:lang w:val="en-CA" w:eastAsia="en-GB"/>
        </w:rPr>
      </w:pPr>
      <w:r>
        <w:rPr>
          <w:rFonts w:eastAsia="Times New Roman" w:cs="Arial"/>
          <w:b/>
          <w:bCs/>
          <w:noProof/>
          <w:szCs w:val="22"/>
          <w:lang w:val="en-AU"/>
        </w:rPr>
        <mc:AlternateContent>
          <mc:Choice Requires="wps">
            <w:drawing>
              <wp:inline distT="0" distB="0" distL="0" distR="0" wp14:anchorId="16D4FAE7" wp14:editId="5C252767">
                <wp:extent cx="5676900" cy="260985"/>
                <wp:effectExtent l="9525" t="9525" r="9525" b="5715"/>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60985"/>
                        </a:xfrm>
                        <a:prstGeom prst="rect">
                          <a:avLst/>
                        </a:prstGeom>
                        <a:solidFill>
                          <a:srgbClr val="FFFFFF"/>
                        </a:solidFill>
                        <a:ln w="9525">
                          <a:solidFill>
                            <a:srgbClr val="000000"/>
                          </a:solidFill>
                          <a:miter lim="800000"/>
                          <a:headEnd/>
                          <a:tailEnd/>
                        </a:ln>
                      </wps:spPr>
                      <wps:txbx>
                        <w:txbxContent>
                          <w:p w14:paraId="4DA5ED52" w14:textId="6AEAD7A9" w:rsidR="00B33B9E" w:rsidRDefault="00B33B9E" w:rsidP="00DF6833">
                            <w:pPr>
                              <w:rPr>
                                <w:rFonts w:cs="Arial"/>
                                <w:sz w:val="20"/>
                                <w:szCs w:val="20"/>
                              </w:rPr>
                            </w:pPr>
                            <w:r>
                              <w:rPr>
                                <w:rFonts w:cs="Arial"/>
                                <w:sz w:val="20"/>
                                <w:szCs w:val="20"/>
                              </w:rPr>
                              <w:t xml:space="preserve">Global </w:t>
                            </w:r>
                            <w:r w:rsidR="00FD27C2">
                              <w:rPr>
                                <w:rFonts w:cs="Arial"/>
                                <w:sz w:val="20"/>
                                <w:szCs w:val="20"/>
                              </w:rPr>
                              <w:t>E</w:t>
                            </w:r>
                            <w:r>
                              <w:rPr>
                                <w:rFonts w:cs="Arial"/>
                                <w:sz w:val="20"/>
                                <w:szCs w:val="20"/>
                              </w:rPr>
                              <w:t xml:space="preserve">nvironmental </w:t>
                            </w:r>
                            <w:r w:rsidR="00FD27C2">
                              <w:rPr>
                                <w:rFonts w:cs="Arial"/>
                                <w:sz w:val="20"/>
                                <w:szCs w:val="20"/>
                              </w:rPr>
                              <w:t>I</w:t>
                            </w:r>
                            <w:r>
                              <w:rPr>
                                <w:rFonts w:cs="Arial"/>
                                <w:sz w:val="20"/>
                                <w:szCs w:val="20"/>
                              </w:rPr>
                              <w:t xml:space="preserve">mpacts of </w:t>
                            </w:r>
                            <w:r w:rsidR="00FD27C2">
                              <w:rPr>
                                <w:rFonts w:cs="Arial"/>
                                <w:sz w:val="20"/>
                                <w:szCs w:val="20"/>
                              </w:rPr>
                              <w:t>C</w:t>
                            </w:r>
                            <w:r>
                              <w:rPr>
                                <w:rFonts w:cs="Arial"/>
                                <w:sz w:val="20"/>
                                <w:szCs w:val="20"/>
                              </w:rPr>
                              <w:t xml:space="preserve">onsumption </w:t>
                            </w:r>
                            <w:hyperlink r:id="rId36" w:history="1">
                              <w:r>
                                <w:rPr>
                                  <w:rStyle w:val="Hyperlink"/>
                                  <w:rFonts w:cs="Arial"/>
                                  <w:sz w:val="20"/>
                                  <w:szCs w:val="20"/>
                                </w:rPr>
                                <w:t>https://www.commodityfootprints.earth/</w:t>
                              </w:r>
                            </w:hyperlink>
                          </w:p>
                          <w:p w14:paraId="718E470A"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type w14:anchorId="16D4FAE7" id="_x0000_t202" coordsize="21600,21600" o:spt="202" path="m,l,21600r21600,l21600,xe">
                <v:stroke joinstyle="miter"/>
                <v:path gradientshapeok="t" o:connecttype="rect"/>
              </v:shapetype>
              <v:shape id="Text Box 63" o:spid="_x0000_s1026" type="#_x0000_t202" style="width:447pt;height: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l+FgIAACsEAAAOAAAAZHJzL2Uyb0RvYy54bWysU9uO2jAQfa/Uf7D8XhIQsBARVlu2VJW2&#10;F2nbDzCOQ6w6HndsSOjXd+ywLL29VPWD5fGMz8ycOV7d9q1hR4Vegy35eJRzpqyEStt9yb983r5a&#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">
                <v:textbox>
                  <w:txbxContent>
                    <w:p w14:paraId="4DA5ED52" w14:textId="6AEAD7A9" w:rsidR="00B33B9E" w:rsidRDefault="00B33B9E" w:rsidP="00DF6833">
                      <w:pPr>
                        <w:rPr>
                          <w:rFonts w:cs="Arial"/>
                          <w:sz w:val="20"/>
                          <w:szCs w:val="20"/>
                        </w:rPr>
                      </w:pPr>
                      <w:r>
                        <w:rPr>
                          <w:rFonts w:cs="Arial"/>
                          <w:sz w:val="20"/>
                          <w:szCs w:val="20"/>
                        </w:rPr>
                        <w:t xml:space="preserve">Global </w:t>
                      </w:r>
                      <w:r w:rsidR="00FD27C2">
                        <w:rPr>
                          <w:rFonts w:cs="Arial"/>
                          <w:sz w:val="20"/>
                          <w:szCs w:val="20"/>
                        </w:rPr>
                        <w:t>E</w:t>
                      </w:r>
                      <w:r>
                        <w:rPr>
                          <w:rFonts w:cs="Arial"/>
                          <w:sz w:val="20"/>
                          <w:szCs w:val="20"/>
                        </w:rPr>
                        <w:t xml:space="preserve">nvironmental </w:t>
                      </w:r>
                      <w:r w:rsidR="00FD27C2">
                        <w:rPr>
                          <w:rFonts w:cs="Arial"/>
                          <w:sz w:val="20"/>
                          <w:szCs w:val="20"/>
                        </w:rPr>
                        <w:t>I</w:t>
                      </w:r>
                      <w:r>
                        <w:rPr>
                          <w:rFonts w:cs="Arial"/>
                          <w:sz w:val="20"/>
                          <w:szCs w:val="20"/>
                        </w:rPr>
                        <w:t xml:space="preserve">mpacts of </w:t>
                      </w:r>
                      <w:r w:rsidR="00FD27C2">
                        <w:rPr>
                          <w:rFonts w:cs="Arial"/>
                          <w:sz w:val="20"/>
                          <w:szCs w:val="20"/>
                        </w:rPr>
                        <w:t>C</w:t>
                      </w:r>
                      <w:r>
                        <w:rPr>
                          <w:rFonts w:cs="Arial"/>
                          <w:sz w:val="20"/>
                          <w:szCs w:val="20"/>
                        </w:rPr>
                        <w:t xml:space="preserve">onsumption </w:t>
                      </w:r>
                      <w:hyperlink r:id="rId37" w:history="1">
                        <w:r>
                          <w:rPr>
                            <w:rStyle w:val="Hyperlink"/>
                            <w:rFonts w:cs="Arial"/>
                            <w:sz w:val="20"/>
                            <w:szCs w:val="20"/>
                          </w:rPr>
                          <w:t>https://www.commodityfootprints.earth/</w:t>
                        </w:r>
                      </w:hyperlink>
                    </w:p>
                    <w:p w14:paraId="718E470A" w14:textId="77777777" w:rsidR="00B33B9E" w:rsidRDefault="00B33B9E" w:rsidP="00DF6833">
                      <w:pPr>
                        <w:rPr>
                          <w:rFonts w:cs="Arial"/>
                          <w:sz w:val="20"/>
                          <w:szCs w:val="20"/>
                        </w:rPr>
                      </w:pPr>
                    </w:p>
                  </w:txbxContent>
                </v:textbox>
                <w10:anchorlock/>
              </v:shape>
            </w:pict>
          </mc:Fallback>
        </mc:AlternateContent>
      </w:r>
    </w:p>
    <w:p w14:paraId="58B5F3A8" w14:textId="77777777" w:rsidR="00DF6833" w:rsidRDefault="00DF6833" w:rsidP="00DF6833">
      <w:pPr>
        <w:pStyle w:val="ListParagraph"/>
        <w:numPr>
          <w:ilvl w:val="0"/>
          <w:numId w:val="20"/>
        </w:numPr>
        <w:autoSpaceDE w:val="0"/>
        <w:autoSpaceDN w:val="0"/>
        <w:adjustRightInd w:val="0"/>
        <w:spacing w:after="100"/>
        <w:rPr>
          <w:rFonts w:eastAsia="Times New Roman" w:cs="Arial"/>
          <w:b/>
          <w:bCs/>
          <w:sz w:val="20"/>
          <w:szCs w:val="20"/>
          <w:lang w:val="en-CA" w:eastAsia="en-GB"/>
        </w:rPr>
      </w:pPr>
      <w:r>
        <w:rPr>
          <w:rFonts w:eastAsia="Times New Roman" w:cs="Arial"/>
          <w:b/>
          <w:bCs/>
          <w:szCs w:val="22"/>
          <w:lang w:val="en-CA" w:eastAsia="en-GB"/>
        </w:rPr>
        <w:t xml:space="preserve">Date of metadata update  </w:t>
      </w:r>
    </w:p>
    <w:p w14:paraId="57515A15" w14:textId="4B5E5E2C" w:rsidR="00DF6833" w:rsidRDefault="00DF6833" w:rsidP="00DF6833">
      <w:pPr>
        <w:autoSpaceDE w:val="0"/>
        <w:autoSpaceDN w:val="0"/>
        <w:adjustRightInd w:val="0"/>
        <w:spacing w:after="100"/>
        <w:rPr>
          <w:rFonts w:eastAsia="Times New Roman" w:cs="Arial"/>
          <w:b/>
          <w:bCs/>
          <w:sz w:val="20"/>
          <w:szCs w:val="20"/>
          <w:lang w:val="en-CA" w:eastAsia="en-GB"/>
        </w:rPr>
      </w:pPr>
      <w:r>
        <w:rPr>
          <w:rFonts w:eastAsia="Times New Roman" w:cs="Arial"/>
          <w:b/>
          <w:bCs/>
          <w:noProof/>
          <w:szCs w:val="22"/>
          <w:lang w:val="en-CA" w:eastAsia="en-GB"/>
        </w:rPr>
        <mc:AlternateContent>
          <mc:Choice Requires="wps">
            <w:drawing>
              <wp:inline distT="0" distB="0" distL="0" distR="0" wp14:anchorId="03AA38E7" wp14:editId="4F069A68">
                <wp:extent cx="5676900" cy="257175"/>
                <wp:effectExtent l="9525" t="9525" r="9525" b="9525"/>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57175"/>
                        </a:xfrm>
                        <a:prstGeom prst="rect">
                          <a:avLst/>
                        </a:prstGeom>
                        <a:solidFill>
                          <a:srgbClr val="FFFFFF"/>
                        </a:solidFill>
                        <a:ln w="9525">
                          <a:solidFill>
                            <a:srgbClr val="000000"/>
                          </a:solidFill>
                          <a:miter lim="800000"/>
                          <a:headEnd/>
                          <a:tailEnd/>
                        </a:ln>
                      </wps:spPr>
                      <wps:txbx>
                        <w:txbxContent>
                          <w:p w14:paraId="7A484C2E" w14:textId="1A4A21BF" w:rsidR="00B33B9E" w:rsidRDefault="00FD27C2" w:rsidP="00DF6833">
                            <w:pPr>
                              <w:rPr>
                                <w:sz w:val="18"/>
                                <w:szCs w:val="18"/>
                              </w:rPr>
                            </w:pPr>
                            <w:r>
                              <w:rPr>
                                <w:rFonts w:cs="Arial"/>
                                <w:sz w:val="20"/>
                                <w:szCs w:val="20"/>
                                <w:lang w:val="en-CA" w:eastAsia="en-GB"/>
                              </w:rPr>
                              <w:t>September</w:t>
                            </w:r>
                            <w:r w:rsidR="00B33B9E">
                              <w:rPr>
                                <w:rFonts w:cs="Arial"/>
                                <w:sz w:val="20"/>
                                <w:szCs w:val="20"/>
                                <w:lang w:val="en-CA" w:eastAsia="en-GB"/>
                              </w:rPr>
                              <w:t xml:space="preserve"> 2022</w:t>
                            </w:r>
                          </w:p>
                        </w:txbxContent>
                      </wps:txbx>
                      <wps:bodyPr rot="0" vert="horz" wrap="square" lIns="91440" tIns="45720" rIns="91440" bIns="45720" anchor="t" anchorCtr="0" upright="1">
                        <a:noAutofit/>
                      </wps:bodyPr>
                    </wps:wsp>
                  </a:graphicData>
                </a:graphic>
              </wp:inline>
            </w:drawing>
          </mc:Choice>
          <mc:Fallback>
            <w:pict>
              <v:shape w14:anchorId="03AA38E7" id="Text Box 62" o:spid="_x0000_s1027" type="#_x0000_t202" style="width:447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">
                <v:textbox>
                  <w:txbxContent>
                    <w:p w14:paraId="7A484C2E" w14:textId="1A4A21BF" w:rsidR="00B33B9E" w:rsidRDefault="00FD27C2" w:rsidP="00DF6833">
                      <w:pPr>
                        <w:rPr>
                          <w:sz w:val="18"/>
                          <w:szCs w:val="18"/>
                        </w:rPr>
                      </w:pPr>
                      <w:r>
                        <w:rPr>
                          <w:rFonts w:cs="Arial"/>
                          <w:sz w:val="20"/>
                          <w:szCs w:val="20"/>
                          <w:lang w:val="en-CA" w:eastAsia="en-GB"/>
                        </w:rPr>
                        <w:t>September</w:t>
                      </w:r>
                      <w:r w:rsidR="00B33B9E">
                        <w:rPr>
                          <w:rFonts w:cs="Arial"/>
                          <w:sz w:val="20"/>
                          <w:szCs w:val="20"/>
                          <w:lang w:val="en-CA" w:eastAsia="en-GB"/>
                        </w:rPr>
                        <w:t xml:space="preserve"> 2022</w:t>
                      </w:r>
                    </w:p>
                  </w:txbxContent>
                </v:textbox>
                <w10:anchorlock/>
              </v:shape>
            </w:pict>
          </mc:Fallback>
        </mc:AlternateContent>
      </w:r>
    </w:p>
    <w:p w14:paraId="66F9C09A" w14:textId="77777777" w:rsidR="00DF6833" w:rsidRDefault="00DF6833" w:rsidP="00DF6833">
      <w:pPr>
        <w:pStyle w:val="ListParagraph"/>
        <w:numPr>
          <w:ilvl w:val="0"/>
          <w:numId w:val="20"/>
        </w:numPr>
        <w:autoSpaceDE w:val="0"/>
        <w:autoSpaceDN w:val="0"/>
        <w:adjustRightInd w:val="0"/>
        <w:spacing w:after="100"/>
        <w:ind w:left="714" w:hanging="357"/>
        <w:rPr>
          <w:rFonts w:eastAsia="Times New Roman" w:cs="Arial"/>
          <w:b/>
          <w:bCs/>
          <w:szCs w:val="22"/>
          <w:lang w:val="en-CA" w:eastAsia="en-GB"/>
        </w:rPr>
      </w:pPr>
      <w:r>
        <w:rPr>
          <w:rFonts w:eastAsia="Times New Roman" w:cs="Arial"/>
          <w:b/>
          <w:bCs/>
          <w:szCs w:val="22"/>
          <w:lang w:val="en-CA" w:eastAsia="en-GB"/>
        </w:rPr>
        <w:t>Goals and Targets addressed</w:t>
      </w:r>
    </w:p>
    <w:p w14:paraId="165EC025" w14:textId="7777777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sz w:val="20"/>
          <w:szCs w:val="20"/>
          <w:lang w:val="en-CA" w:eastAsia="en-GB"/>
        </w:rPr>
        <w:t xml:space="preserve">3.a Goals </w:t>
      </w:r>
    </w:p>
    <w:p w14:paraId="4BFE0A02" w14:textId="5BFA292F"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3455A63F" wp14:editId="292B2425">
                <wp:extent cx="5676900" cy="622935"/>
                <wp:effectExtent l="0" t="0" r="19050" b="2476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22935"/>
                        </a:xfrm>
                        <a:prstGeom prst="rect">
                          <a:avLst/>
                        </a:prstGeom>
                        <a:solidFill>
                          <a:srgbClr val="FFFFFF"/>
                        </a:solidFill>
                        <a:ln w="9525">
                          <a:solidFill>
                            <a:srgbClr val="000000"/>
                          </a:solidFill>
                          <a:miter lim="800000"/>
                          <a:headEnd/>
                          <a:tailEnd/>
                        </a:ln>
                      </wps:spPr>
                      <wps:txbx>
                        <w:txbxContent>
                          <w:p w14:paraId="429F8329" w14:textId="0DBBF592" w:rsidR="00B33B9E" w:rsidRPr="00053E6C" w:rsidRDefault="00B33B9E" w:rsidP="00DF6833">
                            <w:pPr>
                              <w:spacing w:after="100"/>
                              <w:rPr>
                                <w:rFonts w:cs="Arial"/>
                                <w:b/>
                                <w:bCs/>
                                <w:sz w:val="20"/>
                                <w:szCs w:val="20"/>
                              </w:rPr>
                            </w:pPr>
                            <w:r>
                              <w:rPr>
                                <w:rFonts w:cs="Arial"/>
                                <w:b/>
                                <w:bCs/>
                                <w:sz w:val="20"/>
                                <w:szCs w:val="20"/>
                              </w:rPr>
                              <w:t xml:space="preserve">Principal </w:t>
                            </w:r>
                            <w:r w:rsidR="00C85AFE">
                              <w:rPr>
                                <w:rFonts w:cs="Arial"/>
                                <w:b/>
                                <w:bCs/>
                                <w:sz w:val="20"/>
                                <w:szCs w:val="20"/>
                              </w:rPr>
                              <w:t>G</w:t>
                            </w:r>
                            <w:r>
                              <w:rPr>
                                <w:rFonts w:cs="Arial"/>
                                <w:b/>
                                <w:bCs/>
                                <w:sz w:val="20"/>
                                <w:szCs w:val="20"/>
                              </w:rPr>
                              <w:t>oal addressed: Goal A.</w:t>
                            </w:r>
                            <w:r>
                              <w:rPr>
                                <w:rFonts w:cs="Arial"/>
                                <w:sz w:val="20"/>
                                <w:szCs w:val="20"/>
                              </w:rPr>
                              <w:t xml:space="preserve"> </w:t>
                            </w:r>
                          </w:p>
                          <w:p w14:paraId="7C779EDF" w14:textId="70E5F192" w:rsidR="00B33B9E" w:rsidRDefault="00B33B9E" w:rsidP="00DF6833">
                            <w:pPr>
                              <w:spacing w:after="100"/>
                              <w:rPr>
                                <w:rFonts w:cs="Arial"/>
                                <w:sz w:val="20"/>
                                <w:szCs w:val="20"/>
                              </w:rPr>
                            </w:pPr>
                            <w:r>
                              <w:rPr>
                                <w:rFonts w:cs="Arial"/>
                                <w:b/>
                                <w:bCs/>
                                <w:sz w:val="20"/>
                                <w:szCs w:val="20"/>
                              </w:rPr>
                              <w:t xml:space="preserve">Other </w:t>
                            </w:r>
                            <w:r w:rsidR="00C85AFE">
                              <w:rPr>
                                <w:rFonts w:cs="Arial"/>
                                <w:b/>
                                <w:bCs/>
                                <w:sz w:val="20"/>
                                <w:szCs w:val="20"/>
                              </w:rPr>
                              <w:t>G</w:t>
                            </w:r>
                            <w:r>
                              <w:rPr>
                                <w:rFonts w:cs="Arial"/>
                                <w:b/>
                                <w:bCs/>
                                <w:sz w:val="20"/>
                                <w:szCs w:val="20"/>
                              </w:rPr>
                              <w:t>oals addressed: Goal B &amp; Goal D.</w:t>
                            </w:r>
                            <w:r>
                              <w:rPr>
                                <w:rFonts w:cs="Arial"/>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3455A63F" id="Text Box 61" o:spid="_x0000_s1028" type="#_x0000_t202" style="width:447pt;height:4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epGwIAADI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">
                <v:textbox>
                  <w:txbxContent>
                    <w:p w14:paraId="429F8329" w14:textId="0DBBF592" w:rsidR="00B33B9E" w:rsidRPr="00053E6C" w:rsidRDefault="00B33B9E" w:rsidP="00DF6833">
                      <w:pPr>
                        <w:spacing w:after="100"/>
                        <w:rPr>
                          <w:rFonts w:cs="Arial"/>
                          <w:b/>
                          <w:bCs/>
                          <w:sz w:val="20"/>
                          <w:szCs w:val="20"/>
                        </w:rPr>
                      </w:pPr>
                      <w:r>
                        <w:rPr>
                          <w:rFonts w:cs="Arial"/>
                          <w:b/>
                          <w:bCs/>
                          <w:sz w:val="20"/>
                          <w:szCs w:val="20"/>
                        </w:rPr>
                        <w:t xml:space="preserve">Principal </w:t>
                      </w:r>
                      <w:r w:rsidR="00C85AFE">
                        <w:rPr>
                          <w:rFonts w:cs="Arial"/>
                          <w:b/>
                          <w:bCs/>
                          <w:sz w:val="20"/>
                          <w:szCs w:val="20"/>
                        </w:rPr>
                        <w:t>G</w:t>
                      </w:r>
                      <w:r>
                        <w:rPr>
                          <w:rFonts w:cs="Arial"/>
                          <w:b/>
                          <w:bCs/>
                          <w:sz w:val="20"/>
                          <w:szCs w:val="20"/>
                        </w:rPr>
                        <w:t>oal addressed: Goal A.</w:t>
                      </w:r>
                      <w:r>
                        <w:rPr>
                          <w:rFonts w:cs="Arial"/>
                          <w:sz w:val="20"/>
                          <w:szCs w:val="20"/>
                        </w:rPr>
                        <w:t xml:space="preserve"> </w:t>
                      </w:r>
                    </w:p>
                    <w:p w14:paraId="7C779EDF" w14:textId="70E5F192" w:rsidR="00B33B9E" w:rsidRDefault="00B33B9E" w:rsidP="00DF6833">
                      <w:pPr>
                        <w:spacing w:after="100"/>
                        <w:rPr>
                          <w:rFonts w:cs="Arial"/>
                          <w:sz w:val="20"/>
                          <w:szCs w:val="20"/>
                        </w:rPr>
                      </w:pPr>
                      <w:r>
                        <w:rPr>
                          <w:rFonts w:cs="Arial"/>
                          <w:b/>
                          <w:bCs/>
                          <w:sz w:val="20"/>
                          <w:szCs w:val="20"/>
                        </w:rPr>
                        <w:t xml:space="preserve">Other </w:t>
                      </w:r>
                      <w:r w:rsidR="00C85AFE">
                        <w:rPr>
                          <w:rFonts w:cs="Arial"/>
                          <w:b/>
                          <w:bCs/>
                          <w:sz w:val="20"/>
                          <w:szCs w:val="20"/>
                        </w:rPr>
                        <w:t>G</w:t>
                      </w:r>
                      <w:r>
                        <w:rPr>
                          <w:rFonts w:cs="Arial"/>
                          <w:b/>
                          <w:bCs/>
                          <w:sz w:val="20"/>
                          <w:szCs w:val="20"/>
                        </w:rPr>
                        <w:t>oals addressed: Goal B &amp; Goal D.</w:t>
                      </w:r>
                      <w:r>
                        <w:rPr>
                          <w:rFonts w:cs="Arial"/>
                          <w:sz w:val="20"/>
                          <w:szCs w:val="20"/>
                        </w:rPr>
                        <w:t xml:space="preserve"> </w:t>
                      </w:r>
                    </w:p>
                  </w:txbxContent>
                </v:textbox>
                <w10:anchorlock/>
              </v:shape>
            </w:pict>
          </mc:Fallback>
        </mc:AlternateContent>
      </w:r>
    </w:p>
    <w:p w14:paraId="6BD2BBE6" w14:textId="7777777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sz w:val="20"/>
          <w:szCs w:val="20"/>
          <w:lang w:val="en-CA" w:eastAsia="en-GB"/>
        </w:rPr>
        <w:t>3.b Target</w:t>
      </w:r>
    </w:p>
    <w:p w14:paraId="0E7F6A35" w14:textId="1F0D3583"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54D79ECB" wp14:editId="5EC14B74">
                <wp:extent cx="5724525" cy="539115"/>
                <wp:effectExtent l="0" t="0" r="28575" b="1333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39115"/>
                        </a:xfrm>
                        <a:prstGeom prst="rect">
                          <a:avLst/>
                        </a:prstGeom>
                        <a:solidFill>
                          <a:srgbClr val="FFFFFF"/>
                        </a:solidFill>
                        <a:ln w="9525">
                          <a:solidFill>
                            <a:srgbClr val="000000"/>
                          </a:solidFill>
                          <a:miter lim="800000"/>
                          <a:headEnd/>
                          <a:tailEnd/>
                        </a:ln>
                      </wps:spPr>
                      <wps:txbx>
                        <w:txbxContent>
                          <w:p w14:paraId="5145DC5B" w14:textId="57913572" w:rsidR="00B33B9E" w:rsidRDefault="00B33B9E" w:rsidP="00DF6833">
                            <w:pPr>
                              <w:spacing w:after="100"/>
                              <w:rPr>
                                <w:rFonts w:cs="Arial"/>
                                <w:b/>
                                <w:bCs/>
                                <w:sz w:val="20"/>
                                <w:szCs w:val="20"/>
                              </w:rPr>
                            </w:pPr>
                            <w:r>
                              <w:rPr>
                                <w:rFonts w:cs="Arial"/>
                                <w:b/>
                                <w:bCs/>
                                <w:sz w:val="20"/>
                                <w:szCs w:val="20"/>
                              </w:rPr>
                              <w:t xml:space="preserve">Principle </w:t>
                            </w:r>
                            <w:r w:rsidR="00C85AFE">
                              <w:rPr>
                                <w:rFonts w:cs="Arial"/>
                                <w:b/>
                                <w:bCs/>
                                <w:sz w:val="20"/>
                                <w:szCs w:val="20"/>
                              </w:rPr>
                              <w:t>T</w:t>
                            </w:r>
                            <w:r>
                              <w:rPr>
                                <w:rFonts w:cs="Arial"/>
                                <w:b/>
                                <w:bCs/>
                                <w:sz w:val="20"/>
                                <w:szCs w:val="20"/>
                              </w:rPr>
                              <w:t>arget addressed: Target 16.</w:t>
                            </w:r>
                          </w:p>
                          <w:p w14:paraId="1416CF32" w14:textId="68D0058C" w:rsidR="00B33B9E" w:rsidRDefault="00B33B9E" w:rsidP="00DF6833">
                            <w:pPr>
                              <w:spacing w:after="100"/>
                              <w:rPr>
                                <w:rFonts w:cs="Arial"/>
                                <w:sz w:val="20"/>
                                <w:szCs w:val="20"/>
                              </w:rPr>
                            </w:pPr>
                            <w:r>
                              <w:rPr>
                                <w:rFonts w:cs="Arial"/>
                                <w:b/>
                                <w:bCs/>
                                <w:sz w:val="20"/>
                                <w:szCs w:val="20"/>
                              </w:rPr>
                              <w:t xml:space="preserve">Other </w:t>
                            </w:r>
                            <w:r w:rsidR="00C85AFE">
                              <w:rPr>
                                <w:rFonts w:cs="Arial"/>
                                <w:b/>
                                <w:bCs/>
                                <w:sz w:val="20"/>
                                <w:szCs w:val="20"/>
                              </w:rPr>
                              <w:t>T</w:t>
                            </w:r>
                            <w:r>
                              <w:rPr>
                                <w:rFonts w:cs="Arial"/>
                                <w:b/>
                                <w:bCs/>
                                <w:sz w:val="20"/>
                                <w:szCs w:val="20"/>
                              </w:rPr>
                              <w:t>argets addressed: Target 8, Target 14 &amp;Target 15.</w:t>
                            </w:r>
                            <w:r>
                              <w:rPr>
                                <w:rFonts w:cs="Arial"/>
                                <w:sz w:val="20"/>
                                <w:szCs w:val="20"/>
                              </w:rPr>
                              <w:t xml:space="preserve"> </w:t>
                            </w:r>
                          </w:p>
                          <w:p w14:paraId="4A176025" w14:textId="7E5D8E9C" w:rsidR="00B33B9E" w:rsidRDefault="00B33B9E" w:rsidP="00DF6833">
                            <w:pPr>
                              <w:spacing w:after="100"/>
                              <w:rPr>
                                <w:rFonts w:cs="Arial"/>
                                <w:sz w:val="20"/>
                                <w:szCs w:val="20"/>
                              </w:rPr>
                            </w:pPr>
                          </w:p>
                          <w:p w14:paraId="7DD04102"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54D79ECB" id="Text Box 60" o:spid="_x0000_s1029" type="#_x0000_t202" style="width:450.75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">
                <v:textbox>
                  <w:txbxContent>
                    <w:p w14:paraId="5145DC5B" w14:textId="57913572" w:rsidR="00B33B9E" w:rsidRDefault="00B33B9E" w:rsidP="00DF6833">
                      <w:pPr>
                        <w:spacing w:after="100"/>
                        <w:rPr>
                          <w:rFonts w:cs="Arial"/>
                          <w:b/>
                          <w:bCs/>
                          <w:sz w:val="20"/>
                          <w:szCs w:val="20"/>
                        </w:rPr>
                      </w:pPr>
                      <w:r>
                        <w:rPr>
                          <w:rFonts w:cs="Arial"/>
                          <w:b/>
                          <w:bCs/>
                          <w:sz w:val="20"/>
                          <w:szCs w:val="20"/>
                        </w:rPr>
                        <w:t xml:space="preserve">Principle </w:t>
                      </w:r>
                      <w:r w:rsidR="00C85AFE">
                        <w:rPr>
                          <w:rFonts w:cs="Arial"/>
                          <w:b/>
                          <w:bCs/>
                          <w:sz w:val="20"/>
                          <w:szCs w:val="20"/>
                        </w:rPr>
                        <w:t>T</w:t>
                      </w:r>
                      <w:r>
                        <w:rPr>
                          <w:rFonts w:cs="Arial"/>
                          <w:b/>
                          <w:bCs/>
                          <w:sz w:val="20"/>
                          <w:szCs w:val="20"/>
                        </w:rPr>
                        <w:t>arget addressed: Target 16.</w:t>
                      </w:r>
                    </w:p>
                    <w:p w14:paraId="1416CF32" w14:textId="68D0058C" w:rsidR="00B33B9E" w:rsidRDefault="00B33B9E" w:rsidP="00DF6833">
                      <w:pPr>
                        <w:spacing w:after="100"/>
                        <w:rPr>
                          <w:rFonts w:cs="Arial"/>
                          <w:sz w:val="20"/>
                          <w:szCs w:val="20"/>
                        </w:rPr>
                      </w:pPr>
                      <w:r>
                        <w:rPr>
                          <w:rFonts w:cs="Arial"/>
                          <w:b/>
                          <w:bCs/>
                          <w:sz w:val="20"/>
                          <w:szCs w:val="20"/>
                        </w:rPr>
                        <w:t xml:space="preserve">Other </w:t>
                      </w:r>
                      <w:r w:rsidR="00C85AFE">
                        <w:rPr>
                          <w:rFonts w:cs="Arial"/>
                          <w:b/>
                          <w:bCs/>
                          <w:sz w:val="20"/>
                          <w:szCs w:val="20"/>
                        </w:rPr>
                        <w:t>T</w:t>
                      </w:r>
                      <w:r>
                        <w:rPr>
                          <w:rFonts w:cs="Arial"/>
                          <w:b/>
                          <w:bCs/>
                          <w:sz w:val="20"/>
                          <w:szCs w:val="20"/>
                        </w:rPr>
                        <w:t>argets addressed: Target 8, Target 14 &amp;Target 15.</w:t>
                      </w:r>
                      <w:r>
                        <w:rPr>
                          <w:rFonts w:cs="Arial"/>
                          <w:sz w:val="20"/>
                          <w:szCs w:val="20"/>
                        </w:rPr>
                        <w:t xml:space="preserve"> </w:t>
                      </w:r>
                    </w:p>
                    <w:p w14:paraId="4A176025" w14:textId="7E5D8E9C" w:rsidR="00B33B9E" w:rsidRDefault="00B33B9E" w:rsidP="00DF6833">
                      <w:pPr>
                        <w:spacing w:after="100"/>
                        <w:rPr>
                          <w:rFonts w:cs="Arial"/>
                          <w:sz w:val="20"/>
                          <w:szCs w:val="20"/>
                        </w:rPr>
                      </w:pPr>
                    </w:p>
                    <w:p w14:paraId="7DD04102" w14:textId="77777777" w:rsidR="00B33B9E" w:rsidRDefault="00B33B9E" w:rsidP="00DF6833">
                      <w:pPr>
                        <w:rPr>
                          <w:rFonts w:cs="Arial"/>
                          <w:sz w:val="20"/>
                          <w:szCs w:val="20"/>
                        </w:rPr>
                      </w:pPr>
                    </w:p>
                  </w:txbxContent>
                </v:textbox>
                <w10:anchorlock/>
              </v:shape>
            </w:pict>
          </mc:Fallback>
        </mc:AlternateContent>
      </w:r>
    </w:p>
    <w:p w14:paraId="0C215C0A" w14:textId="77777777" w:rsidR="00DF6833" w:rsidRDefault="00DF6833" w:rsidP="00DF6833">
      <w:pPr>
        <w:pStyle w:val="ListParagraph"/>
        <w:numPr>
          <w:ilvl w:val="0"/>
          <w:numId w:val="20"/>
        </w:numPr>
        <w:autoSpaceDE w:val="0"/>
        <w:autoSpaceDN w:val="0"/>
        <w:adjustRightInd w:val="0"/>
        <w:spacing w:after="100"/>
        <w:rPr>
          <w:rFonts w:eastAsia="Times New Roman" w:cs="Arial"/>
          <w:b/>
          <w:bCs/>
          <w:szCs w:val="22"/>
          <w:lang w:val="en-CA" w:eastAsia="en-GB"/>
        </w:rPr>
      </w:pPr>
      <w:r>
        <w:rPr>
          <w:rFonts w:eastAsia="Times New Roman" w:cs="Arial"/>
          <w:b/>
          <w:bCs/>
          <w:szCs w:val="22"/>
          <w:lang w:val="en-CA" w:eastAsia="en-GB"/>
        </w:rPr>
        <w:t>Rationale</w:t>
      </w:r>
    </w:p>
    <w:p w14:paraId="76D4A09B" w14:textId="69CBA876" w:rsidR="00DF6833" w:rsidRDefault="00DF6833" w:rsidP="00DF6833">
      <w:pPr>
        <w:spacing w:after="100" w:line="256" w:lineRule="auto"/>
        <w:rPr>
          <w:rFonts w:eastAsia="Times New Roman" w:cs="Arial"/>
          <w:b/>
          <w:bCs/>
          <w:szCs w:val="22"/>
          <w:lang w:val="en-CA" w:eastAsia="en-GB"/>
        </w:rPr>
      </w:pPr>
      <w:r>
        <w:rPr>
          <w:rFonts w:eastAsia="Times New Roman" w:cs="Arial"/>
          <w:b/>
          <w:bCs/>
          <w:noProof/>
          <w:szCs w:val="22"/>
          <w:lang w:val="en-CA" w:eastAsia="en-GB"/>
        </w:rPr>
        <mc:AlternateContent>
          <mc:Choice Requires="wps">
            <w:drawing>
              <wp:inline distT="0" distB="0" distL="0" distR="0" wp14:anchorId="6EF3BEC4" wp14:editId="39075CA8">
                <wp:extent cx="5735955" cy="3185160"/>
                <wp:effectExtent l="0" t="0" r="17145" b="1524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185160"/>
                        </a:xfrm>
                        <a:prstGeom prst="rect">
                          <a:avLst/>
                        </a:prstGeom>
                        <a:solidFill>
                          <a:srgbClr val="FFFFFF"/>
                        </a:solidFill>
                        <a:ln w="9525">
                          <a:solidFill>
                            <a:srgbClr val="000000"/>
                          </a:solidFill>
                          <a:miter lim="800000"/>
                          <a:headEnd/>
                          <a:tailEnd/>
                        </a:ln>
                      </wps:spPr>
                      <wps:txbx>
                        <w:txbxContent>
                          <w:p w14:paraId="6C8B86B6" w14:textId="3F321DB9" w:rsidR="00B33B9E" w:rsidRDefault="009A4CF7" w:rsidP="00DF6833">
                            <w:pPr>
                              <w:rPr>
                                <w:rFonts w:cs="Arial"/>
                                <w:sz w:val="20"/>
                                <w:szCs w:val="20"/>
                              </w:rPr>
                            </w:pPr>
                            <w:r>
                              <w:rPr>
                                <w:rFonts w:cs="Arial"/>
                                <w:sz w:val="20"/>
                                <w:szCs w:val="20"/>
                              </w:rPr>
                              <w:t xml:space="preserve">This indicator is directly relevant </w:t>
                            </w:r>
                            <w:r w:rsidRPr="00125F85">
                              <w:rPr>
                                <w:rFonts w:cs="Arial"/>
                                <w:sz w:val="20"/>
                                <w:szCs w:val="20"/>
                              </w:rPr>
                              <w:t>to Target 16</w:t>
                            </w:r>
                            <w:r w:rsidRPr="003A262E">
                              <w:rPr>
                                <w:rFonts w:cs="Arial"/>
                                <w:sz w:val="20"/>
                                <w:szCs w:val="20"/>
                              </w:rPr>
                              <w:t xml:space="preserve">. </w:t>
                            </w:r>
                            <w:r w:rsidR="00B33B9E" w:rsidRPr="003A262E">
                              <w:rPr>
                                <w:rFonts w:cs="Arial"/>
                                <w:sz w:val="20"/>
                                <w:szCs w:val="20"/>
                              </w:rPr>
                              <w:t>Unsustainable</w:t>
                            </w:r>
                            <w:r w:rsidR="00B33B9E">
                              <w:rPr>
                                <w:rFonts w:cs="Arial"/>
                                <w:sz w:val="20"/>
                                <w:szCs w:val="20"/>
                              </w:rPr>
                              <w:t xml:space="preserve"> overconsumption of food and other materials is linked to significant production-related environmental impacts, such as deforestation, land use change, biodiversity loss and water stress. Consumers are often far removed from these impacts, at the other end of supply chains which may span many different countries. This makes it difficult for individuals, companies, </w:t>
                            </w:r>
                            <w:r w:rsidR="00B33B9E">
                              <w:rPr>
                                <w:rFonts w:cs="Arial"/>
                                <w:sz w:val="20"/>
                                <w:szCs w:val="20"/>
                              </w:rPr>
                              <w:t xml:space="preserve">Governments and other actors to make responsible choices and have access to relevant information about the environmental impacts of their consumption. Furthermore, impacts may differ in their severity depending on the type and location of material extraction and/or resource use, meaning that quantifying material dependencies (i.e., Material Footprint indicators) is insufficient to understand sustainability-linked impacts linked to consumption activities. This indicator provides information on the estimated tropical </w:t>
                            </w:r>
                            <w:r w:rsidR="006E5EF1">
                              <w:rPr>
                                <w:rFonts w:cs="Arial"/>
                                <w:sz w:val="20"/>
                                <w:szCs w:val="20"/>
                              </w:rPr>
                              <w:t xml:space="preserve">and subtropical </w:t>
                            </w:r>
                            <w:r w:rsidR="00B33B9E">
                              <w:rPr>
                                <w:rFonts w:cs="Arial"/>
                                <w:sz w:val="20"/>
                                <w:szCs w:val="20"/>
                              </w:rPr>
                              <w:t>deforestation, biodiversity loss and scarcity-weighted water use associated with a country’s consumption of agricultural commodities. Results can be broken down by the commodity associated with the impact, and by the country in which production of the commodity is taking place. The tropical deforestation and biodiversity loss aspects of the indicator also support assessing progress towards Goal A</w:t>
                            </w:r>
                            <w:r w:rsidR="009423FE">
                              <w:rPr>
                                <w:rFonts w:cs="Arial"/>
                                <w:sz w:val="20"/>
                                <w:szCs w:val="20"/>
                              </w:rPr>
                              <w:t xml:space="preserve">, and the possibility of using it to identify </w:t>
                            </w:r>
                            <w:r w:rsidR="009423FE" w:rsidRPr="009423FE">
                              <w:rPr>
                                <w:rFonts w:cs="Arial"/>
                                <w:sz w:val="20"/>
                                <w:szCs w:val="20"/>
                              </w:rPr>
                              <w:t xml:space="preserve">hotspots of risk to potentially </w:t>
                            </w:r>
                            <w:r w:rsidR="00F5677C">
                              <w:rPr>
                                <w:rFonts w:cs="Arial"/>
                                <w:sz w:val="20"/>
                                <w:szCs w:val="20"/>
                              </w:rPr>
                              <w:t>direct</w:t>
                            </w:r>
                            <w:r w:rsidR="009423FE" w:rsidRPr="009423FE">
                              <w:rPr>
                                <w:rFonts w:cs="Arial"/>
                                <w:sz w:val="20"/>
                                <w:szCs w:val="20"/>
                              </w:rPr>
                              <w:t xml:space="preserve"> overseas support/intervention</w:t>
                            </w:r>
                            <w:r w:rsidR="009423FE">
                              <w:rPr>
                                <w:rFonts w:cs="Arial"/>
                                <w:sz w:val="20"/>
                                <w:szCs w:val="20"/>
                              </w:rPr>
                              <w:t xml:space="preserve"> could also be of use to Goal D</w:t>
                            </w:r>
                            <w:r w:rsidR="00B33B9E">
                              <w:rPr>
                                <w:rFonts w:cs="Arial"/>
                                <w:sz w:val="20"/>
                                <w:szCs w:val="20"/>
                              </w:rPr>
                              <w:t>. The indicator also supports</w:t>
                            </w:r>
                            <w:r w:rsidR="009423FE">
                              <w:rPr>
                                <w:rFonts w:cs="Arial"/>
                                <w:sz w:val="20"/>
                                <w:szCs w:val="20"/>
                              </w:rPr>
                              <w:t>: Target 8 through inclusion of data on</w:t>
                            </w:r>
                            <w:r w:rsidR="00F5677C">
                              <w:rPr>
                                <w:rFonts w:cs="Arial"/>
                                <w:sz w:val="20"/>
                                <w:szCs w:val="20"/>
                              </w:rPr>
                              <w:t xml:space="preserve"> </w:t>
                            </w:r>
                            <w:r w:rsidR="00053E6C">
                              <w:rPr>
                                <w:rFonts w:cs="Arial"/>
                                <w:sz w:val="20"/>
                                <w:szCs w:val="20"/>
                              </w:rPr>
                              <w:t xml:space="preserve">greenhouse gas emissions relating to </w:t>
                            </w:r>
                            <w:r w:rsidR="00F5677C">
                              <w:rPr>
                                <w:rFonts w:cs="Arial"/>
                                <w:sz w:val="20"/>
                                <w:szCs w:val="20"/>
                              </w:rPr>
                              <w:t>land use and land-use change</w:t>
                            </w:r>
                            <w:r w:rsidR="009423FE">
                              <w:rPr>
                                <w:rFonts w:cs="Arial"/>
                                <w:sz w:val="20"/>
                                <w:szCs w:val="20"/>
                              </w:rPr>
                              <w:t xml:space="preserve"> </w:t>
                            </w:r>
                            <w:r w:rsidR="00F5677C">
                              <w:rPr>
                                <w:rFonts w:cs="Arial"/>
                                <w:sz w:val="20"/>
                                <w:szCs w:val="20"/>
                              </w:rPr>
                              <w:t>(</w:t>
                            </w:r>
                            <w:r w:rsidR="009423FE" w:rsidRPr="009423FE">
                              <w:rPr>
                                <w:rFonts w:cs="Arial"/>
                                <w:sz w:val="20"/>
                                <w:szCs w:val="20"/>
                              </w:rPr>
                              <w:t>LULUC</w:t>
                            </w:r>
                            <w:r w:rsidR="00F5677C">
                              <w:rPr>
                                <w:rFonts w:cs="Arial"/>
                                <w:sz w:val="20"/>
                                <w:szCs w:val="20"/>
                              </w:rPr>
                              <w:t>)</w:t>
                            </w:r>
                            <w:r w:rsidR="009423FE" w:rsidRPr="009423FE">
                              <w:rPr>
                                <w:rFonts w:cs="Arial"/>
                                <w:sz w:val="20"/>
                                <w:szCs w:val="20"/>
                              </w:rPr>
                              <w:t xml:space="preserve"> impacts of consumption</w:t>
                            </w:r>
                            <w:r w:rsidR="009423FE">
                              <w:rPr>
                                <w:rFonts w:cs="Arial"/>
                                <w:sz w:val="20"/>
                                <w:szCs w:val="20"/>
                              </w:rPr>
                              <w:t>;</w:t>
                            </w:r>
                            <w:r w:rsidR="00B33B9E">
                              <w:rPr>
                                <w:rFonts w:cs="Arial"/>
                                <w:sz w:val="20"/>
                                <w:szCs w:val="20"/>
                              </w:rPr>
                              <w:t xml:space="preserve"> </w:t>
                            </w:r>
                            <w:r w:rsidR="009423FE">
                              <w:rPr>
                                <w:rFonts w:cs="Arial"/>
                                <w:sz w:val="20"/>
                                <w:szCs w:val="20"/>
                              </w:rPr>
                              <w:t xml:space="preserve">Target 14 through </w:t>
                            </w:r>
                            <w:r w:rsidR="00B33B9E">
                              <w:rPr>
                                <w:rFonts w:cs="Arial"/>
                                <w:sz w:val="20"/>
                                <w:szCs w:val="20"/>
                              </w:rPr>
                              <w:t>the assessment of environmental impacts at all levels of government and across a range of sectors of the economy</w:t>
                            </w:r>
                            <w:r w:rsidR="009423FE">
                              <w:rPr>
                                <w:rFonts w:cs="Arial"/>
                                <w:sz w:val="20"/>
                                <w:szCs w:val="20"/>
                              </w:rPr>
                              <w:t>; Target 15</w:t>
                            </w:r>
                            <w:r w:rsidR="009423FE" w:rsidRPr="009423FE">
                              <w:t xml:space="preserve"> </w:t>
                            </w:r>
                            <w:r w:rsidR="009423FE">
                              <w:rPr>
                                <w:rFonts w:cs="Arial"/>
                                <w:sz w:val="20"/>
                                <w:szCs w:val="20"/>
                              </w:rPr>
                              <w:t xml:space="preserve">through its </w:t>
                            </w:r>
                            <w:r w:rsidR="009423FE" w:rsidRPr="009423FE">
                              <w:rPr>
                                <w:rFonts w:cs="Arial"/>
                                <w:sz w:val="20"/>
                                <w:szCs w:val="20"/>
                              </w:rPr>
                              <w:t>ability to triage/support activities at private sector level</w:t>
                            </w:r>
                            <w:r w:rsidR="00B33B9E">
                              <w:rPr>
                                <w:rFonts w:cs="Arial"/>
                                <w:sz w:val="20"/>
                                <w:szCs w:val="20"/>
                              </w:rPr>
                              <w:t>.</w:t>
                            </w:r>
                          </w:p>
                        </w:txbxContent>
                      </wps:txbx>
                      <wps:bodyPr rot="0" vert="horz" wrap="square" lIns="91440" tIns="45720" rIns="91440" bIns="45720" anchor="t" anchorCtr="0" upright="1">
                        <a:noAutofit/>
                      </wps:bodyPr>
                    </wps:wsp>
                  </a:graphicData>
                </a:graphic>
              </wp:inline>
            </w:drawing>
          </mc:Choice>
          <mc:Fallback>
            <w:pict>
              <v:shape w14:anchorId="6EF3BEC4" id="Text Box 59" o:spid="_x0000_s1030" type="#_x0000_t202" style="width:451.65pt;height:2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IGHQIAADMEAAAOAAAAZHJzL2Uyb0RvYy54bWysU9tu2zAMfR+wfxD0vjhJ4zYx4hRdugwD&#10;ugvQ7QMUWY6FyaJGKbGzrx8lp2nQbS/D9CCIonRIHh4ub/vWsINCr8GWfDIac6ashErbXcm/fd28&#10;mXP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">
                <v:textbox>
                  <w:txbxContent>
                    <w:p w14:paraId="6C8B86B6" w14:textId="3F321DB9" w:rsidR="00B33B9E" w:rsidRDefault="009A4CF7" w:rsidP="00DF6833">
                      <w:pPr>
                        <w:rPr>
                          <w:rFonts w:cs="Arial"/>
                          <w:sz w:val="20"/>
                          <w:szCs w:val="20"/>
                        </w:rPr>
                      </w:pPr>
                      <w:r>
                        <w:rPr>
                          <w:rFonts w:cs="Arial"/>
                          <w:sz w:val="20"/>
                          <w:szCs w:val="20"/>
                        </w:rPr>
                        <w:t xml:space="preserve">This indicator is directly relevant </w:t>
                      </w:r>
                      <w:r w:rsidRPr="00125F85">
                        <w:rPr>
                          <w:rFonts w:cs="Arial"/>
                          <w:sz w:val="20"/>
                          <w:szCs w:val="20"/>
                        </w:rPr>
                        <w:t>to Target 16</w:t>
                      </w:r>
                      <w:r w:rsidRPr="003A262E">
                        <w:rPr>
                          <w:rFonts w:cs="Arial"/>
                          <w:sz w:val="20"/>
                          <w:szCs w:val="20"/>
                        </w:rPr>
                        <w:t xml:space="preserve">. </w:t>
                      </w:r>
                      <w:r w:rsidR="00B33B9E" w:rsidRPr="003A262E">
                        <w:rPr>
                          <w:rFonts w:cs="Arial"/>
                          <w:sz w:val="20"/>
                          <w:szCs w:val="20"/>
                        </w:rPr>
                        <w:t>Unsustainable</w:t>
                      </w:r>
                      <w:r w:rsidR="00B33B9E">
                        <w:rPr>
                          <w:rFonts w:cs="Arial"/>
                          <w:sz w:val="20"/>
                          <w:szCs w:val="20"/>
                        </w:rPr>
                        <w:t xml:space="preserve"> overconsumption of food and other materials is linked to significant production-related environmental impacts, such as deforestation, land use change, biodiversity loss and water stress. Consumers are often far removed from these impacts, at the other end of supply chains which may span many different countries. This makes it difficult for individuals, companies, </w:t>
                      </w:r>
                      <w:r w:rsidR="00B33B9E">
                        <w:rPr>
                          <w:rFonts w:cs="Arial"/>
                          <w:sz w:val="20"/>
                          <w:szCs w:val="20"/>
                        </w:rPr>
                        <w:t xml:space="preserve">Governments and other actors to make responsible choices and have access to relevant information about the environmental impacts of their consumption. Furthermore, impacts may differ in their severity depending on the type and location of material extraction and/or resource use, meaning that quantifying material dependencies (i.e., Material Footprint indicators) is insufficient to understand sustainability-linked impacts linked to consumption activities. This indicator provides information on the estimated tropical </w:t>
                      </w:r>
                      <w:r w:rsidR="006E5EF1">
                        <w:rPr>
                          <w:rFonts w:cs="Arial"/>
                          <w:sz w:val="20"/>
                          <w:szCs w:val="20"/>
                        </w:rPr>
                        <w:t xml:space="preserve">and subtropical </w:t>
                      </w:r>
                      <w:r w:rsidR="00B33B9E">
                        <w:rPr>
                          <w:rFonts w:cs="Arial"/>
                          <w:sz w:val="20"/>
                          <w:szCs w:val="20"/>
                        </w:rPr>
                        <w:t>deforestation, biodiversity loss and scarcity-weighted water use associated with a country’s consumption of agricultural commodities. Results can be broken down by the commodity associated with the impact, and by the country in which production of the commodity is taking place. The tropical deforestation and biodiversity loss aspects of the indicator also support assessing progress towards Goal A</w:t>
                      </w:r>
                      <w:r w:rsidR="009423FE">
                        <w:rPr>
                          <w:rFonts w:cs="Arial"/>
                          <w:sz w:val="20"/>
                          <w:szCs w:val="20"/>
                        </w:rPr>
                        <w:t xml:space="preserve">, and the possibility of using it to identify </w:t>
                      </w:r>
                      <w:r w:rsidR="009423FE" w:rsidRPr="009423FE">
                        <w:rPr>
                          <w:rFonts w:cs="Arial"/>
                          <w:sz w:val="20"/>
                          <w:szCs w:val="20"/>
                        </w:rPr>
                        <w:t xml:space="preserve">hotspots of risk to potentially </w:t>
                      </w:r>
                      <w:r w:rsidR="00F5677C">
                        <w:rPr>
                          <w:rFonts w:cs="Arial"/>
                          <w:sz w:val="20"/>
                          <w:szCs w:val="20"/>
                        </w:rPr>
                        <w:t>direct</w:t>
                      </w:r>
                      <w:r w:rsidR="009423FE" w:rsidRPr="009423FE">
                        <w:rPr>
                          <w:rFonts w:cs="Arial"/>
                          <w:sz w:val="20"/>
                          <w:szCs w:val="20"/>
                        </w:rPr>
                        <w:t xml:space="preserve"> overseas support/intervention</w:t>
                      </w:r>
                      <w:r w:rsidR="009423FE">
                        <w:rPr>
                          <w:rFonts w:cs="Arial"/>
                          <w:sz w:val="20"/>
                          <w:szCs w:val="20"/>
                        </w:rPr>
                        <w:t xml:space="preserve"> could also be of use to Goal D</w:t>
                      </w:r>
                      <w:r w:rsidR="00B33B9E">
                        <w:rPr>
                          <w:rFonts w:cs="Arial"/>
                          <w:sz w:val="20"/>
                          <w:szCs w:val="20"/>
                        </w:rPr>
                        <w:t>. The indicator also supports</w:t>
                      </w:r>
                      <w:r w:rsidR="009423FE">
                        <w:rPr>
                          <w:rFonts w:cs="Arial"/>
                          <w:sz w:val="20"/>
                          <w:szCs w:val="20"/>
                        </w:rPr>
                        <w:t>: Target 8 through inclusion of data on</w:t>
                      </w:r>
                      <w:r w:rsidR="00F5677C">
                        <w:rPr>
                          <w:rFonts w:cs="Arial"/>
                          <w:sz w:val="20"/>
                          <w:szCs w:val="20"/>
                        </w:rPr>
                        <w:t xml:space="preserve"> </w:t>
                      </w:r>
                      <w:r w:rsidR="00053E6C">
                        <w:rPr>
                          <w:rFonts w:cs="Arial"/>
                          <w:sz w:val="20"/>
                          <w:szCs w:val="20"/>
                        </w:rPr>
                        <w:t xml:space="preserve">greenhouse gas emissions relating to </w:t>
                      </w:r>
                      <w:r w:rsidR="00F5677C">
                        <w:rPr>
                          <w:rFonts w:cs="Arial"/>
                          <w:sz w:val="20"/>
                          <w:szCs w:val="20"/>
                        </w:rPr>
                        <w:t>land use and land-use change</w:t>
                      </w:r>
                      <w:r w:rsidR="009423FE">
                        <w:rPr>
                          <w:rFonts w:cs="Arial"/>
                          <w:sz w:val="20"/>
                          <w:szCs w:val="20"/>
                        </w:rPr>
                        <w:t xml:space="preserve"> </w:t>
                      </w:r>
                      <w:r w:rsidR="00F5677C">
                        <w:rPr>
                          <w:rFonts w:cs="Arial"/>
                          <w:sz w:val="20"/>
                          <w:szCs w:val="20"/>
                        </w:rPr>
                        <w:t>(</w:t>
                      </w:r>
                      <w:r w:rsidR="009423FE" w:rsidRPr="009423FE">
                        <w:rPr>
                          <w:rFonts w:cs="Arial"/>
                          <w:sz w:val="20"/>
                          <w:szCs w:val="20"/>
                        </w:rPr>
                        <w:t>LULUC</w:t>
                      </w:r>
                      <w:r w:rsidR="00F5677C">
                        <w:rPr>
                          <w:rFonts w:cs="Arial"/>
                          <w:sz w:val="20"/>
                          <w:szCs w:val="20"/>
                        </w:rPr>
                        <w:t>)</w:t>
                      </w:r>
                      <w:r w:rsidR="009423FE" w:rsidRPr="009423FE">
                        <w:rPr>
                          <w:rFonts w:cs="Arial"/>
                          <w:sz w:val="20"/>
                          <w:szCs w:val="20"/>
                        </w:rPr>
                        <w:t xml:space="preserve"> impacts of consumption</w:t>
                      </w:r>
                      <w:r w:rsidR="009423FE">
                        <w:rPr>
                          <w:rFonts w:cs="Arial"/>
                          <w:sz w:val="20"/>
                          <w:szCs w:val="20"/>
                        </w:rPr>
                        <w:t>;</w:t>
                      </w:r>
                      <w:r w:rsidR="00B33B9E">
                        <w:rPr>
                          <w:rFonts w:cs="Arial"/>
                          <w:sz w:val="20"/>
                          <w:szCs w:val="20"/>
                        </w:rPr>
                        <w:t xml:space="preserve"> </w:t>
                      </w:r>
                      <w:r w:rsidR="009423FE">
                        <w:rPr>
                          <w:rFonts w:cs="Arial"/>
                          <w:sz w:val="20"/>
                          <w:szCs w:val="20"/>
                        </w:rPr>
                        <w:t xml:space="preserve">Target 14 through </w:t>
                      </w:r>
                      <w:r w:rsidR="00B33B9E">
                        <w:rPr>
                          <w:rFonts w:cs="Arial"/>
                          <w:sz w:val="20"/>
                          <w:szCs w:val="20"/>
                        </w:rPr>
                        <w:t>the assessment of environmental impacts at all levels of government and across a range of sectors of the economy</w:t>
                      </w:r>
                      <w:r w:rsidR="009423FE">
                        <w:rPr>
                          <w:rFonts w:cs="Arial"/>
                          <w:sz w:val="20"/>
                          <w:szCs w:val="20"/>
                        </w:rPr>
                        <w:t>; Target 15</w:t>
                      </w:r>
                      <w:r w:rsidR="009423FE" w:rsidRPr="009423FE">
                        <w:t xml:space="preserve"> </w:t>
                      </w:r>
                      <w:r w:rsidR="009423FE">
                        <w:rPr>
                          <w:rFonts w:cs="Arial"/>
                          <w:sz w:val="20"/>
                          <w:szCs w:val="20"/>
                        </w:rPr>
                        <w:t xml:space="preserve">through its </w:t>
                      </w:r>
                      <w:r w:rsidR="009423FE" w:rsidRPr="009423FE">
                        <w:rPr>
                          <w:rFonts w:cs="Arial"/>
                          <w:sz w:val="20"/>
                          <w:szCs w:val="20"/>
                        </w:rPr>
                        <w:t>ability to triage/support activities at private sector level</w:t>
                      </w:r>
                      <w:r w:rsidR="00B33B9E">
                        <w:rPr>
                          <w:rFonts w:cs="Arial"/>
                          <w:sz w:val="20"/>
                          <w:szCs w:val="20"/>
                        </w:rPr>
                        <w:t>.</w:t>
                      </w:r>
                    </w:p>
                  </w:txbxContent>
                </v:textbox>
                <w10:anchorlock/>
              </v:shape>
            </w:pict>
          </mc:Fallback>
        </mc:AlternateContent>
      </w:r>
    </w:p>
    <w:p w14:paraId="1F923A4C" w14:textId="77777777" w:rsidR="00D652C7" w:rsidRDefault="00D652C7">
      <w:pPr>
        <w:spacing w:after="200" w:line="276" w:lineRule="auto"/>
        <w:rPr>
          <w:rFonts w:eastAsia="Times New Roman" w:cs="Arial"/>
          <w:b/>
          <w:bCs/>
          <w:szCs w:val="22"/>
          <w:lang w:val="en-CA" w:eastAsia="en-GB"/>
        </w:rPr>
      </w:pPr>
      <w:r>
        <w:rPr>
          <w:rFonts w:eastAsia="Times New Roman" w:cs="Arial"/>
          <w:b/>
          <w:bCs/>
          <w:szCs w:val="22"/>
          <w:lang w:val="en-CA" w:eastAsia="en-GB"/>
        </w:rPr>
        <w:br w:type="page"/>
      </w:r>
    </w:p>
    <w:p w14:paraId="56224442" w14:textId="2853528A" w:rsidR="00DF6833" w:rsidRDefault="00DF6833" w:rsidP="00DF6833">
      <w:pPr>
        <w:numPr>
          <w:ilvl w:val="0"/>
          <w:numId w:val="20"/>
        </w:numPr>
        <w:autoSpaceDE w:val="0"/>
        <w:autoSpaceDN w:val="0"/>
        <w:adjustRightInd w:val="0"/>
        <w:spacing w:after="100"/>
        <w:rPr>
          <w:rFonts w:eastAsia="Times New Roman" w:cs="Arial"/>
          <w:b/>
          <w:bCs/>
          <w:szCs w:val="22"/>
          <w:lang w:val="en-CA" w:eastAsia="en-GB"/>
        </w:rPr>
      </w:pPr>
      <w:r>
        <w:rPr>
          <w:rFonts w:eastAsia="Times New Roman" w:cs="Arial"/>
          <w:b/>
          <w:bCs/>
          <w:szCs w:val="22"/>
          <w:lang w:val="en-CA" w:eastAsia="en-GB"/>
        </w:rPr>
        <w:lastRenderedPageBreak/>
        <w:t>Definitions, concepts and classifications</w:t>
      </w:r>
    </w:p>
    <w:p w14:paraId="7BA16BD1" w14:textId="77777777" w:rsidR="00DF6833" w:rsidRDefault="00DF6833" w:rsidP="00DF6833">
      <w:pPr>
        <w:autoSpaceDE w:val="0"/>
        <w:autoSpaceDN w:val="0"/>
        <w:adjustRightInd w:val="0"/>
        <w:spacing w:after="100"/>
        <w:rPr>
          <w:rFonts w:eastAsia="Times New Roman" w:cs="Arial"/>
          <w:b/>
          <w:bCs/>
          <w:szCs w:val="22"/>
          <w:lang w:val="en-CA" w:eastAsia="en-GB"/>
        </w:rPr>
      </w:pPr>
      <w:r>
        <w:rPr>
          <w:rFonts w:eastAsia="Calibri" w:cs="Arial"/>
          <w:b/>
          <w:bCs/>
          <w:sz w:val="20"/>
          <w:szCs w:val="20"/>
          <w:lang w:val="en-CA" w:eastAsia="en-GB"/>
        </w:rPr>
        <w:t xml:space="preserve">5.a Definition: </w:t>
      </w:r>
    </w:p>
    <w:p w14:paraId="7AB23AF1" w14:textId="7CE399B1"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17EA4A0F" wp14:editId="14647BC6">
                <wp:extent cx="5777865" cy="5494020"/>
                <wp:effectExtent l="0" t="0" r="13335" b="1143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5494020"/>
                        </a:xfrm>
                        <a:prstGeom prst="rect">
                          <a:avLst/>
                        </a:prstGeom>
                        <a:solidFill>
                          <a:srgbClr val="FFFFFF"/>
                        </a:solidFill>
                        <a:ln w="9525">
                          <a:solidFill>
                            <a:srgbClr val="000000"/>
                          </a:solidFill>
                          <a:miter lim="800000"/>
                          <a:headEnd/>
                          <a:tailEnd/>
                        </a:ln>
                      </wps:spPr>
                      <wps:txbx>
                        <w:txbxContent>
                          <w:p w14:paraId="24B34C57" w14:textId="5B72B5E6" w:rsidR="00B33B9E" w:rsidRDefault="00B33B9E" w:rsidP="00DF6833">
                            <w:pPr>
                              <w:spacing w:after="80" w:line="256" w:lineRule="auto"/>
                              <w:rPr>
                                <w:rFonts w:eastAsia="Times New Roman" w:cs="Arial"/>
                                <w:b/>
                                <w:bCs/>
                                <w:sz w:val="20"/>
                                <w:szCs w:val="20"/>
                                <w:lang w:eastAsia="en-GB"/>
                              </w:rPr>
                            </w:pPr>
                            <w:r>
                              <w:rPr>
                                <w:rFonts w:eastAsia="Times New Roman" w:cs="Arial"/>
                                <w:b/>
                                <w:bCs/>
                                <w:sz w:val="20"/>
                                <w:szCs w:val="20"/>
                                <w:lang w:eastAsia="en-GB"/>
                              </w:rPr>
                              <w:t xml:space="preserve">Biodiversity loss: </w:t>
                            </w:r>
                            <w:r>
                              <w:rPr>
                                <w:rFonts w:eastAsia="Times New Roman" w:cs="Arial"/>
                                <w:sz w:val="20"/>
                                <w:szCs w:val="20"/>
                                <w:lang w:eastAsia="en-GB"/>
                              </w:rPr>
                              <w:t>Data are currently available for two separate biodiversity metrics that were published as part of the initial data release (October 2021). Work is ongoing to identify the most appropriate biodiversity metric for use in this context, and future updates may use updated methodolog</w:t>
                            </w:r>
                            <w:r w:rsidR="006A77CF">
                              <w:rPr>
                                <w:rFonts w:eastAsia="Times New Roman" w:cs="Arial"/>
                                <w:sz w:val="20"/>
                                <w:szCs w:val="20"/>
                                <w:lang w:eastAsia="en-GB"/>
                              </w:rPr>
                              <w:t>ies</w:t>
                            </w:r>
                            <w:r>
                              <w:rPr>
                                <w:rFonts w:eastAsia="Times New Roman" w:cs="Arial"/>
                                <w:sz w:val="20"/>
                                <w:szCs w:val="20"/>
                                <w:lang w:eastAsia="en-GB"/>
                              </w:rPr>
                              <w:t xml:space="preserve"> (i.e., </w:t>
                            </w:r>
                            <w:r>
                              <w:rPr>
                                <w:rFonts w:eastAsia="Times New Roman" w:cs="Arial"/>
                                <w:sz w:val="20"/>
                                <w:szCs w:val="20"/>
                                <w:lang w:eastAsia="en-GB"/>
                              </w:rPr>
                              <w:t>a</w:t>
                            </w:r>
                            <w:r w:rsidR="005D21D1">
                              <w:rPr>
                                <w:rFonts w:eastAsia="Times New Roman" w:cs="Arial"/>
                                <w:sz w:val="20"/>
                                <w:szCs w:val="20"/>
                                <w:lang w:eastAsia="en-GB"/>
                              </w:rPr>
                              <w:t>dditional or different</w:t>
                            </w:r>
                            <w:r>
                              <w:rPr>
                                <w:rFonts w:eastAsia="Times New Roman" w:cs="Arial"/>
                                <w:sz w:val="20"/>
                                <w:szCs w:val="20"/>
                                <w:lang w:eastAsia="en-GB"/>
                              </w:rPr>
                              <w:t xml:space="preserve"> metric</w:t>
                            </w:r>
                            <w:r w:rsidR="005D21D1">
                              <w:rPr>
                                <w:rFonts w:eastAsia="Times New Roman" w:cs="Arial"/>
                                <w:sz w:val="20"/>
                                <w:szCs w:val="20"/>
                                <w:lang w:eastAsia="en-GB"/>
                              </w:rPr>
                              <w:t>s</w:t>
                            </w:r>
                            <w:r>
                              <w:rPr>
                                <w:rFonts w:eastAsia="Times New Roman" w:cs="Arial"/>
                                <w:sz w:val="20"/>
                                <w:szCs w:val="20"/>
                                <w:lang w:eastAsia="en-GB"/>
                              </w:rPr>
                              <w:t xml:space="preserve"> to the current two). One of the two metrics for which data are currently available uses crop- and country-specific characterisation factors, provided by Chaudhary and Kastner (2016), which are used to estimate the impact per tonne of production for 152 crops/crop groups in 171 territories.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Number of species per ecoregion committed to extinction.</w:t>
                            </w:r>
                            <w:r>
                              <w:rPr>
                                <w:rFonts w:eastAsia="Times New Roman" w:cs="Arial"/>
                                <w:sz w:val="20"/>
                                <w:szCs w:val="20"/>
                                <w:lang w:eastAsia="en-GB"/>
                              </w:rPr>
                              <w:t xml:space="preserve"> The other method uses MAPSPAM data alongside species richness information from the International Union for the Conservation of Nature (IUCN) and BirdLife International to estimate ‘species richness-weighted extent of crop production’. This represents the hectares of crop production scaled by the number of species present in that hectare, and therefore where there is overlap between production and areas of biodiversity importance.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Species-weighted hectares.</w:t>
                            </w:r>
                            <w:r>
                              <w:rPr>
                                <w:rFonts w:eastAsia="Times New Roman" w:cs="Arial"/>
                                <w:sz w:val="20"/>
                                <w:szCs w:val="20"/>
                                <w:lang w:eastAsia="en-GB"/>
                              </w:rPr>
                              <w:t xml:space="preserve"> </w:t>
                            </w:r>
                          </w:p>
                          <w:p w14:paraId="0D846333" w14:textId="77777777" w:rsidR="00B33B9E" w:rsidRDefault="00B33B9E" w:rsidP="00DF6833">
                            <w:pPr>
                              <w:spacing w:after="80" w:line="256" w:lineRule="auto"/>
                              <w:rPr>
                                <w:rFonts w:eastAsia="Times New Roman" w:cs="Arial"/>
                                <w:i/>
                                <w:iCs/>
                                <w:sz w:val="20"/>
                                <w:szCs w:val="20"/>
                                <w:lang w:eastAsia="en-GB"/>
                              </w:rPr>
                            </w:pPr>
                            <w:r>
                              <w:rPr>
                                <w:rFonts w:eastAsia="Times New Roman" w:cs="Arial"/>
                                <w:b/>
                                <w:bCs/>
                                <w:sz w:val="20"/>
                                <w:szCs w:val="20"/>
                                <w:lang w:eastAsia="en-GB"/>
                              </w:rPr>
                              <w:t xml:space="preserve">Scarcity weighted water use: </w:t>
                            </w:r>
                            <w:r>
                              <w:rPr>
                                <w:rFonts w:eastAsia="Times New Roman" w:cs="Arial"/>
                                <w:sz w:val="20"/>
                                <w:szCs w:val="20"/>
                                <w:lang w:eastAsia="en-GB"/>
                              </w:rPr>
                              <w:t xml:space="preserve">Water footprints were estimated from the Water Footprint Network baseline data, which is annualised to account for changes in crop yields over time. To account for water scarcity in regions of production, blue (irrigated) water consumption was then scaled by water availability in a region after human and aquatic ecosystem demand has been met, using conversion factors sourced from Boulay </w:t>
                            </w:r>
                            <w:r w:rsidRPr="00142E27">
                              <w:rPr>
                                <w:rFonts w:eastAsia="Times New Roman" w:cs="Arial"/>
                                <w:i/>
                                <w:iCs/>
                                <w:sz w:val="20"/>
                                <w:szCs w:val="20"/>
                                <w:lang w:eastAsia="en-GB"/>
                              </w:rPr>
                              <w:t>et al.</w:t>
                            </w:r>
                            <w:r>
                              <w:rPr>
                                <w:rFonts w:eastAsia="Times New Roman" w:cs="Arial"/>
                                <w:sz w:val="20"/>
                                <w:szCs w:val="20"/>
                                <w:lang w:eastAsia="en-GB"/>
                              </w:rPr>
                              <w:t xml:space="preserve"> (2018).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Cubic metres.</w:t>
                            </w:r>
                          </w:p>
                          <w:p w14:paraId="7B87F00C" w14:textId="77777777" w:rsidR="00B75508" w:rsidRDefault="00B75508" w:rsidP="00B75508">
                            <w:pPr>
                              <w:spacing w:after="80" w:line="256" w:lineRule="auto"/>
                              <w:rPr>
                                <w:rFonts w:eastAsia="Times New Roman" w:cs="Arial"/>
                                <w:sz w:val="20"/>
                                <w:szCs w:val="20"/>
                                <w:lang w:eastAsia="en-GB"/>
                              </w:rPr>
                            </w:pPr>
                            <w:r>
                              <w:rPr>
                                <w:rFonts w:eastAsia="Times New Roman" w:cs="Arial"/>
                                <w:b/>
                                <w:bCs/>
                                <w:sz w:val="20"/>
                                <w:szCs w:val="20"/>
                                <w:lang w:eastAsia="en-GB"/>
                              </w:rPr>
                              <w:t xml:space="preserve">Tropical and subtropical deforestation: </w:t>
                            </w:r>
                            <w:r>
                              <w:rPr>
                                <w:rFonts w:eastAsia="Times New Roman" w:cs="Arial"/>
                                <w:sz w:val="20"/>
                                <w:szCs w:val="20"/>
                                <w:lang w:eastAsia="en-GB"/>
                              </w:rPr>
                              <w:t xml:space="preserve">Deforestation data from the Pendrill </w:t>
                            </w:r>
                            <w:r w:rsidRPr="00142E27">
                              <w:rPr>
                                <w:rFonts w:eastAsia="Times New Roman" w:cs="Arial"/>
                                <w:i/>
                                <w:iCs/>
                                <w:sz w:val="20"/>
                                <w:szCs w:val="20"/>
                                <w:lang w:eastAsia="en-GB"/>
                              </w:rPr>
                              <w:t>et al</w:t>
                            </w:r>
                            <w:r>
                              <w:rPr>
                                <w:rFonts w:eastAsia="Times New Roman" w:cs="Arial"/>
                                <w:i/>
                                <w:iCs/>
                                <w:sz w:val="20"/>
                                <w:szCs w:val="20"/>
                                <w:lang w:eastAsia="en-GB"/>
                              </w:rPr>
                              <w:t>.</w:t>
                            </w:r>
                            <w:r>
                              <w:rPr>
                                <w:rFonts w:eastAsia="Times New Roman" w:cs="Arial"/>
                                <w:sz w:val="20"/>
                                <w:szCs w:val="20"/>
                                <w:lang w:eastAsia="en-GB"/>
                              </w:rPr>
                              <w:t xml:space="preserve">, 2020 dataset are used to proportionally attribute a consumption country’s deforestation impacts based on the volumes of each commodity the country consumes from each production country. The Pendrill deforestation definition is based on observed forest loss, from remote sensing data (from GLAD/Hansen - at 30m resolution, with a threshold of 25% canopy cover used to define forest, and complete loss per pixel defined as ‘forest loss’). A land balance model (described in Pendrill </w:t>
                            </w:r>
                            <w:r w:rsidRPr="00142E27">
                              <w:rPr>
                                <w:rFonts w:eastAsia="Times New Roman" w:cs="Arial"/>
                                <w:i/>
                                <w:iCs/>
                                <w:sz w:val="20"/>
                                <w:szCs w:val="20"/>
                                <w:lang w:eastAsia="en-GB"/>
                              </w:rPr>
                              <w:t>et al</w:t>
                            </w:r>
                            <w:r>
                              <w:rPr>
                                <w:rFonts w:eastAsia="Times New Roman" w:cs="Arial"/>
                                <w:i/>
                                <w:iCs/>
                                <w:sz w:val="20"/>
                                <w:szCs w:val="20"/>
                                <w:lang w:eastAsia="en-GB"/>
                              </w:rPr>
                              <w:t>.</w:t>
                            </w:r>
                            <w:r>
                              <w:rPr>
                                <w:rFonts w:eastAsia="Times New Roman" w:cs="Arial"/>
                                <w:sz w:val="20"/>
                                <w:szCs w:val="20"/>
                                <w:lang w:eastAsia="en-GB"/>
                              </w:rPr>
                              <w:t>, 2019, a, b) is used to attribute deforestation to commodity production. Updated versions of the Pendrill dataset will be used in the annual indicator updates. The project team are also scoping out the possibility of combining this with other data sources in future, in order to provide data for deforestation beyond just tropical and subtropical deforestation.</w:t>
                            </w:r>
                            <w:r>
                              <w:rPr>
                                <w:rFonts w:eastAsia="Times New Roman" w:cs="Arial"/>
                                <w:b/>
                                <w:bCs/>
                                <w:sz w:val="20"/>
                                <w:szCs w:val="20"/>
                                <w:lang w:eastAsia="en-GB"/>
                              </w:rPr>
                              <w:t xml:space="preserve"> Unit: </w:t>
                            </w:r>
                            <w:r>
                              <w:rPr>
                                <w:rFonts w:eastAsia="Times New Roman" w:cs="Arial"/>
                                <w:i/>
                                <w:iCs/>
                                <w:sz w:val="20"/>
                                <w:szCs w:val="20"/>
                                <w:lang w:eastAsia="en-GB"/>
                              </w:rPr>
                              <w:t>Hectares.</w:t>
                            </w:r>
                          </w:p>
                          <w:p w14:paraId="2ADE5AD8" w14:textId="401B7A5D" w:rsidR="00B33B9E" w:rsidRDefault="00B33B9E" w:rsidP="00DF6833">
                            <w:pPr>
                              <w:spacing w:after="80" w:line="256" w:lineRule="auto"/>
                              <w:rPr>
                                <w:rFonts w:eastAsia="Times New Roman" w:cs="Arial"/>
                                <w:sz w:val="20"/>
                                <w:szCs w:val="20"/>
                                <w:lang w:eastAsia="en-GB"/>
                              </w:rPr>
                            </w:pPr>
                            <w:r>
                              <w:rPr>
                                <w:rFonts w:eastAsia="Times New Roman" w:cs="Arial"/>
                                <w:b/>
                                <w:bCs/>
                                <w:sz w:val="20"/>
                                <w:szCs w:val="20"/>
                                <w:lang w:eastAsia="en-GB"/>
                              </w:rPr>
                              <w:t>Note:</w:t>
                            </w:r>
                            <w:r>
                              <w:rPr>
                                <w:rFonts w:eastAsia="Times New Roman" w:cs="Arial"/>
                                <w:sz w:val="20"/>
                                <w:szCs w:val="20"/>
                                <w:lang w:eastAsia="en-GB"/>
                              </w:rPr>
                              <w:t xml:space="preserve"> The indicator also presents data on mass</w:t>
                            </w:r>
                            <w:r w:rsidR="00900020">
                              <w:rPr>
                                <w:rFonts w:eastAsia="Times New Roman" w:cs="Arial"/>
                                <w:sz w:val="20"/>
                                <w:szCs w:val="20"/>
                                <w:lang w:eastAsia="en-GB"/>
                              </w:rPr>
                              <w:t xml:space="preserve"> </w:t>
                            </w:r>
                            <w:r w:rsidR="00900020" w:rsidRPr="005D21D1">
                              <w:rPr>
                                <w:rFonts w:eastAsia="Times New Roman" w:cs="Arial"/>
                                <w:sz w:val="20"/>
                                <w:szCs w:val="20"/>
                                <w:lang w:eastAsia="en-GB"/>
                              </w:rPr>
                              <w:t>(tonnes)</w:t>
                            </w:r>
                            <w:r w:rsidRPr="005D21D1">
                              <w:rPr>
                                <w:rFonts w:eastAsia="Times New Roman" w:cs="Arial"/>
                                <w:sz w:val="20"/>
                                <w:szCs w:val="20"/>
                                <w:lang w:eastAsia="en-GB"/>
                              </w:rPr>
                              <w:t>, land use</w:t>
                            </w:r>
                            <w:r w:rsidR="003E0F09" w:rsidRPr="005D21D1">
                              <w:rPr>
                                <w:rFonts w:eastAsia="Times New Roman" w:cs="Arial"/>
                                <w:sz w:val="20"/>
                                <w:szCs w:val="20"/>
                                <w:lang w:eastAsia="en-GB"/>
                              </w:rPr>
                              <w:t xml:space="preserve"> (hectares)</w:t>
                            </w:r>
                            <w:r w:rsidRPr="005D21D1">
                              <w:rPr>
                                <w:rFonts w:eastAsia="Times New Roman" w:cs="Arial"/>
                                <w:sz w:val="20"/>
                                <w:szCs w:val="20"/>
                                <w:lang w:eastAsia="en-GB"/>
                              </w:rPr>
                              <w:t>, water use</w:t>
                            </w:r>
                            <w:r w:rsidR="00900020" w:rsidRPr="005D21D1">
                              <w:rPr>
                                <w:rFonts w:eastAsia="Times New Roman" w:cs="Arial"/>
                                <w:sz w:val="20"/>
                                <w:szCs w:val="20"/>
                                <w:lang w:eastAsia="en-GB"/>
                              </w:rPr>
                              <w:t xml:space="preserve"> (m</w:t>
                            </w:r>
                            <w:r w:rsidR="00900020" w:rsidRPr="005D21D1">
                              <w:rPr>
                                <w:rFonts w:eastAsia="Times New Roman" w:cs="Arial"/>
                                <w:sz w:val="20"/>
                                <w:szCs w:val="20"/>
                                <w:vertAlign w:val="superscript"/>
                                <w:lang w:eastAsia="en-GB"/>
                              </w:rPr>
                              <w:t>3</w:t>
                            </w:r>
                            <w:r w:rsidR="00900020" w:rsidRPr="005D21D1">
                              <w:rPr>
                                <w:rFonts w:eastAsia="Times New Roman" w:cs="Arial"/>
                                <w:sz w:val="20"/>
                                <w:szCs w:val="20"/>
                                <w:lang w:eastAsia="en-GB"/>
                              </w:rPr>
                              <w:t>)</w:t>
                            </w:r>
                            <w:r w:rsidRPr="005D21D1">
                              <w:rPr>
                                <w:rFonts w:eastAsia="Times New Roman" w:cs="Arial"/>
                                <w:sz w:val="20"/>
                                <w:szCs w:val="20"/>
                                <w:lang w:eastAsia="en-GB"/>
                              </w:rPr>
                              <w:t>, GHG emissions associated with tropical deforestation</w:t>
                            </w:r>
                            <w:r w:rsidR="003E0F09" w:rsidRPr="005D21D1">
                              <w:rPr>
                                <w:rFonts w:eastAsia="Times New Roman" w:cs="Arial"/>
                                <w:sz w:val="20"/>
                                <w:szCs w:val="20"/>
                                <w:lang w:eastAsia="en-GB"/>
                              </w:rPr>
                              <w:t xml:space="preserve"> (tCO</w:t>
                            </w:r>
                            <w:r w:rsidR="003E0F09" w:rsidRPr="005D21D1">
                              <w:rPr>
                                <w:rFonts w:eastAsia="Times New Roman" w:cs="Arial"/>
                                <w:sz w:val="20"/>
                                <w:szCs w:val="20"/>
                                <w:vertAlign w:val="subscript"/>
                                <w:lang w:eastAsia="en-GB"/>
                              </w:rPr>
                              <w:t>2</w:t>
                            </w:r>
                            <w:r w:rsidR="003E0F09" w:rsidRPr="005D21D1">
                              <w:rPr>
                                <w:rFonts w:eastAsia="Times New Roman" w:cs="Arial"/>
                                <w:sz w:val="20"/>
                                <w:szCs w:val="20"/>
                                <w:lang w:eastAsia="en-GB"/>
                              </w:rPr>
                              <w:t>)</w:t>
                            </w:r>
                            <w:r w:rsidRPr="005D21D1">
                              <w:rPr>
                                <w:rFonts w:eastAsia="Times New Roman" w:cs="Arial"/>
                                <w:sz w:val="20"/>
                                <w:szCs w:val="20"/>
                                <w:lang w:eastAsia="en-GB"/>
                              </w:rPr>
                              <w:t>, but a</w:t>
                            </w:r>
                            <w:r>
                              <w:rPr>
                                <w:rFonts w:eastAsia="Times New Roman" w:cs="Arial"/>
                                <w:sz w:val="20"/>
                                <w:szCs w:val="20"/>
                                <w:lang w:eastAsia="en-GB"/>
                              </w:rPr>
                              <w:t xml:space="preserve"> shortened, simplified set is presented here for use as a headline indicator for monitoring progress towards the post-2020 global biodiversity framework. Further information on these other impact types is available from the </w:t>
                            </w:r>
                            <w:hyperlink r:id="rId38" w:history="1">
                              <w:r>
                                <w:rPr>
                                  <w:rStyle w:val="Hyperlink"/>
                                  <w:rFonts w:eastAsia="Times New Roman" w:cs="Arial"/>
                                  <w:sz w:val="20"/>
                                  <w:szCs w:val="20"/>
                                  <w:lang w:eastAsia="en-GB"/>
                                </w:rPr>
                                <w:t>dashboard</w:t>
                              </w:r>
                            </w:hyperlink>
                            <w:r>
                              <w:rPr>
                                <w:rFonts w:eastAsia="Times New Roman" w:cs="Arial"/>
                                <w:sz w:val="20"/>
                                <w:szCs w:val="20"/>
                                <w:lang w:eastAsia="en-GB"/>
                              </w:rPr>
                              <w:t xml:space="preserve"> and the </w:t>
                            </w:r>
                            <w:hyperlink r:id="rId39" w:history="1">
                              <w:r>
                                <w:rPr>
                                  <w:rStyle w:val="Hyperlink"/>
                                  <w:rFonts w:eastAsia="Times New Roman" w:cs="Arial"/>
                                  <w:sz w:val="20"/>
                                  <w:szCs w:val="20"/>
                                  <w:lang w:eastAsia="en-GB"/>
                                </w:rPr>
                                <w:t>technical documentation</w:t>
                              </w:r>
                            </w:hyperlink>
                            <w:r>
                              <w:rPr>
                                <w:rFonts w:eastAsia="Times New Roman" w:cs="Arial"/>
                                <w:sz w:val="20"/>
                                <w:szCs w:val="20"/>
                                <w:lang w:eastAsia="en-GB"/>
                              </w:rPr>
                              <w:t>.</w:t>
                            </w:r>
                          </w:p>
                          <w:p w14:paraId="2F4FD69A" w14:textId="77777777" w:rsidR="00B33B9E" w:rsidRDefault="00B33B9E" w:rsidP="00DF6833">
                            <w:pPr>
                              <w:rPr>
                                <w:rFonts w:eastAsia="Times New Roman" w:cs="Arial"/>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17EA4A0F" id="Text Box 58" o:spid="_x0000_s1031" type="#_x0000_t202" style="width:454.95pt;height:4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">
                <v:textbox>
                  <w:txbxContent>
                    <w:p w14:paraId="24B34C57" w14:textId="5B72B5E6" w:rsidR="00B33B9E" w:rsidRDefault="00B33B9E" w:rsidP="00DF6833">
                      <w:pPr>
                        <w:spacing w:after="80" w:line="256" w:lineRule="auto"/>
                        <w:rPr>
                          <w:rFonts w:eastAsia="Times New Roman" w:cs="Arial"/>
                          <w:b/>
                          <w:bCs/>
                          <w:sz w:val="20"/>
                          <w:szCs w:val="20"/>
                          <w:lang w:eastAsia="en-GB"/>
                        </w:rPr>
                      </w:pPr>
                      <w:r>
                        <w:rPr>
                          <w:rFonts w:eastAsia="Times New Roman" w:cs="Arial"/>
                          <w:b/>
                          <w:bCs/>
                          <w:sz w:val="20"/>
                          <w:szCs w:val="20"/>
                          <w:lang w:eastAsia="en-GB"/>
                        </w:rPr>
                        <w:t xml:space="preserve">Biodiversity loss: </w:t>
                      </w:r>
                      <w:r>
                        <w:rPr>
                          <w:rFonts w:eastAsia="Times New Roman" w:cs="Arial"/>
                          <w:sz w:val="20"/>
                          <w:szCs w:val="20"/>
                          <w:lang w:eastAsia="en-GB"/>
                        </w:rPr>
                        <w:t>Data are currently available for two separate biodiversity metrics that were published as part of the initial data release (October 2021). Work is ongoing to identify the most appropriate biodiversity metric for use in this context, and future updates may use updated methodolog</w:t>
                      </w:r>
                      <w:r w:rsidR="006A77CF">
                        <w:rPr>
                          <w:rFonts w:eastAsia="Times New Roman" w:cs="Arial"/>
                          <w:sz w:val="20"/>
                          <w:szCs w:val="20"/>
                          <w:lang w:eastAsia="en-GB"/>
                        </w:rPr>
                        <w:t>ies</w:t>
                      </w:r>
                      <w:r>
                        <w:rPr>
                          <w:rFonts w:eastAsia="Times New Roman" w:cs="Arial"/>
                          <w:sz w:val="20"/>
                          <w:szCs w:val="20"/>
                          <w:lang w:eastAsia="en-GB"/>
                        </w:rPr>
                        <w:t xml:space="preserve"> (i.e., </w:t>
                      </w:r>
                      <w:r>
                        <w:rPr>
                          <w:rFonts w:eastAsia="Times New Roman" w:cs="Arial"/>
                          <w:sz w:val="20"/>
                          <w:szCs w:val="20"/>
                          <w:lang w:eastAsia="en-GB"/>
                        </w:rPr>
                        <w:t>a</w:t>
                      </w:r>
                      <w:r w:rsidR="005D21D1">
                        <w:rPr>
                          <w:rFonts w:eastAsia="Times New Roman" w:cs="Arial"/>
                          <w:sz w:val="20"/>
                          <w:szCs w:val="20"/>
                          <w:lang w:eastAsia="en-GB"/>
                        </w:rPr>
                        <w:t>dditional or different</w:t>
                      </w:r>
                      <w:r>
                        <w:rPr>
                          <w:rFonts w:eastAsia="Times New Roman" w:cs="Arial"/>
                          <w:sz w:val="20"/>
                          <w:szCs w:val="20"/>
                          <w:lang w:eastAsia="en-GB"/>
                        </w:rPr>
                        <w:t xml:space="preserve"> metric</w:t>
                      </w:r>
                      <w:r w:rsidR="005D21D1">
                        <w:rPr>
                          <w:rFonts w:eastAsia="Times New Roman" w:cs="Arial"/>
                          <w:sz w:val="20"/>
                          <w:szCs w:val="20"/>
                          <w:lang w:eastAsia="en-GB"/>
                        </w:rPr>
                        <w:t>s</w:t>
                      </w:r>
                      <w:r>
                        <w:rPr>
                          <w:rFonts w:eastAsia="Times New Roman" w:cs="Arial"/>
                          <w:sz w:val="20"/>
                          <w:szCs w:val="20"/>
                          <w:lang w:eastAsia="en-GB"/>
                        </w:rPr>
                        <w:t xml:space="preserve"> to the current two). One of the two metrics for which data are currently available uses crop- and country-specific characterisation factors, provided by Chaudhary and Kastner (2016), which are used to estimate the impact per tonne of production for 152 crops/crop groups in 171 territories.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Number of species per ecoregion committed to extinction.</w:t>
                      </w:r>
                      <w:r>
                        <w:rPr>
                          <w:rFonts w:eastAsia="Times New Roman" w:cs="Arial"/>
                          <w:sz w:val="20"/>
                          <w:szCs w:val="20"/>
                          <w:lang w:eastAsia="en-GB"/>
                        </w:rPr>
                        <w:t xml:space="preserve"> The other method uses MAPSPAM data alongside species richness information from the International Union for the Conservation of Nature (IUCN) and BirdLife International to estimate ‘species richness-weighted extent of crop production’. This represents the hectares of crop production scaled by the number of species present in that hectare, and therefore where there is overlap between production and areas of biodiversity importance.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Species-weighted hectares.</w:t>
                      </w:r>
                      <w:r>
                        <w:rPr>
                          <w:rFonts w:eastAsia="Times New Roman" w:cs="Arial"/>
                          <w:sz w:val="20"/>
                          <w:szCs w:val="20"/>
                          <w:lang w:eastAsia="en-GB"/>
                        </w:rPr>
                        <w:t xml:space="preserve"> </w:t>
                      </w:r>
                    </w:p>
                    <w:p w14:paraId="0D846333" w14:textId="77777777" w:rsidR="00B33B9E" w:rsidRDefault="00B33B9E" w:rsidP="00DF6833">
                      <w:pPr>
                        <w:spacing w:after="80" w:line="256" w:lineRule="auto"/>
                        <w:rPr>
                          <w:rFonts w:eastAsia="Times New Roman" w:cs="Arial"/>
                          <w:i/>
                          <w:iCs/>
                          <w:sz w:val="20"/>
                          <w:szCs w:val="20"/>
                          <w:lang w:eastAsia="en-GB"/>
                        </w:rPr>
                      </w:pPr>
                      <w:r>
                        <w:rPr>
                          <w:rFonts w:eastAsia="Times New Roman" w:cs="Arial"/>
                          <w:b/>
                          <w:bCs/>
                          <w:sz w:val="20"/>
                          <w:szCs w:val="20"/>
                          <w:lang w:eastAsia="en-GB"/>
                        </w:rPr>
                        <w:t xml:space="preserve">Scarcity weighted water use: </w:t>
                      </w:r>
                      <w:r>
                        <w:rPr>
                          <w:rFonts w:eastAsia="Times New Roman" w:cs="Arial"/>
                          <w:sz w:val="20"/>
                          <w:szCs w:val="20"/>
                          <w:lang w:eastAsia="en-GB"/>
                        </w:rPr>
                        <w:t xml:space="preserve">Water footprints were estimated from the Water Footprint Network baseline data, which is annualised to account for changes in crop yields over time. To account for water scarcity in regions of production, blue (irrigated) water consumption was then scaled by water availability in a region after human and aquatic ecosystem demand has been met, using conversion factors sourced from Boulay </w:t>
                      </w:r>
                      <w:r w:rsidRPr="00142E27">
                        <w:rPr>
                          <w:rFonts w:eastAsia="Times New Roman" w:cs="Arial"/>
                          <w:i/>
                          <w:iCs/>
                          <w:sz w:val="20"/>
                          <w:szCs w:val="20"/>
                          <w:lang w:eastAsia="en-GB"/>
                        </w:rPr>
                        <w:t>et al.</w:t>
                      </w:r>
                      <w:r>
                        <w:rPr>
                          <w:rFonts w:eastAsia="Times New Roman" w:cs="Arial"/>
                          <w:sz w:val="20"/>
                          <w:szCs w:val="20"/>
                          <w:lang w:eastAsia="en-GB"/>
                        </w:rPr>
                        <w:t xml:space="preserve"> (2018). </w:t>
                      </w:r>
                      <w:r>
                        <w:rPr>
                          <w:rFonts w:eastAsia="Times New Roman" w:cs="Arial"/>
                          <w:b/>
                          <w:bCs/>
                          <w:sz w:val="20"/>
                          <w:szCs w:val="20"/>
                          <w:lang w:eastAsia="en-GB"/>
                        </w:rPr>
                        <w:t>Unit:</w:t>
                      </w:r>
                      <w:r>
                        <w:rPr>
                          <w:rFonts w:eastAsia="Times New Roman" w:cs="Arial"/>
                          <w:sz w:val="20"/>
                          <w:szCs w:val="20"/>
                          <w:lang w:eastAsia="en-GB"/>
                        </w:rPr>
                        <w:t xml:space="preserve"> </w:t>
                      </w:r>
                      <w:r>
                        <w:rPr>
                          <w:rFonts w:eastAsia="Times New Roman" w:cs="Arial"/>
                          <w:i/>
                          <w:iCs/>
                          <w:sz w:val="20"/>
                          <w:szCs w:val="20"/>
                          <w:lang w:eastAsia="en-GB"/>
                        </w:rPr>
                        <w:t>Cubic metres.</w:t>
                      </w:r>
                    </w:p>
                    <w:p w14:paraId="7B87F00C" w14:textId="77777777" w:rsidR="00B75508" w:rsidRDefault="00B75508" w:rsidP="00B75508">
                      <w:pPr>
                        <w:spacing w:after="80" w:line="256" w:lineRule="auto"/>
                        <w:rPr>
                          <w:rFonts w:eastAsia="Times New Roman" w:cs="Arial"/>
                          <w:sz w:val="20"/>
                          <w:szCs w:val="20"/>
                          <w:lang w:eastAsia="en-GB"/>
                        </w:rPr>
                      </w:pPr>
                      <w:r>
                        <w:rPr>
                          <w:rFonts w:eastAsia="Times New Roman" w:cs="Arial"/>
                          <w:b/>
                          <w:bCs/>
                          <w:sz w:val="20"/>
                          <w:szCs w:val="20"/>
                          <w:lang w:eastAsia="en-GB"/>
                        </w:rPr>
                        <w:t xml:space="preserve">Tropical and subtropical deforestation: </w:t>
                      </w:r>
                      <w:r>
                        <w:rPr>
                          <w:rFonts w:eastAsia="Times New Roman" w:cs="Arial"/>
                          <w:sz w:val="20"/>
                          <w:szCs w:val="20"/>
                          <w:lang w:eastAsia="en-GB"/>
                        </w:rPr>
                        <w:t xml:space="preserve">Deforestation data from the Pendrill </w:t>
                      </w:r>
                      <w:r w:rsidRPr="00142E27">
                        <w:rPr>
                          <w:rFonts w:eastAsia="Times New Roman" w:cs="Arial"/>
                          <w:i/>
                          <w:iCs/>
                          <w:sz w:val="20"/>
                          <w:szCs w:val="20"/>
                          <w:lang w:eastAsia="en-GB"/>
                        </w:rPr>
                        <w:t>et al</w:t>
                      </w:r>
                      <w:r>
                        <w:rPr>
                          <w:rFonts w:eastAsia="Times New Roman" w:cs="Arial"/>
                          <w:i/>
                          <w:iCs/>
                          <w:sz w:val="20"/>
                          <w:szCs w:val="20"/>
                          <w:lang w:eastAsia="en-GB"/>
                        </w:rPr>
                        <w:t>.</w:t>
                      </w:r>
                      <w:r>
                        <w:rPr>
                          <w:rFonts w:eastAsia="Times New Roman" w:cs="Arial"/>
                          <w:sz w:val="20"/>
                          <w:szCs w:val="20"/>
                          <w:lang w:eastAsia="en-GB"/>
                        </w:rPr>
                        <w:t xml:space="preserve">, 2020 dataset are used to proportionally attribute a consumption country’s deforestation impacts based on the volumes of each commodity the country consumes from each production country. The Pendrill deforestation definition is based on observed forest loss, from remote sensing data (from GLAD/Hansen - at 30m resolution, with a threshold of 25% canopy cover used to define forest, and complete loss per pixel defined as ‘forest loss’). A land balance model (described in Pendrill </w:t>
                      </w:r>
                      <w:r w:rsidRPr="00142E27">
                        <w:rPr>
                          <w:rFonts w:eastAsia="Times New Roman" w:cs="Arial"/>
                          <w:i/>
                          <w:iCs/>
                          <w:sz w:val="20"/>
                          <w:szCs w:val="20"/>
                          <w:lang w:eastAsia="en-GB"/>
                        </w:rPr>
                        <w:t>et al</w:t>
                      </w:r>
                      <w:r>
                        <w:rPr>
                          <w:rFonts w:eastAsia="Times New Roman" w:cs="Arial"/>
                          <w:i/>
                          <w:iCs/>
                          <w:sz w:val="20"/>
                          <w:szCs w:val="20"/>
                          <w:lang w:eastAsia="en-GB"/>
                        </w:rPr>
                        <w:t>.</w:t>
                      </w:r>
                      <w:r>
                        <w:rPr>
                          <w:rFonts w:eastAsia="Times New Roman" w:cs="Arial"/>
                          <w:sz w:val="20"/>
                          <w:szCs w:val="20"/>
                          <w:lang w:eastAsia="en-GB"/>
                        </w:rPr>
                        <w:t>, 2019, a, b) is used to attribute deforestation to commodity production. Updated versions of the Pendrill dataset will be used in the annual indicator updates. The project team are also scoping out the possibility of combining this with other data sources in future, in order to provide data for deforestation beyond just tropical and subtropical deforestation.</w:t>
                      </w:r>
                      <w:r>
                        <w:rPr>
                          <w:rFonts w:eastAsia="Times New Roman" w:cs="Arial"/>
                          <w:b/>
                          <w:bCs/>
                          <w:sz w:val="20"/>
                          <w:szCs w:val="20"/>
                          <w:lang w:eastAsia="en-GB"/>
                        </w:rPr>
                        <w:t xml:space="preserve"> Unit: </w:t>
                      </w:r>
                      <w:r>
                        <w:rPr>
                          <w:rFonts w:eastAsia="Times New Roman" w:cs="Arial"/>
                          <w:i/>
                          <w:iCs/>
                          <w:sz w:val="20"/>
                          <w:szCs w:val="20"/>
                          <w:lang w:eastAsia="en-GB"/>
                        </w:rPr>
                        <w:t>Hectares.</w:t>
                      </w:r>
                    </w:p>
                    <w:p w14:paraId="2ADE5AD8" w14:textId="401B7A5D" w:rsidR="00B33B9E" w:rsidRDefault="00B33B9E" w:rsidP="00DF6833">
                      <w:pPr>
                        <w:spacing w:after="80" w:line="256" w:lineRule="auto"/>
                        <w:rPr>
                          <w:rFonts w:eastAsia="Times New Roman" w:cs="Arial"/>
                          <w:sz w:val="20"/>
                          <w:szCs w:val="20"/>
                          <w:lang w:eastAsia="en-GB"/>
                        </w:rPr>
                      </w:pPr>
                      <w:r>
                        <w:rPr>
                          <w:rFonts w:eastAsia="Times New Roman" w:cs="Arial"/>
                          <w:b/>
                          <w:bCs/>
                          <w:sz w:val="20"/>
                          <w:szCs w:val="20"/>
                          <w:lang w:eastAsia="en-GB"/>
                        </w:rPr>
                        <w:t>Note:</w:t>
                      </w:r>
                      <w:r>
                        <w:rPr>
                          <w:rFonts w:eastAsia="Times New Roman" w:cs="Arial"/>
                          <w:sz w:val="20"/>
                          <w:szCs w:val="20"/>
                          <w:lang w:eastAsia="en-GB"/>
                        </w:rPr>
                        <w:t xml:space="preserve"> The indicator also presents data on mass</w:t>
                      </w:r>
                      <w:r w:rsidR="00900020">
                        <w:rPr>
                          <w:rFonts w:eastAsia="Times New Roman" w:cs="Arial"/>
                          <w:sz w:val="20"/>
                          <w:szCs w:val="20"/>
                          <w:lang w:eastAsia="en-GB"/>
                        </w:rPr>
                        <w:t xml:space="preserve"> </w:t>
                      </w:r>
                      <w:r w:rsidR="00900020" w:rsidRPr="005D21D1">
                        <w:rPr>
                          <w:rFonts w:eastAsia="Times New Roman" w:cs="Arial"/>
                          <w:sz w:val="20"/>
                          <w:szCs w:val="20"/>
                          <w:lang w:eastAsia="en-GB"/>
                        </w:rPr>
                        <w:t>(tonnes)</w:t>
                      </w:r>
                      <w:r w:rsidRPr="005D21D1">
                        <w:rPr>
                          <w:rFonts w:eastAsia="Times New Roman" w:cs="Arial"/>
                          <w:sz w:val="20"/>
                          <w:szCs w:val="20"/>
                          <w:lang w:eastAsia="en-GB"/>
                        </w:rPr>
                        <w:t>, land use</w:t>
                      </w:r>
                      <w:r w:rsidR="003E0F09" w:rsidRPr="005D21D1">
                        <w:rPr>
                          <w:rFonts w:eastAsia="Times New Roman" w:cs="Arial"/>
                          <w:sz w:val="20"/>
                          <w:szCs w:val="20"/>
                          <w:lang w:eastAsia="en-GB"/>
                        </w:rPr>
                        <w:t xml:space="preserve"> (hectares)</w:t>
                      </w:r>
                      <w:r w:rsidRPr="005D21D1">
                        <w:rPr>
                          <w:rFonts w:eastAsia="Times New Roman" w:cs="Arial"/>
                          <w:sz w:val="20"/>
                          <w:szCs w:val="20"/>
                          <w:lang w:eastAsia="en-GB"/>
                        </w:rPr>
                        <w:t>, water use</w:t>
                      </w:r>
                      <w:r w:rsidR="00900020" w:rsidRPr="005D21D1">
                        <w:rPr>
                          <w:rFonts w:eastAsia="Times New Roman" w:cs="Arial"/>
                          <w:sz w:val="20"/>
                          <w:szCs w:val="20"/>
                          <w:lang w:eastAsia="en-GB"/>
                        </w:rPr>
                        <w:t xml:space="preserve"> (m</w:t>
                      </w:r>
                      <w:r w:rsidR="00900020" w:rsidRPr="005D21D1">
                        <w:rPr>
                          <w:rFonts w:eastAsia="Times New Roman" w:cs="Arial"/>
                          <w:sz w:val="20"/>
                          <w:szCs w:val="20"/>
                          <w:vertAlign w:val="superscript"/>
                          <w:lang w:eastAsia="en-GB"/>
                        </w:rPr>
                        <w:t>3</w:t>
                      </w:r>
                      <w:r w:rsidR="00900020" w:rsidRPr="005D21D1">
                        <w:rPr>
                          <w:rFonts w:eastAsia="Times New Roman" w:cs="Arial"/>
                          <w:sz w:val="20"/>
                          <w:szCs w:val="20"/>
                          <w:lang w:eastAsia="en-GB"/>
                        </w:rPr>
                        <w:t>)</w:t>
                      </w:r>
                      <w:r w:rsidRPr="005D21D1">
                        <w:rPr>
                          <w:rFonts w:eastAsia="Times New Roman" w:cs="Arial"/>
                          <w:sz w:val="20"/>
                          <w:szCs w:val="20"/>
                          <w:lang w:eastAsia="en-GB"/>
                        </w:rPr>
                        <w:t>, GHG emissions associated with tropical deforestation</w:t>
                      </w:r>
                      <w:r w:rsidR="003E0F09" w:rsidRPr="005D21D1">
                        <w:rPr>
                          <w:rFonts w:eastAsia="Times New Roman" w:cs="Arial"/>
                          <w:sz w:val="20"/>
                          <w:szCs w:val="20"/>
                          <w:lang w:eastAsia="en-GB"/>
                        </w:rPr>
                        <w:t xml:space="preserve"> (tCO</w:t>
                      </w:r>
                      <w:r w:rsidR="003E0F09" w:rsidRPr="005D21D1">
                        <w:rPr>
                          <w:rFonts w:eastAsia="Times New Roman" w:cs="Arial"/>
                          <w:sz w:val="20"/>
                          <w:szCs w:val="20"/>
                          <w:vertAlign w:val="subscript"/>
                          <w:lang w:eastAsia="en-GB"/>
                        </w:rPr>
                        <w:t>2</w:t>
                      </w:r>
                      <w:r w:rsidR="003E0F09" w:rsidRPr="005D21D1">
                        <w:rPr>
                          <w:rFonts w:eastAsia="Times New Roman" w:cs="Arial"/>
                          <w:sz w:val="20"/>
                          <w:szCs w:val="20"/>
                          <w:lang w:eastAsia="en-GB"/>
                        </w:rPr>
                        <w:t>)</w:t>
                      </w:r>
                      <w:r w:rsidRPr="005D21D1">
                        <w:rPr>
                          <w:rFonts w:eastAsia="Times New Roman" w:cs="Arial"/>
                          <w:sz w:val="20"/>
                          <w:szCs w:val="20"/>
                          <w:lang w:eastAsia="en-GB"/>
                        </w:rPr>
                        <w:t>, but a</w:t>
                      </w:r>
                      <w:r>
                        <w:rPr>
                          <w:rFonts w:eastAsia="Times New Roman" w:cs="Arial"/>
                          <w:sz w:val="20"/>
                          <w:szCs w:val="20"/>
                          <w:lang w:eastAsia="en-GB"/>
                        </w:rPr>
                        <w:t xml:space="preserve"> shortened, simplified set is presented here for use as a headline indicator for monitoring progress towards the post-2020 global biodiversity framework. Further information on these other impact types is available from the </w:t>
                      </w:r>
                      <w:hyperlink r:id="rId40" w:history="1">
                        <w:r>
                          <w:rPr>
                            <w:rStyle w:val="Hyperlink"/>
                            <w:rFonts w:eastAsia="Times New Roman" w:cs="Arial"/>
                            <w:sz w:val="20"/>
                            <w:szCs w:val="20"/>
                            <w:lang w:eastAsia="en-GB"/>
                          </w:rPr>
                          <w:t>dashboard</w:t>
                        </w:r>
                      </w:hyperlink>
                      <w:r>
                        <w:rPr>
                          <w:rFonts w:eastAsia="Times New Roman" w:cs="Arial"/>
                          <w:sz w:val="20"/>
                          <w:szCs w:val="20"/>
                          <w:lang w:eastAsia="en-GB"/>
                        </w:rPr>
                        <w:t xml:space="preserve"> and the </w:t>
                      </w:r>
                      <w:hyperlink r:id="rId41" w:history="1">
                        <w:r>
                          <w:rPr>
                            <w:rStyle w:val="Hyperlink"/>
                            <w:rFonts w:eastAsia="Times New Roman" w:cs="Arial"/>
                            <w:sz w:val="20"/>
                            <w:szCs w:val="20"/>
                            <w:lang w:eastAsia="en-GB"/>
                          </w:rPr>
                          <w:t>technical documentation</w:t>
                        </w:r>
                      </w:hyperlink>
                      <w:r>
                        <w:rPr>
                          <w:rFonts w:eastAsia="Times New Roman" w:cs="Arial"/>
                          <w:sz w:val="20"/>
                          <w:szCs w:val="20"/>
                          <w:lang w:eastAsia="en-GB"/>
                        </w:rPr>
                        <w:t>.</w:t>
                      </w:r>
                    </w:p>
                    <w:p w14:paraId="2F4FD69A" w14:textId="77777777" w:rsidR="00B33B9E" w:rsidRDefault="00B33B9E" w:rsidP="00DF6833">
                      <w:pPr>
                        <w:rPr>
                          <w:rFonts w:eastAsia="Times New Roman" w:cs="Arial"/>
                          <w:sz w:val="20"/>
                          <w:szCs w:val="20"/>
                          <w:lang w:eastAsia="en-GB"/>
                        </w:rPr>
                      </w:pPr>
                    </w:p>
                  </w:txbxContent>
                </v:textbox>
                <w10:anchorlock/>
              </v:shape>
            </w:pict>
          </mc:Fallback>
        </mc:AlternateContent>
      </w:r>
    </w:p>
    <w:p w14:paraId="7A3962ED" w14:textId="77777777" w:rsidR="00B522FC" w:rsidRDefault="00B522FC">
      <w:pPr>
        <w:spacing w:after="200" w:line="276" w:lineRule="auto"/>
        <w:rPr>
          <w:rFonts w:eastAsia="Calibri" w:cs="Arial"/>
          <w:b/>
          <w:bCs/>
          <w:sz w:val="20"/>
          <w:szCs w:val="20"/>
          <w:lang w:val="en-CA" w:eastAsia="en-GB"/>
        </w:rPr>
      </w:pPr>
      <w:r>
        <w:rPr>
          <w:rFonts w:eastAsia="Calibri" w:cs="Arial"/>
          <w:b/>
          <w:bCs/>
          <w:sz w:val="20"/>
          <w:szCs w:val="20"/>
          <w:lang w:val="en-CA" w:eastAsia="en-GB"/>
        </w:rPr>
        <w:br w:type="page"/>
      </w:r>
    </w:p>
    <w:p w14:paraId="228C1FDF" w14:textId="796A3327" w:rsidR="00DF6833" w:rsidRDefault="00DF6833" w:rsidP="00DF6833">
      <w:pPr>
        <w:autoSpaceDE w:val="0"/>
        <w:autoSpaceDN w:val="0"/>
        <w:adjustRightInd w:val="0"/>
        <w:spacing w:after="100"/>
        <w:rPr>
          <w:rFonts w:eastAsia="Times New Roman" w:cs="Arial"/>
          <w:b/>
          <w:bCs/>
          <w:szCs w:val="22"/>
          <w:lang w:val="en-CA" w:eastAsia="en-GB"/>
        </w:rPr>
      </w:pPr>
      <w:r>
        <w:rPr>
          <w:rFonts w:eastAsia="Calibri" w:cs="Arial"/>
          <w:b/>
          <w:bCs/>
          <w:sz w:val="20"/>
          <w:szCs w:val="20"/>
          <w:lang w:val="en-CA" w:eastAsia="en-GB"/>
        </w:rPr>
        <w:lastRenderedPageBreak/>
        <w:t>5.b Method of computation</w:t>
      </w:r>
    </w:p>
    <w:p w14:paraId="74AF6C46" w14:textId="38E8F673"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1227E7CF" wp14:editId="61BCCF49">
                <wp:extent cx="5724525" cy="5135880"/>
                <wp:effectExtent l="0" t="0" r="28575" b="2667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135880"/>
                        </a:xfrm>
                        <a:prstGeom prst="rect">
                          <a:avLst/>
                        </a:prstGeom>
                        <a:solidFill>
                          <a:srgbClr val="FFFFFF"/>
                        </a:solidFill>
                        <a:ln w="9525">
                          <a:solidFill>
                            <a:srgbClr val="000000"/>
                          </a:solidFill>
                          <a:miter lim="800000"/>
                          <a:headEnd/>
                          <a:tailEnd/>
                        </a:ln>
                      </wps:spPr>
                      <wps:txbx>
                        <w:txbxContent>
                          <w:p w14:paraId="24E8AC63" w14:textId="77777777" w:rsidR="00B33B9E" w:rsidRDefault="00B33B9E" w:rsidP="00DF6833">
                            <w:pPr>
                              <w:shd w:val="clear" w:color="auto" w:fill="FFFFFF"/>
                              <w:spacing w:after="100" w:line="256" w:lineRule="auto"/>
                              <w:jc w:val="both"/>
                              <w:rPr>
                                <w:rFonts w:eastAsia="Times New Roman" w:cs="Arial"/>
                                <w:sz w:val="20"/>
                                <w:szCs w:val="20"/>
                                <w:lang w:val="en-US" w:eastAsia="en-GB"/>
                              </w:rPr>
                            </w:pPr>
                            <w:r>
                              <w:rPr>
                                <w:rFonts w:eastAsia="Times New Roman" w:cs="Arial"/>
                                <w:sz w:val="20"/>
                                <w:szCs w:val="20"/>
                                <w:lang w:val="en-US" w:eastAsia="en-GB"/>
                              </w:rPr>
                              <w:t xml:space="preserve">Full technical information providing all relevant details about how the indicator is calculated is available: </w:t>
                            </w:r>
                            <w:hyperlink r:id="rId42" w:history="1">
                              <w:r>
                                <w:rPr>
                                  <w:rStyle w:val="Hyperlink"/>
                                  <w:rFonts w:eastAsia="Times New Roman" w:cs="Arial"/>
                                  <w:sz w:val="20"/>
                                  <w:szCs w:val="20"/>
                                  <w:lang w:val="en-US" w:eastAsia="en-GB"/>
                                </w:rPr>
                                <w:t>https://hub.jncc.gov.uk/assets/91efc19d-f675-426f-9333-ed0195cc729d</w:t>
                              </w:r>
                            </w:hyperlink>
                          </w:p>
                          <w:p w14:paraId="0D2A0EA9" w14:textId="7BD78B59" w:rsidR="00B33B9E" w:rsidRDefault="00D979D2" w:rsidP="00D979D2">
                            <w:pPr>
                              <w:rPr>
                                <w:rFonts w:cs="Arial"/>
                                <w:sz w:val="20"/>
                                <w:szCs w:val="22"/>
                              </w:rPr>
                            </w:pPr>
                            <w:r w:rsidRPr="00D979D2">
                              <w:rPr>
                                <w:rFonts w:cs="Arial"/>
                                <w:sz w:val="20"/>
                                <w:szCs w:val="22"/>
                                <w:lang w:val="en-US"/>
                              </w:rPr>
                              <w:t xml:space="preserve">In brief, the indicator is based on a modified form of MRIO (multi regional input-output) modelling, which is used to model global trade flows representing the monetary inputs and outputs across different countries/territories and their commercial sectors (e.g., oilseeds, cattle farming, paddy rice, etc.). The MRIO data used for this indicator were from </w:t>
                            </w:r>
                            <w:hyperlink r:id="rId43" w:history="1">
                              <w:r w:rsidRPr="00D979D2">
                                <w:rPr>
                                  <w:rStyle w:val="Hyperlink"/>
                                  <w:rFonts w:cs="Arial"/>
                                  <w:sz w:val="20"/>
                                  <w:szCs w:val="22"/>
                                  <w:lang w:val="en-US"/>
                                </w:rPr>
                                <w:t>Exiobase</w:t>
                              </w:r>
                            </w:hyperlink>
                            <w:r w:rsidRPr="00D979D2">
                              <w:rPr>
                                <w:rFonts w:cs="Arial"/>
                                <w:sz w:val="20"/>
                                <w:szCs w:val="22"/>
                                <w:lang w:val="en-US"/>
                              </w:rPr>
                              <w:t xml:space="preserve"> (although the addition of other MRIO datasets is being explored for the work aiming to expand consumption country/territory coverage). The MRIO data are hybridised with </w:t>
                            </w:r>
                            <w:hyperlink r:id="rId44" w:history="1">
                              <w:r w:rsidRPr="00D979D2">
                                <w:rPr>
                                  <w:rStyle w:val="Hyperlink"/>
                                  <w:rFonts w:cs="Arial"/>
                                  <w:sz w:val="20"/>
                                  <w:szCs w:val="22"/>
                                  <w:lang w:val="en-US"/>
                                </w:rPr>
                                <w:t>physical production and trade data</w:t>
                              </w:r>
                            </w:hyperlink>
                            <w:r w:rsidRPr="00D979D2">
                              <w:rPr>
                                <w:rFonts w:cs="Arial"/>
                                <w:sz w:val="20"/>
                                <w:szCs w:val="22"/>
                                <w:lang w:val="en-US"/>
                              </w:rPr>
                              <w:t xml:space="preserve"> (tonnes of each commodity) from the Food and Agricultural Organisation, using the Stockholm Environment Institute’s IOTA (Input Output Trade Analysis) modelling framework (</w:t>
                            </w:r>
                            <w:hyperlink r:id="rId45" w:history="1">
                              <w:r w:rsidRPr="00D979D2">
                                <w:rPr>
                                  <w:rStyle w:val="Hyperlink"/>
                                  <w:rFonts w:cs="Arial"/>
                                  <w:sz w:val="20"/>
                                  <w:szCs w:val="22"/>
                                  <w:lang w:val="en-US"/>
                                </w:rPr>
                                <w:t xml:space="preserve">Croft </w:t>
                              </w:r>
                              <w:r w:rsidRPr="00D979D2">
                                <w:rPr>
                                  <w:rStyle w:val="Hyperlink"/>
                                  <w:rFonts w:cs="Arial"/>
                                  <w:i/>
                                  <w:iCs/>
                                  <w:sz w:val="20"/>
                                  <w:szCs w:val="22"/>
                                  <w:lang w:val="en-US"/>
                                </w:rPr>
                                <w:t>et al</w:t>
                              </w:r>
                              <w:r w:rsidRPr="00D979D2">
                                <w:rPr>
                                  <w:rStyle w:val="Hyperlink"/>
                                  <w:rFonts w:cs="Arial"/>
                                  <w:sz w:val="20"/>
                                  <w:szCs w:val="22"/>
                                  <w:lang w:val="en-US"/>
                                </w:rPr>
                                <w:t>., 2018</w:t>
                              </w:r>
                            </w:hyperlink>
                            <w:r w:rsidRPr="00D979D2">
                              <w:rPr>
                                <w:rFonts w:cs="Arial"/>
                                <w:sz w:val="20"/>
                                <w:szCs w:val="22"/>
                                <w:lang w:val="en-US"/>
                              </w:rPr>
                              <w:t xml:space="preserve">). The modelling framework allows for an estimation of the producer country/territory of a commodity, accounting for cases where commodities are embedded within other products as an ingredient or input, and cases where commodities are re-exported through multiple countries before the point of consumption. The main advantages of the </w:t>
                            </w:r>
                            <w:bookmarkStart w:id="2" w:name="_Hlk111795624"/>
                            <w:r w:rsidRPr="00D979D2">
                              <w:rPr>
                                <w:rFonts w:cs="Arial"/>
                                <w:sz w:val="20"/>
                                <w:szCs w:val="22"/>
                                <w:lang w:val="en-US"/>
                              </w:rPr>
                              <w:t>hybridisation process are that it provides greater regional and commodity specificity and resolution to the modelling framework than standard MRIO approaches</w:t>
                            </w:r>
                            <w:bookmarkEnd w:id="2"/>
                            <w:r w:rsidRPr="00D979D2">
                              <w:rPr>
                                <w:rFonts w:cs="Arial"/>
                                <w:sz w:val="20"/>
                                <w:szCs w:val="22"/>
                                <w:lang w:val="en-US"/>
                              </w:rPr>
                              <w:t>, and full supply chain coverage compared to typical bilateral trade data allow, which are critical for understanding consumption-driven environmental impacts that are highly product and place specific.</w:t>
                            </w:r>
                          </w:p>
                          <w:p w14:paraId="1709E07A" w14:textId="77777777" w:rsidR="00D979D2" w:rsidRPr="00D979D2" w:rsidRDefault="00D979D2" w:rsidP="00D979D2">
                            <w:pPr>
                              <w:rPr>
                                <w:rFonts w:cs="Arial"/>
                                <w:sz w:val="20"/>
                                <w:szCs w:val="22"/>
                              </w:rPr>
                            </w:pPr>
                          </w:p>
                          <w:p w14:paraId="218121D1" w14:textId="79D97591" w:rsidR="00B33B9E" w:rsidRDefault="007D5AF7" w:rsidP="00DF6833">
                            <w:pPr>
                              <w:shd w:val="clear" w:color="auto" w:fill="FFFFFF"/>
                              <w:spacing w:after="100" w:line="256" w:lineRule="auto"/>
                              <w:jc w:val="both"/>
                              <w:rPr>
                                <w:rFonts w:eastAsia="Times New Roman" w:cs="Arial"/>
                                <w:sz w:val="20"/>
                                <w:szCs w:val="20"/>
                                <w:lang w:val="en-US" w:eastAsia="en-GB"/>
                              </w:rPr>
                            </w:pPr>
                            <w:r>
                              <w:rPr>
                                <w:rFonts w:eastAsia="Times New Roman" w:cs="Arial"/>
                                <w:sz w:val="20"/>
                                <w:szCs w:val="20"/>
                                <w:lang w:val="en-US" w:eastAsia="en-GB"/>
                              </w:rPr>
                              <w:t>These data are</w:t>
                            </w:r>
                            <w:r w:rsidR="00B33B9E">
                              <w:rPr>
                                <w:rFonts w:eastAsia="Times New Roman" w:cs="Arial"/>
                                <w:sz w:val="20"/>
                                <w:szCs w:val="20"/>
                                <w:lang w:val="en-US" w:eastAsia="en-GB"/>
                              </w:rPr>
                              <w:t xml:space="preserve"> then combined with datasets linking commodity production to environmental impacts within relevant production countries. For biodiversity loss, </w:t>
                            </w:r>
                            <w:r w:rsidR="00AE3632">
                              <w:rPr>
                                <w:rFonts w:eastAsia="Times New Roman" w:cs="Arial"/>
                                <w:sz w:val="20"/>
                                <w:szCs w:val="20"/>
                                <w:lang w:val="en-US" w:eastAsia="en-GB"/>
                              </w:rPr>
                              <w:t>these are</w:t>
                            </w:r>
                            <w:r w:rsidR="00B33B9E">
                              <w:rPr>
                                <w:rFonts w:eastAsia="Times New Roman" w:cs="Arial"/>
                                <w:sz w:val="20"/>
                                <w:szCs w:val="20"/>
                                <w:lang w:val="en-US" w:eastAsia="en-GB"/>
                              </w:rPr>
                              <w:t xml:space="preserve"> currently data from Chaudhary and Kastner (2016) for the species loss metric, and data from </w:t>
                            </w:r>
                            <w:hyperlink r:id="rId46" w:history="1">
                              <w:r w:rsidR="00B33B9E">
                                <w:rPr>
                                  <w:rStyle w:val="Hyperlink"/>
                                  <w:rFonts w:eastAsia="Times New Roman" w:cs="Arial"/>
                                  <w:sz w:val="20"/>
                                  <w:szCs w:val="20"/>
                                  <w:lang w:val="en-US" w:eastAsia="en-GB"/>
                                </w:rPr>
                                <w:t>MAPSPAM</w:t>
                              </w:r>
                            </w:hyperlink>
                            <w:r w:rsidR="00B33B9E">
                              <w:rPr>
                                <w:rFonts w:eastAsia="Times New Roman" w:cs="Arial"/>
                                <w:sz w:val="20"/>
                                <w:szCs w:val="20"/>
                                <w:lang w:val="en-US" w:eastAsia="en-GB"/>
                              </w:rPr>
                              <w:t xml:space="preserve">, </w:t>
                            </w:r>
                            <w:hyperlink r:id="rId47" w:history="1">
                              <w:r w:rsidR="00B33B9E">
                                <w:rPr>
                                  <w:rStyle w:val="Hyperlink"/>
                                  <w:rFonts w:eastAsia="Times New Roman" w:cs="Arial"/>
                                  <w:sz w:val="20"/>
                                  <w:szCs w:val="20"/>
                                  <w:lang w:val="en-US" w:eastAsia="en-GB"/>
                                </w:rPr>
                                <w:t>Birdlife International</w:t>
                              </w:r>
                            </w:hyperlink>
                            <w:r w:rsidR="00B33B9E">
                              <w:rPr>
                                <w:rFonts w:eastAsia="Times New Roman" w:cs="Arial"/>
                                <w:sz w:val="20"/>
                                <w:szCs w:val="20"/>
                                <w:lang w:val="en-US" w:eastAsia="en-GB"/>
                              </w:rPr>
                              <w:t xml:space="preserve">, and the </w:t>
                            </w:r>
                            <w:hyperlink r:id="rId48" w:history="1">
                              <w:r w:rsidR="00B33B9E">
                                <w:rPr>
                                  <w:rStyle w:val="Hyperlink"/>
                                  <w:rFonts w:eastAsia="Times New Roman" w:cs="Arial"/>
                                  <w:sz w:val="20"/>
                                  <w:szCs w:val="20"/>
                                  <w:lang w:val="en-US" w:eastAsia="en-GB"/>
                                </w:rPr>
                                <w:t>International Union for the Conservation of Nature</w:t>
                              </w:r>
                            </w:hyperlink>
                            <w:r w:rsidR="00B33B9E">
                              <w:rPr>
                                <w:rFonts w:eastAsia="Times New Roman" w:cs="Arial"/>
                                <w:sz w:val="20"/>
                                <w:szCs w:val="20"/>
                                <w:lang w:val="en-US" w:eastAsia="en-GB"/>
                              </w:rPr>
                              <w:t xml:space="preserve"> for the species weighted hectares metric. For scarcity weighted water use, this is based on data from the </w:t>
                            </w:r>
                            <w:hyperlink r:id="rId49" w:history="1">
                              <w:r w:rsidR="00B33B9E">
                                <w:rPr>
                                  <w:rStyle w:val="Hyperlink"/>
                                  <w:rFonts w:eastAsia="Times New Roman" w:cs="Arial"/>
                                  <w:sz w:val="20"/>
                                  <w:szCs w:val="20"/>
                                  <w:lang w:val="en-US" w:eastAsia="en-GB"/>
                                </w:rPr>
                                <w:t>Water Footprint Network</w:t>
                              </w:r>
                            </w:hyperlink>
                            <w:r w:rsidR="00B33B9E">
                              <w:rPr>
                                <w:rFonts w:eastAsia="Times New Roman" w:cs="Arial"/>
                                <w:sz w:val="20"/>
                                <w:szCs w:val="20"/>
                                <w:lang w:val="en-US" w:eastAsia="en-GB"/>
                              </w:rPr>
                              <w:t xml:space="preserve"> and Boulay </w:t>
                            </w:r>
                            <w:r w:rsidR="00B33B9E" w:rsidRPr="00142E27">
                              <w:rPr>
                                <w:rFonts w:eastAsia="Times New Roman" w:cs="Arial"/>
                                <w:i/>
                                <w:iCs/>
                                <w:sz w:val="20"/>
                                <w:szCs w:val="20"/>
                                <w:lang w:val="en-US" w:eastAsia="en-GB"/>
                              </w:rPr>
                              <w:t>et al.</w:t>
                            </w:r>
                            <w:r w:rsidR="00B33B9E">
                              <w:rPr>
                                <w:rFonts w:eastAsia="Times New Roman" w:cs="Arial"/>
                                <w:sz w:val="20"/>
                                <w:szCs w:val="20"/>
                                <w:lang w:val="en-US" w:eastAsia="en-GB"/>
                              </w:rPr>
                              <w:t xml:space="preserve"> (2018).</w:t>
                            </w:r>
                            <w:r w:rsidR="00B75508" w:rsidRPr="00B75508">
                              <w:rPr>
                                <w:rFonts w:eastAsia="Times New Roman" w:cs="Arial"/>
                                <w:sz w:val="20"/>
                                <w:szCs w:val="20"/>
                                <w:lang w:val="en-US" w:eastAsia="en-GB"/>
                              </w:rPr>
                              <w:t xml:space="preserve"> </w:t>
                            </w:r>
                            <w:r w:rsidR="00B75508">
                              <w:rPr>
                                <w:rFonts w:eastAsia="Times New Roman" w:cs="Arial"/>
                                <w:sz w:val="20"/>
                                <w:szCs w:val="20"/>
                                <w:lang w:val="en-US" w:eastAsia="en-GB"/>
                              </w:rPr>
                              <w:t xml:space="preserve">For tropical deforestation, this is currently the Pendrill </w:t>
                            </w:r>
                            <w:r w:rsidR="00B75508" w:rsidRPr="00142E27">
                              <w:rPr>
                                <w:rFonts w:eastAsia="Times New Roman" w:cs="Arial"/>
                                <w:i/>
                                <w:iCs/>
                                <w:sz w:val="20"/>
                                <w:szCs w:val="20"/>
                                <w:lang w:val="en-US" w:eastAsia="en-GB"/>
                              </w:rPr>
                              <w:t>et al</w:t>
                            </w:r>
                            <w:r w:rsidR="00B75508">
                              <w:rPr>
                                <w:rFonts w:eastAsia="Times New Roman" w:cs="Arial"/>
                                <w:sz w:val="20"/>
                                <w:szCs w:val="20"/>
                                <w:lang w:val="en-US" w:eastAsia="en-GB"/>
                              </w:rPr>
                              <w:t xml:space="preserve">., 2020 dataset (due to be Pendrill </w:t>
                            </w:r>
                            <w:r w:rsidR="00B75508" w:rsidRPr="00142E27">
                              <w:rPr>
                                <w:rFonts w:eastAsia="Times New Roman" w:cs="Arial"/>
                                <w:i/>
                                <w:iCs/>
                                <w:sz w:val="20"/>
                                <w:szCs w:val="20"/>
                                <w:lang w:val="en-US" w:eastAsia="en-GB"/>
                              </w:rPr>
                              <w:t>et al</w:t>
                            </w:r>
                            <w:r w:rsidR="00B75508">
                              <w:rPr>
                                <w:rFonts w:eastAsia="Times New Roman" w:cs="Arial"/>
                                <w:sz w:val="20"/>
                                <w:szCs w:val="20"/>
                                <w:lang w:val="en-US" w:eastAsia="en-GB"/>
                              </w:rPr>
                              <w:t xml:space="preserve">. 2022 for the 2022 </w:t>
                            </w:r>
                            <w:r w:rsidR="00B75508">
                              <w:rPr>
                                <w:rFonts w:eastAsia="Times New Roman" w:cs="Arial"/>
                                <w:sz w:val="20"/>
                                <w:szCs w:val="20"/>
                                <w:lang w:val="en-US" w:eastAsia="en-GB"/>
                              </w:rPr>
                              <w:t>update, and may be combined with other datasets after this point to enable reporting on all forest types, not just tropical deforestation).</w:t>
                            </w:r>
                          </w:p>
                          <w:p w14:paraId="71FB2025" w14:textId="7F55E0A5" w:rsidR="00B33B9E" w:rsidRDefault="00B33B9E" w:rsidP="00DF6833">
                            <w:pPr>
                              <w:shd w:val="clear" w:color="auto" w:fill="FFFFFF"/>
                              <w:spacing w:after="100" w:line="256" w:lineRule="auto"/>
                              <w:jc w:val="both"/>
                              <w:rPr>
                                <w:rFonts w:cs="Arial"/>
                                <w:iCs/>
                                <w:sz w:val="20"/>
                                <w:szCs w:val="20"/>
                              </w:rPr>
                            </w:pPr>
                            <w:r>
                              <w:rPr>
                                <w:rFonts w:cs="Arial"/>
                                <w:iCs/>
                                <w:sz w:val="20"/>
                                <w:szCs w:val="20"/>
                              </w:rPr>
                              <w:t>The IOTA framework is designed to be ‘modular’ so that alternative datasets (e.g. alternative MRIO models, alternative environmental indicators) can be utilised to extend analysis and allow intercomparison across datasets.</w:t>
                            </w:r>
                            <w:r w:rsidR="006A77CF">
                              <w:rPr>
                                <w:rFonts w:cs="Arial"/>
                                <w:iCs/>
                                <w:sz w:val="20"/>
                                <w:szCs w:val="20"/>
                              </w:rPr>
                              <w:t xml:space="preserve"> Importantly, subsets of the data framework can also be interrogated to allow commodity and/or trade-pathway specific analysis of connections between production and consumption. </w:t>
                            </w:r>
                          </w:p>
                          <w:p w14:paraId="4A0D27BF" w14:textId="77777777" w:rsidR="00B33B9E" w:rsidRDefault="00B33B9E" w:rsidP="00DF6833">
                            <w:pPr>
                              <w:rPr>
                                <w:rFonts w:cs="Arial"/>
                                <w:iCs/>
                                <w:sz w:val="20"/>
                                <w:szCs w:val="20"/>
                              </w:rPr>
                            </w:pPr>
                          </w:p>
                        </w:txbxContent>
                      </wps:txbx>
                      <wps:bodyPr rot="0" vert="horz" wrap="square" lIns="91440" tIns="45720" rIns="91440" bIns="45720" anchor="t" anchorCtr="0" upright="1">
                        <a:noAutofit/>
                      </wps:bodyPr>
                    </wps:wsp>
                  </a:graphicData>
                </a:graphic>
              </wp:inline>
            </w:drawing>
          </mc:Choice>
          <mc:Fallback>
            <w:pict>
              <v:shape w14:anchorId="1227E7CF" id="Text Box 57" o:spid="_x0000_s1032" type="#_x0000_t202" style="width:450.75pt;height:4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">
                <v:textbox>
                  <w:txbxContent>
                    <w:p w14:paraId="24E8AC63" w14:textId="77777777" w:rsidR="00B33B9E" w:rsidRDefault="00B33B9E" w:rsidP="00DF6833">
                      <w:pPr>
                        <w:shd w:val="clear" w:color="auto" w:fill="FFFFFF"/>
                        <w:spacing w:after="100" w:line="256" w:lineRule="auto"/>
                        <w:jc w:val="both"/>
                        <w:rPr>
                          <w:rFonts w:eastAsia="Times New Roman" w:cs="Arial"/>
                          <w:sz w:val="20"/>
                          <w:szCs w:val="20"/>
                          <w:lang w:val="en-US" w:eastAsia="en-GB"/>
                        </w:rPr>
                      </w:pPr>
                      <w:r>
                        <w:rPr>
                          <w:rFonts w:eastAsia="Times New Roman" w:cs="Arial"/>
                          <w:sz w:val="20"/>
                          <w:szCs w:val="20"/>
                          <w:lang w:val="en-US" w:eastAsia="en-GB"/>
                        </w:rPr>
                        <w:t xml:space="preserve">Full technical information providing all relevant details about how the indicator is calculated is available: </w:t>
                      </w:r>
                      <w:hyperlink r:id="rId50" w:history="1">
                        <w:r>
                          <w:rPr>
                            <w:rStyle w:val="Hyperlink"/>
                            <w:rFonts w:eastAsia="Times New Roman" w:cs="Arial"/>
                            <w:sz w:val="20"/>
                            <w:szCs w:val="20"/>
                            <w:lang w:val="en-US" w:eastAsia="en-GB"/>
                          </w:rPr>
                          <w:t>https://hub.jncc.gov.uk/assets/91efc19d-f675-426f-9333-ed0195cc729d</w:t>
                        </w:r>
                      </w:hyperlink>
                    </w:p>
                    <w:p w14:paraId="0D2A0EA9" w14:textId="7BD78B59" w:rsidR="00B33B9E" w:rsidRDefault="00D979D2" w:rsidP="00D979D2">
                      <w:pPr>
                        <w:rPr>
                          <w:rFonts w:cs="Arial"/>
                          <w:sz w:val="20"/>
                          <w:szCs w:val="22"/>
                        </w:rPr>
                      </w:pPr>
                      <w:r w:rsidRPr="00D979D2">
                        <w:rPr>
                          <w:rFonts w:cs="Arial"/>
                          <w:sz w:val="20"/>
                          <w:szCs w:val="22"/>
                          <w:lang w:val="en-US"/>
                        </w:rPr>
                        <w:t xml:space="preserve">In brief, the indicator is based on a modified form of MRIO (multi regional input-output) modelling, which is used to model global trade flows representing the monetary inputs and outputs across different countries/territories and their commercial sectors (e.g., oilseeds, cattle farming, paddy rice, etc.). The MRIO data used for this indicator were from </w:t>
                      </w:r>
                      <w:hyperlink r:id="rId51" w:history="1">
                        <w:r w:rsidRPr="00D979D2">
                          <w:rPr>
                            <w:rStyle w:val="Hyperlink"/>
                            <w:rFonts w:cs="Arial"/>
                            <w:sz w:val="20"/>
                            <w:szCs w:val="22"/>
                            <w:lang w:val="en-US"/>
                          </w:rPr>
                          <w:t>Exiobase</w:t>
                        </w:r>
                      </w:hyperlink>
                      <w:r w:rsidRPr="00D979D2">
                        <w:rPr>
                          <w:rFonts w:cs="Arial"/>
                          <w:sz w:val="20"/>
                          <w:szCs w:val="22"/>
                          <w:lang w:val="en-US"/>
                        </w:rPr>
                        <w:t xml:space="preserve"> (although the addition of other MRIO datasets is being explored for the work aiming to expand consumption country/territory coverage). The MRIO data are hybridised with </w:t>
                      </w:r>
                      <w:hyperlink r:id="rId52" w:history="1">
                        <w:r w:rsidRPr="00D979D2">
                          <w:rPr>
                            <w:rStyle w:val="Hyperlink"/>
                            <w:rFonts w:cs="Arial"/>
                            <w:sz w:val="20"/>
                            <w:szCs w:val="22"/>
                            <w:lang w:val="en-US"/>
                          </w:rPr>
                          <w:t>physical production and trade data</w:t>
                        </w:r>
                      </w:hyperlink>
                      <w:r w:rsidRPr="00D979D2">
                        <w:rPr>
                          <w:rFonts w:cs="Arial"/>
                          <w:sz w:val="20"/>
                          <w:szCs w:val="22"/>
                          <w:lang w:val="en-US"/>
                        </w:rPr>
                        <w:t xml:space="preserve"> (tonnes of each commodity) from the Food and Agricultural Organisation, using the Stockholm Environment Institute’s IOTA (Input Output Trade Analysis) modelling framework (</w:t>
                      </w:r>
                      <w:hyperlink r:id="rId53" w:history="1">
                        <w:r w:rsidRPr="00D979D2">
                          <w:rPr>
                            <w:rStyle w:val="Hyperlink"/>
                            <w:rFonts w:cs="Arial"/>
                            <w:sz w:val="20"/>
                            <w:szCs w:val="22"/>
                            <w:lang w:val="en-US"/>
                          </w:rPr>
                          <w:t xml:space="preserve">Croft </w:t>
                        </w:r>
                        <w:r w:rsidRPr="00D979D2">
                          <w:rPr>
                            <w:rStyle w:val="Hyperlink"/>
                            <w:rFonts w:cs="Arial"/>
                            <w:i/>
                            <w:iCs/>
                            <w:sz w:val="20"/>
                            <w:szCs w:val="22"/>
                            <w:lang w:val="en-US"/>
                          </w:rPr>
                          <w:t>et al</w:t>
                        </w:r>
                        <w:r w:rsidRPr="00D979D2">
                          <w:rPr>
                            <w:rStyle w:val="Hyperlink"/>
                            <w:rFonts w:cs="Arial"/>
                            <w:sz w:val="20"/>
                            <w:szCs w:val="22"/>
                            <w:lang w:val="en-US"/>
                          </w:rPr>
                          <w:t>., 2018</w:t>
                        </w:r>
                      </w:hyperlink>
                      <w:r w:rsidRPr="00D979D2">
                        <w:rPr>
                          <w:rFonts w:cs="Arial"/>
                          <w:sz w:val="20"/>
                          <w:szCs w:val="22"/>
                          <w:lang w:val="en-US"/>
                        </w:rPr>
                        <w:t xml:space="preserve">). The modelling framework allows for an estimation of the producer country/territory of a commodity, accounting for cases where commodities are embedded within other products as an ingredient or input, and cases where commodities are re-exported through multiple countries before the point of consumption. The main advantages of the </w:t>
                      </w:r>
                      <w:bookmarkStart w:id="3" w:name="_Hlk111795624"/>
                      <w:r w:rsidRPr="00D979D2">
                        <w:rPr>
                          <w:rFonts w:cs="Arial"/>
                          <w:sz w:val="20"/>
                          <w:szCs w:val="22"/>
                          <w:lang w:val="en-US"/>
                        </w:rPr>
                        <w:t>hybridisation process are that it provides greater regional and commodity specificity and resolution to the modelling framework than standard MRIO approaches</w:t>
                      </w:r>
                      <w:bookmarkEnd w:id="3"/>
                      <w:r w:rsidRPr="00D979D2">
                        <w:rPr>
                          <w:rFonts w:cs="Arial"/>
                          <w:sz w:val="20"/>
                          <w:szCs w:val="22"/>
                          <w:lang w:val="en-US"/>
                        </w:rPr>
                        <w:t>, and full supply chain coverage compared to typical bilateral trade data allow, which are critical for understanding consumption-driven environmental impacts that are highly product and place specific.</w:t>
                      </w:r>
                    </w:p>
                    <w:p w14:paraId="1709E07A" w14:textId="77777777" w:rsidR="00D979D2" w:rsidRPr="00D979D2" w:rsidRDefault="00D979D2" w:rsidP="00D979D2">
                      <w:pPr>
                        <w:rPr>
                          <w:rFonts w:cs="Arial"/>
                          <w:sz w:val="20"/>
                          <w:szCs w:val="22"/>
                        </w:rPr>
                      </w:pPr>
                    </w:p>
                    <w:p w14:paraId="218121D1" w14:textId="79D97591" w:rsidR="00B33B9E" w:rsidRDefault="007D5AF7" w:rsidP="00DF6833">
                      <w:pPr>
                        <w:shd w:val="clear" w:color="auto" w:fill="FFFFFF"/>
                        <w:spacing w:after="100" w:line="256" w:lineRule="auto"/>
                        <w:jc w:val="both"/>
                        <w:rPr>
                          <w:rFonts w:eastAsia="Times New Roman" w:cs="Arial"/>
                          <w:sz w:val="20"/>
                          <w:szCs w:val="20"/>
                          <w:lang w:val="en-US" w:eastAsia="en-GB"/>
                        </w:rPr>
                      </w:pPr>
                      <w:r>
                        <w:rPr>
                          <w:rFonts w:eastAsia="Times New Roman" w:cs="Arial"/>
                          <w:sz w:val="20"/>
                          <w:szCs w:val="20"/>
                          <w:lang w:val="en-US" w:eastAsia="en-GB"/>
                        </w:rPr>
                        <w:t>These data are</w:t>
                      </w:r>
                      <w:r w:rsidR="00B33B9E">
                        <w:rPr>
                          <w:rFonts w:eastAsia="Times New Roman" w:cs="Arial"/>
                          <w:sz w:val="20"/>
                          <w:szCs w:val="20"/>
                          <w:lang w:val="en-US" w:eastAsia="en-GB"/>
                        </w:rPr>
                        <w:t xml:space="preserve"> then combined with datasets linking commodity production to environmental impacts within relevant production countries. For biodiversity loss, </w:t>
                      </w:r>
                      <w:r w:rsidR="00AE3632">
                        <w:rPr>
                          <w:rFonts w:eastAsia="Times New Roman" w:cs="Arial"/>
                          <w:sz w:val="20"/>
                          <w:szCs w:val="20"/>
                          <w:lang w:val="en-US" w:eastAsia="en-GB"/>
                        </w:rPr>
                        <w:t>these are</w:t>
                      </w:r>
                      <w:r w:rsidR="00B33B9E">
                        <w:rPr>
                          <w:rFonts w:eastAsia="Times New Roman" w:cs="Arial"/>
                          <w:sz w:val="20"/>
                          <w:szCs w:val="20"/>
                          <w:lang w:val="en-US" w:eastAsia="en-GB"/>
                        </w:rPr>
                        <w:t xml:space="preserve"> currently data from Chaudhary and Kastner (2016) for the species loss metric, and data from </w:t>
                      </w:r>
                      <w:hyperlink r:id="rId54" w:history="1">
                        <w:r w:rsidR="00B33B9E">
                          <w:rPr>
                            <w:rStyle w:val="Hyperlink"/>
                            <w:rFonts w:eastAsia="Times New Roman" w:cs="Arial"/>
                            <w:sz w:val="20"/>
                            <w:szCs w:val="20"/>
                            <w:lang w:val="en-US" w:eastAsia="en-GB"/>
                          </w:rPr>
                          <w:t>MAPSPAM</w:t>
                        </w:r>
                      </w:hyperlink>
                      <w:r w:rsidR="00B33B9E">
                        <w:rPr>
                          <w:rFonts w:eastAsia="Times New Roman" w:cs="Arial"/>
                          <w:sz w:val="20"/>
                          <w:szCs w:val="20"/>
                          <w:lang w:val="en-US" w:eastAsia="en-GB"/>
                        </w:rPr>
                        <w:t xml:space="preserve">, </w:t>
                      </w:r>
                      <w:hyperlink r:id="rId55" w:history="1">
                        <w:r w:rsidR="00B33B9E">
                          <w:rPr>
                            <w:rStyle w:val="Hyperlink"/>
                            <w:rFonts w:eastAsia="Times New Roman" w:cs="Arial"/>
                            <w:sz w:val="20"/>
                            <w:szCs w:val="20"/>
                            <w:lang w:val="en-US" w:eastAsia="en-GB"/>
                          </w:rPr>
                          <w:t>Birdlife International</w:t>
                        </w:r>
                      </w:hyperlink>
                      <w:r w:rsidR="00B33B9E">
                        <w:rPr>
                          <w:rFonts w:eastAsia="Times New Roman" w:cs="Arial"/>
                          <w:sz w:val="20"/>
                          <w:szCs w:val="20"/>
                          <w:lang w:val="en-US" w:eastAsia="en-GB"/>
                        </w:rPr>
                        <w:t xml:space="preserve">, and the </w:t>
                      </w:r>
                      <w:hyperlink r:id="rId56" w:history="1">
                        <w:r w:rsidR="00B33B9E">
                          <w:rPr>
                            <w:rStyle w:val="Hyperlink"/>
                            <w:rFonts w:eastAsia="Times New Roman" w:cs="Arial"/>
                            <w:sz w:val="20"/>
                            <w:szCs w:val="20"/>
                            <w:lang w:val="en-US" w:eastAsia="en-GB"/>
                          </w:rPr>
                          <w:t>International Union for the Conservation of Nature</w:t>
                        </w:r>
                      </w:hyperlink>
                      <w:r w:rsidR="00B33B9E">
                        <w:rPr>
                          <w:rFonts w:eastAsia="Times New Roman" w:cs="Arial"/>
                          <w:sz w:val="20"/>
                          <w:szCs w:val="20"/>
                          <w:lang w:val="en-US" w:eastAsia="en-GB"/>
                        </w:rPr>
                        <w:t xml:space="preserve"> for the species weighted hectares metric. For scarcity weighted water use, this is based on data from the </w:t>
                      </w:r>
                      <w:hyperlink r:id="rId57" w:history="1">
                        <w:r w:rsidR="00B33B9E">
                          <w:rPr>
                            <w:rStyle w:val="Hyperlink"/>
                            <w:rFonts w:eastAsia="Times New Roman" w:cs="Arial"/>
                            <w:sz w:val="20"/>
                            <w:szCs w:val="20"/>
                            <w:lang w:val="en-US" w:eastAsia="en-GB"/>
                          </w:rPr>
                          <w:t>Water Footprint Network</w:t>
                        </w:r>
                      </w:hyperlink>
                      <w:r w:rsidR="00B33B9E">
                        <w:rPr>
                          <w:rFonts w:eastAsia="Times New Roman" w:cs="Arial"/>
                          <w:sz w:val="20"/>
                          <w:szCs w:val="20"/>
                          <w:lang w:val="en-US" w:eastAsia="en-GB"/>
                        </w:rPr>
                        <w:t xml:space="preserve"> and Boulay </w:t>
                      </w:r>
                      <w:r w:rsidR="00B33B9E" w:rsidRPr="00142E27">
                        <w:rPr>
                          <w:rFonts w:eastAsia="Times New Roman" w:cs="Arial"/>
                          <w:i/>
                          <w:iCs/>
                          <w:sz w:val="20"/>
                          <w:szCs w:val="20"/>
                          <w:lang w:val="en-US" w:eastAsia="en-GB"/>
                        </w:rPr>
                        <w:t>et al.</w:t>
                      </w:r>
                      <w:r w:rsidR="00B33B9E">
                        <w:rPr>
                          <w:rFonts w:eastAsia="Times New Roman" w:cs="Arial"/>
                          <w:sz w:val="20"/>
                          <w:szCs w:val="20"/>
                          <w:lang w:val="en-US" w:eastAsia="en-GB"/>
                        </w:rPr>
                        <w:t xml:space="preserve"> (2018).</w:t>
                      </w:r>
                      <w:r w:rsidR="00B75508" w:rsidRPr="00B75508">
                        <w:rPr>
                          <w:rFonts w:eastAsia="Times New Roman" w:cs="Arial"/>
                          <w:sz w:val="20"/>
                          <w:szCs w:val="20"/>
                          <w:lang w:val="en-US" w:eastAsia="en-GB"/>
                        </w:rPr>
                        <w:t xml:space="preserve"> </w:t>
                      </w:r>
                      <w:r w:rsidR="00B75508">
                        <w:rPr>
                          <w:rFonts w:eastAsia="Times New Roman" w:cs="Arial"/>
                          <w:sz w:val="20"/>
                          <w:szCs w:val="20"/>
                          <w:lang w:val="en-US" w:eastAsia="en-GB"/>
                        </w:rPr>
                        <w:t xml:space="preserve">For tropical deforestation, this is currently the Pendrill </w:t>
                      </w:r>
                      <w:r w:rsidR="00B75508" w:rsidRPr="00142E27">
                        <w:rPr>
                          <w:rFonts w:eastAsia="Times New Roman" w:cs="Arial"/>
                          <w:i/>
                          <w:iCs/>
                          <w:sz w:val="20"/>
                          <w:szCs w:val="20"/>
                          <w:lang w:val="en-US" w:eastAsia="en-GB"/>
                        </w:rPr>
                        <w:t>et al</w:t>
                      </w:r>
                      <w:r w:rsidR="00B75508">
                        <w:rPr>
                          <w:rFonts w:eastAsia="Times New Roman" w:cs="Arial"/>
                          <w:sz w:val="20"/>
                          <w:szCs w:val="20"/>
                          <w:lang w:val="en-US" w:eastAsia="en-GB"/>
                        </w:rPr>
                        <w:t xml:space="preserve">., 2020 dataset (due to be Pendrill </w:t>
                      </w:r>
                      <w:r w:rsidR="00B75508" w:rsidRPr="00142E27">
                        <w:rPr>
                          <w:rFonts w:eastAsia="Times New Roman" w:cs="Arial"/>
                          <w:i/>
                          <w:iCs/>
                          <w:sz w:val="20"/>
                          <w:szCs w:val="20"/>
                          <w:lang w:val="en-US" w:eastAsia="en-GB"/>
                        </w:rPr>
                        <w:t>et al</w:t>
                      </w:r>
                      <w:r w:rsidR="00B75508">
                        <w:rPr>
                          <w:rFonts w:eastAsia="Times New Roman" w:cs="Arial"/>
                          <w:sz w:val="20"/>
                          <w:szCs w:val="20"/>
                          <w:lang w:val="en-US" w:eastAsia="en-GB"/>
                        </w:rPr>
                        <w:t xml:space="preserve">. 2022 for the 2022 </w:t>
                      </w:r>
                      <w:r w:rsidR="00B75508">
                        <w:rPr>
                          <w:rFonts w:eastAsia="Times New Roman" w:cs="Arial"/>
                          <w:sz w:val="20"/>
                          <w:szCs w:val="20"/>
                          <w:lang w:val="en-US" w:eastAsia="en-GB"/>
                        </w:rPr>
                        <w:t>update, and may be combined with other datasets after this point to enable reporting on all forest types, not just tropical deforestation).</w:t>
                      </w:r>
                    </w:p>
                    <w:p w14:paraId="71FB2025" w14:textId="7F55E0A5" w:rsidR="00B33B9E" w:rsidRDefault="00B33B9E" w:rsidP="00DF6833">
                      <w:pPr>
                        <w:shd w:val="clear" w:color="auto" w:fill="FFFFFF"/>
                        <w:spacing w:after="100" w:line="256" w:lineRule="auto"/>
                        <w:jc w:val="both"/>
                        <w:rPr>
                          <w:rFonts w:cs="Arial"/>
                          <w:iCs/>
                          <w:sz w:val="20"/>
                          <w:szCs w:val="20"/>
                        </w:rPr>
                      </w:pPr>
                      <w:r>
                        <w:rPr>
                          <w:rFonts w:cs="Arial"/>
                          <w:iCs/>
                          <w:sz w:val="20"/>
                          <w:szCs w:val="20"/>
                        </w:rPr>
                        <w:t>The IOTA framework is designed to be ‘modular’ so that alternative datasets (e.g. alternative MRIO models, alternative environmental indicators) can be utilised to extend analysis and allow intercomparison across datasets.</w:t>
                      </w:r>
                      <w:r w:rsidR="006A77CF">
                        <w:rPr>
                          <w:rFonts w:cs="Arial"/>
                          <w:iCs/>
                          <w:sz w:val="20"/>
                          <w:szCs w:val="20"/>
                        </w:rPr>
                        <w:t xml:space="preserve"> Importantly, subsets of the data framework can also be interrogated to allow commodity and/or trade-pathway specific analysis of connections between production and consumption. </w:t>
                      </w:r>
                    </w:p>
                    <w:p w14:paraId="4A0D27BF" w14:textId="77777777" w:rsidR="00B33B9E" w:rsidRDefault="00B33B9E" w:rsidP="00DF6833">
                      <w:pPr>
                        <w:rPr>
                          <w:rFonts w:cs="Arial"/>
                          <w:iCs/>
                          <w:sz w:val="20"/>
                          <w:szCs w:val="20"/>
                        </w:rPr>
                      </w:pPr>
                    </w:p>
                  </w:txbxContent>
                </v:textbox>
                <w10:anchorlock/>
              </v:shape>
            </w:pict>
          </mc:Fallback>
        </mc:AlternateContent>
      </w:r>
    </w:p>
    <w:p w14:paraId="0D1808EE" w14:textId="77777777" w:rsidR="00D652C7" w:rsidRDefault="00D652C7">
      <w:pPr>
        <w:spacing w:after="200" w:line="276" w:lineRule="auto"/>
        <w:rPr>
          <w:rFonts w:eastAsia="Calibri" w:cs="Arial"/>
          <w:b/>
          <w:bCs/>
          <w:sz w:val="20"/>
          <w:szCs w:val="20"/>
        </w:rPr>
      </w:pPr>
      <w:r>
        <w:rPr>
          <w:rFonts w:eastAsia="Calibri" w:cs="Arial"/>
          <w:b/>
          <w:bCs/>
          <w:sz w:val="20"/>
          <w:szCs w:val="20"/>
        </w:rPr>
        <w:br w:type="page"/>
      </w:r>
    </w:p>
    <w:p w14:paraId="08D9B776" w14:textId="47D337FF" w:rsidR="00DF6833" w:rsidRDefault="00DF6833" w:rsidP="00DF6833">
      <w:pPr>
        <w:spacing w:after="100"/>
        <w:rPr>
          <w:rFonts w:eastAsia="Calibri" w:cs="Arial"/>
          <w:sz w:val="20"/>
          <w:szCs w:val="20"/>
        </w:rPr>
      </w:pPr>
      <w:r>
        <w:rPr>
          <w:rFonts w:eastAsia="Calibri" w:cs="Arial"/>
          <w:b/>
          <w:bCs/>
          <w:sz w:val="20"/>
          <w:szCs w:val="20"/>
        </w:rPr>
        <w:lastRenderedPageBreak/>
        <w:t>5.c Data collection method</w:t>
      </w:r>
      <w:r>
        <w:rPr>
          <w:rFonts w:eastAsia="Calibri" w:cs="Arial"/>
          <w:sz w:val="20"/>
          <w:szCs w:val="20"/>
        </w:rPr>
        <w:t xml:space="preserve"> </w:t>
      </w:r>
    </w:p>
    <w:p w14:paraId="235FF16D" w14:textId="06D668AA" w:rsidR="00DF6833" w:rsidRDefault="00DF6833" w:rsidP="00DF6833">
      <w:pPr>
        <w:spacing w:after="100"/>
        <w:rPr>
          <w:rFonts w:eastAsia="Calibri" w:cs="Arial"/>
          <w:sz w:val="20"/>
          <w:szCs w:val="20"/>
        </w:rPr>
      </w:pPr>
      <w:r>
        <w:rPr>
          <w:rFonts w:eastAsia="Calibri" w:cs="Arial"/>
          <w:b/>
          <w:bCs/>
          <w:noProof/>
          <w:sz w:val="20"/>
          <w:szCs w:val="20"/>
        </w:rPr>
        <mc:AlternateContent>
          <mc:Choice Requires="wps">
            <w:drawing>
              <wp:inline distT="0" distB="0" distL="0" distR="0" wp14:anchorId="1FF4B92F" wp14:editId="290539BF">
                <wp:extent cx="5724525" cy="4983480"/>
                <wp:effectExtent l="0" t="0" r="28575" b="2667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983480"/>
                        </a:xfrm>
                        <a:prstGeom prst="rect">
                          <a:avLst/>
                        </a:prstGeom>
                        <a:solidFill>
                          <a:srgbClr val="FFFFFF"/>
                        </a:solidFill>
                        <a:ln w="9525">
                          <a:solidFill>
                            <a:srgbClr val="000000"/>
                          </a:solidFill>
                          <a:miter lim="800000"/>
                          <a:headEnd/>
                          <a:tailEnd/>
                        </a:ln>
                      </wps:spPr>
                      <wps:txbx>
                        <w:txbxContent>
                          <w:p w14:paraId="12A71826" w14:textId="23DD16A2" w:rsidR="00F14E71" w:rsidRPr="00377A76" w:rsidRDefault="00B33B9E" w:rsidP="00F14E71">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National authorities from countries included in the consumption dataset can </w:t>
                            </w:r>
                            <w:r w:rsidR="00377A76" w:rsidRPr="00377A76">
                              <w:rPr>
                                <w:rFonts w:eastAsia="Times New Roman" w:cs="Arial"/>
                                <w:sz w:val="20"/>
                                <w:szCs w:val="20"/>
                                <w:lang w:eastAsia="en-GB"/>
                              </w:rPr>
                              <w:t xml:space="preserve">use the data to report on their impact </w:t>
                            </w:r>
                            <w:r>
                              <w:rPr>
                                <w:rFonts w:eastAsia="Times New Roman" w:cs="Arial"/>
                                <w:sz w:val="20"/>
                                <w:szCs w:val="20"/>
                                <w:lang w:eastAsia="en-GB"/>
                              </w:rPr>
                              <w:t xml:space="preserve">directly as provided </w:t>
                            </w:r>
                            <w:r w:rsidR="006A77CF">
                              <w:rPr>
                                <w:rFonts w:eastAsia="Times New Roman" w:cs="Arial"/>
                                <w:sz w:val="20"/>
                                <w:szCs w:val="20"/>
                                <w:lang w:eastAsia="en-GB"/>
                              </w:rPr>
                              <w:t xml:space="preserve">– free of charge - </w:t>
                            </w:r>
                            <w:r>
                              <w:rPr>
                                <w:rFonts w:eastAsia="Times New Roman" w:cs="Arial"/>
                                <w:sz w:val="20"/>
                                <w:szCs w:val="20"/>
                                <w:lang w:eastAsia="en-GB"/>
                              </w:rPr>
                              <w:t xml:space="preserve">via </w:t>
                            </w:r>
                            <w:hyperlink r:id="rId58" w:history="1">
                              <w:r>
                                <w:rPr>
                                  <w:rStyle w:val="Hyperlink"/>
                                  <w:rFonts w:eastAsia="Times New Roman" w:cs="Arial"/>
                                  <w:sz w:val="20"/>
                                  <w:szCs w:val="20"/>
                                  <w:lang w:eastAsia="en-GB"/>
                                </w:rPr>
                                <w:t>https://commodityfootprints.earth/</w:t>
                              </w:r>
                            </w:hyperlink>
                            <w:r w:rsidR="006A77CF">
                              <w:rPr>
                                <w:rStyle w:val="Hyperlink"/>
                                <w:rFonts w:eastAsia="Times New Roman" w:cs="Arial"/>
                                <w:sz w:val="20"/>
                                <w:szCs w:val="20"/>
                                <w:lang w:eastAsia="en-GB"/>
                              </w:rPr>
                              <w:t xml:space="preserve"> </w:t>
                            </w:r>
                            <w:r w:rsidR="00377A76" w:rsidRPr="00377A76">
                              <w:rPr>
                                <w:rStyle w:val="Hyperlink"/>
                                <w:rFonts w:eastAsia="Times New Roman" w:cs="Arial"/>
                                <w:color w:val="auto"/>
                                <w:sz w:val="20"/>
                                <w:szCs w:val="20"/>
                                <w:u w:val="none"/>
                                <w:lang w:eastAsia="en-GB"/>
                              </w:rPr>
                              <w:t xml:space="preserve">which is </w:t>
                            </w:r>
                            <w:r w:rsidR="00377A76">
                              <w:rPr>
                                <w:rStyle w:val="Hyperlink"/>
                                <w:rFonts w:eastAsia="Times New Roman" w:cs="Arial"/>
                                <w:color w:val="auto"/>
                                <w:sz w:val="20"/>
                                <w:szCs w:val="20"/>
                                <w:u w:val="none"/>
                                <w:lang w:eastAsia="en-GB"/>
                              </w:rPr>
                              <w:t xml:space="preserve">due to be </w:t>
                            </w:r>
                            <w:r w:rsidR="00377A76" w:rsidRPr="00377A76">
                              <w:rPr>
                                <w:rStyle w:val="Hyperlink"/>
                                <w:rFonts w:eastAsia="Times New Roman" w:cs="Arial"/>
                                <w:color w:val="auto"/>
                                <w:sz w:val="20"/>
                                <w:szCs w:val="20"/>
                                <w:u w:val="none"/>
                                <w:lang w:eastAsia="en-GB"/>
                              </w:rPr>
                              <w:t>updated annually in late autumn.</w:t>
                            </w:r>
                          </w:p>
                          <w:p w14:paraId="5E6853DE" w14:textId="557A03A6" w:rsidR="00377A76" w:rsidRPr="00F14E71" w:rsidRDefault="00EF545E" w:rsidP="00F14E71">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The data is designed to be reported on as several separate metrics (one for each impact type) </w:t>
                            </w:r>
                            <w:r w:rsidR="0037087C">
                              <w:rPr>
                                <w:rFonts w:eastAsia="Times New Roman" w:cs="Arial"/>
                                <w:sz w:val="20"/>
                                <w:szCs w:val="20"/>
                                <w:lang w:eastAsia="en-GB"/>
                              </w:rPr>
                              <w:t>–</w:t>
                            </w:r>
                            <w:r>
                              <w:rPr>
                                <w:rFonts w:eastAsia="Times New Roman" w:cs="Arial"/>
                                <w:sz w:val="20"/>
                                <w:szCs w:val="20"/>
                                <w:lang w:eastAsia="en-GB"/>
                              </w:rPr>
                              <w:t xml:space="preserve"> they do not </w:t>
                            </w:r>
                            <w:r>
                              <w:rPr>
                                <w:rFonts w:eastAsia="Times New Roman" w:cs="Arial"/>
                                <w:sz w:val="20"/>
                                <w:szCs w:val="20"/>
                                <w:lang w:eastAsia="en-GB"/>
                              </w:rPr>
                              <w:t>combine together to give a single total.</w:t>
                            </w:r>
                            <w:r w:rsidRPr="00EF545E">
                              <w:rPr>
                                <w:rFonts w:eastAsia="Times New Roman" w:cs="Arial"/>
                                <w:sz w:val="20"/>
                                <w:szCs w:val="20"/>
                                <w:lang w:eastAsia="en-GB"/>
                              </w:rPr>
                              <w:t xml:space="preserve"> </w:t>
                            </w:r>
                            <w:bookmarkStart w:id="4" w:name="_Hlk112155476"/>
                            <w:r w:rsidRPr="00F14E71">
                              <w:rPr>
                                <w:rFonts w:eastAsia="Times New Roman" w:cs="Arial"/>
                                <w:sz w:val="20"/>
                                <w:szCs w:val="20"/>
                                <w:lang w:eastAsia="en-GB"/>
                              </w:rPr>
                              <w:t xml:space="preserve">We recommend that </w:t>
                            </w:r>
                            <w:r>
                              <w:rPr>
                                <w:rFonts w:eastAsia="Times New Roman" w:cs="Arial"/>
                                <w:sz w:val="20"/>
                                <w:szCs w:val="20"/>
                                <w:lang w:eastAsia="en-GB"/>
                              </w:rPr>
                              <w:t xml:space="preserve">for CBD purposes, this </w:t>
                            </w:r>
                            <w:r w:rsidRPr="00F14E71">
                              <w:rPr>
                                <w:rFonts w:eastAsia="Times New Roman" w:cs="Arial"/>
                                <w:sz w:val="20"/>
                                <w:szCs w:val="20"/>
                                <w:lang w:eastAsia="en-GB"/>
                              </w:rPr>
                              <w:t>should include a suite of the ‘Predicted species loss</w:t>
                            </w:r>
                            <w:r w:rsidR="00301D79">
                              <w:rPr>
                                <w:rFonts w:eastAsia="Times New Roman" w:cs="Arial"/>
                                <w:sz w:val="20"/>
                                <w:szCs w:val="20"/>
                                <w:lang w:eastAsia="en-GB"/>
                              </w:rPr>
                              <w:t>,</w:t>
                            </w:r>
                            <w:r w:rsidRPr="00F14E71">
                              <w:rPr>
                                <w:rFonts w:eastAsia="Times New Roman" w:cs="Arial"/>
                                <w:sz w:val="20"/>
                                <w:szCs w:val="20"/>
                                <w:lang w:eastAsia="en-GB"/>
                              </w:rPr>
                              <w:t xml:space="preserve">’ ‘Scarcity-weighted water use’ </w:t>
                            </w:r>
                            <w:r w:rsidR="00301D79">
                              <w:rPr>
                                <w:rFonts w:eastAsia="Times New Roman" w:cs="Arial"/>
                                <w:sz w:val="20"/>
                                <w:szCs w:val="20"/>
                                <w:lang w:eastAsia="en-GB"/>
                              </w:rPr>
                              <w:t>and ‘Deforestation’</w:t>
                            </w:r>
                            <w:r w:rsidR="00753551">
                              <w:rPr>
                                <w:rFonts w:eastAsia="Times New Roman" w:cs="Arial"/>
                                <w:sz w:val="20"/>
                                <w:szCs w:val="20"/>
                                <w:lang w:eastAsia="en-GB"/>
                              </w:rPr>
                              <w:t xml:space="preserve"> metrics (with ‘Deforestation’ considered an optional indicator while only tropical data is available, but to be included by all if data on all forest types become available)</w:t>
                            </w:r>
                            <w:r w:rsidRPr="00F14E71">
                              <w:rPr>
                                <w:rFonts w:eastAsia="Times New Roman" w:cs="Arial"/>
                                <w:sz w:val="20"/>
                                <w:szCs w:val="20"/>
                                <w:lang w:eastAsia="en-GB"/>
                              </w:rPr>
                              <w:t>.</w:t>
                            </w:r>
                            <w:r>
                              <w:rPr>
                                <w:rFonts w:eastAsia="Times New Roman" w:cs="Arial"/>
                                <w:sz w:val="20"/>
                                <w:szCs w:val="20"/>
                                <w:lang w:eastAsia="en-GB"/>
                              </w:rPr>
                              <w:t xml:space="preserve"> As an optional extra, some authorities may </w:t>
                            </w:r>
                            <w:r w:rsidR="00301D79">
                              <w:rPr>
                                <w:rFonts w:eastAsia="Times New Roman" w:cs="Arial"/>
                                <w:sz w:val="20"/>
                                <w:szCs w:val="20"/>
                                <w:lang w:eastAsia="en-GB"/>
                              </w:rPr>
                              <w:t xml:space="preserve">also </w:t>
                            </w:r>
                            <w:r>
                              <w:rPr>
                                <w:rFonts w:eastAsia="Times New Roman" w:cs="Arial"/>
                                <w:sz w:val="20"/>
                                <w:szCs w:val="20"/>
                                <w:lang w:eastAsia="en-GB"/>
                              </w:rPr>
                              <w:t xml:space="preserve">wish to report against the full range of </w:t>
                            </w:r>
                            <w:r w:rsidR="00301D79">
                              <w:rPr>
                                <w:rFonts w:eastAsia="Times New Roman" w:cs="Arial"/>
                                <w:sz w:val="20"/>
                                <w:szCs w:val="20"/>
                                <w:lang w:eastAsia="en-GB"/>
                              </w:rPr>
                              <w:t xml:space="preserve">other </w:t>
                            </w:r>
                            <w:r>
                              <w:rPr>
                                <w:rFonts w:eastAsia="Times New Roman" w:cs="Arial"/>
                                <w:sz w:val="20"/>
                                <w:szCs w:val="20"/>
                                <w:lang w:eastAsia="en-GB"/>
                              </w:rPr>
                              <w:t>metrics possible to select from the drop-down menu of the dashboard.</w:t>
                            </w:r>
                            <w:bookmarkEnd w:id="4"/>
                          </w:p>
                          <w:p w14:paraId="53EBDE94" w14:textId="29B2F8EA"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Select the drop-down menus so that the panel at the top reads “Visualise the [impact type of interest] associated with [your country]’s consumption.” Ensure the filters in the “more filters” section are all left as their default (i.e. no entry in the Producing country</w:t>
                            </w:r>
                            <w:r w:rsidR="00D45EA4">
                              <w:rPr>
                                <w:rFonts w:eastAsia="Times New Roman" w:cs="Arial"/>
                                <w:sz w:val="20"/>
                                <w:szCs w:val="20"/>
                                <w:lang w:eastAsia="en-GB"/>
                              </w:rPr>
                              <w:t>/territory</w:t>
                            </w:r>
                            <w:r w:rsidRPr="00F14E71">
                              <w:rPr>
                                <w:rFonts w:eastAsia="Times New Roman" w:cs="Arial"/>
                                <w:sz w:val="20"/>
                                <w:szCs w:val="20"/>
                                <w:lang w:eastAsia="en-GB"/>
                              </w:rPr>
                              <w:t xml:space="preserve"> or Commodity boxes, the Year can be set to anything and Domestic flows should be set to “Include”). Scroll down to the graph entitled “Total per year” for a visual representation of your national indicator and click on “Data” at the bottom right of this graph to obtain the summary data that make up the headline national indicator results. </w:t>
                            </w:r>
                          </w:p>
                          <w:p w14:paraId="5526CC26" w14:textId="19D138C7"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After obtaining data for a national indicator, users may also wish to explore the detail of the dashboard in terms of which commodities and geographies are contributing most to the total values, in order to better inform discussions around targeting solutions.</w:t>
                            </w:r>
                          </w:p>
                          <w:p w14:paraId="67ACDE8E" w14:textId="56849AE1"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If your country is not on the current list in the consumption country</w:t>
                            </w:r>
                            <w:r w:rsidR="00D45EA4">
                              <w:rPr>
                                <w:rFonts w:eastAsia="Times New Roman" w:cs="Arial"/>
                                <w:sz w:val="20"/>
                                <w:szCs w:val="20"/>
                                <w:lang w:eastAsia="en-GB"/>
                              </w:rPr>
                              <w:t>/territory</w:t>
                            </w:r>
                            <w:r w:rsidRPr="00F14E71">
                              <w:rPr>
                                <w:rFonts w:eastAsia="Times New Roman" w:cs="Arial"/>
                                <w:sz w:val="20"/>
                                <w:szCs w:val="20"/>
                                <w:lang w:eastAsia="en-GB"/>
                              </w:rPr>
                              <w:t xml:space="preserve"> drop-down, you will need to identify which of the ‘rest of world’ regions your country falls into (RoW Africa, RoW Asia and Pacific, RoW America, RoW Europe, RoW Middle East) and use this coarser data as a proxy at this stage. We are continuing to develop the dashboard and </w:t>
                            </w:r>
                            <w:r w:rsidR="00A85A7F">
                              <w:rPr>
                                <w:rFonts w:eastAsia="Times New Roman" w:cs="Arial"/>
                                <w:sz w:val="20"/>
                                <w:szCs w:val="20"/>
                                <w:lang w:eastAsia="en-GB"/>
                              </w:rPr>
                              <w:t xml:space="preserve">plan for the 2023 release to have data for </w:t>
                            </w:r>
                            <w:r w:rsidR="00530D3C">
                              <w:rPr>
                                <w:rFonts w:eastAsia="Times New Roman" w:cs="Arial"/>
                                <w:sz w:val="20"/>
                                <w:szCs w:val="20"/>
                                <w:lang w:eastAsia="en-GB"/>
                              </w:rPr>
                              <w:t xml:space="preserve">at least </w:t>
                            </w:r>
                            <w:r w:rsidR="00A85A7F">
                              <w:rPr>
                                <w:rFonts w:eastAsia="Times New Roman" w:cs="Arial"/>
                                <w:sz w:val="20"/>
                                <w:szCs w:val="20"/>
                                <w:lang w:eastAsia="en-GB"/>
                              </w:rPr>
                              <w:t>120 countries</w:t>
                            </w:r>
                            <w:r w:rsidR="00D45EA4">
                              <w:rPr>
                                <w:rFonts w:eastAsia="Times New Roman" w:cs="Arial"/>
                                <w:sz w:val="20"/>
                                <w:szCs w:val="20"/>
                                <w:lang w:eastAsia="en-GB"/>
                              </w:rPr>
                              <w:t>/territories</w:t>
                            </w:r>
                            <w:r w:rsidR="00A85A7F">
                              <w:rPr>
                                <w:rFonts w:eastAsia="Times New Roman" w:cs="Arial"/>
                                <w:sz w:val="20"/>
                                <w:szCs w:val="20"/>
                                <w:lang w:eastAsia="en-GB"/>
                              </w:rPr>
                              <w:t xml:space="preserve"> and 20 rest of world regions</w:t>
                            </w:r>
                            <w:r w:rsidRPr="00F14E71">
                              <w:rPr>
                                <w:rFonts w:eastAsia="Times New Roman" w:cs="Arial"/>
                                <w:sz w:val="20"/>
                                <w:szCs w:val="20"/>
                                <w:lang w:eastAsia="en-GB"/>
                              </w:rPr>
                              <w:t>.</w:t>
                            </w:r>
                          </w:p>
                          <w:p w14:paraId="1634FFFC" w14:textId="672CA127" w:rsidR="00B33B9E" w:rsidRDefault="00A85A7F" w:rsidP="00DF6833">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An example of where </w:t>
                            </w:r>
                            <w:r w:rsidR="00AE3632">
                              <w:rPr>
                                <w:rFonts w:eastAsia="Times New Roman" w:cs="Arial"/>
                                <w:sz w:val="20"/>
                                <w:szCs w:val="20"/>
                                <w:lang w:eastAsia="en-GB"/>
                              </w:rPr>
                              <w:t>these data have</w:t>
                            </w:r>
                            <w:r>
                              <w:rPr>
                                <w:rFonts w:eastAsia="Times New Roman" w:cs="Arial"/>
                                <w:sz w:val="20"/>
                                <w:szCs w:val="20"/>
                                <w:lang w:eastAsia="en-GB"/>
                              </w:rPr>
                              <w:t xml:space="preserve"> already been used in the context of a national indicator can be found at </w:t>
                            </w:r>
                            <w:hyperlink r:id="rId59" w:history="1">
                              <w:r w:rsidRPr="00D37E42">
                                <w:rPr>
                                  <w:rStyle w:val="Hyperlink"/>
                                  <w:rFonts w:eastAsia="Times New Roman" w:cs="Arial"/>
                                  <w:sz w:val="20"/>
                                  <w:szCs w:val="20"/>
                                  <w:lang w:eastAsia="en-GB"/>
                                </w:rPr>
                                <w:t>https://jncc.gov.uk/our-work/ukbi-a4-global-biodiversity-impact/</w:t>
                              </w:r>
                            </w:hyperlink>
                            <w:r>
                              <w:rPr>
                                <w:rFonts w:eastAsia="Times New Roman" w:cs="Arial"/>
                                <w:sz w:val="20"/>
                                <w:szCs w:val="20"/>
                                <w:lang w:eastAsia="en-GB"/>
                              </w:rPr>
                              <w:t xml:space="preserve">. </w:t>
                            </w:r>
                            <w:r w:rsidR="00F14E71" w:rsidRPr="00F14E71">
                              <w:rPr>
                                <w:rFonts w:eastAsia="Times New Roman" w:cs="Arial"/>
                                <w:sz w:val="20"/>
                                <w:szCs w:val="20"/>
                                <w:lang w:eastAsia="en-GB"/>
                              </w:rPr>
                              <w:t xml:space="preserve">If you would like further assistance, or have questions about the development or use of data for national indicator purposes, please contact </w:t>
                            </w:r>
                            <w:hyperlink r:id="rId60" w:history="1">
                              <w:r w:rsidR="00C85AFE" w:rsidRPr="00154B2C">
                                <w:rPr>
                                  <w:rStyle w:val="Hyperlink"/>
                                  <w:rFonts w:eastAsia="Times New Roman" w:cs="Arial"/>
                                  <w:sz w:val="20"/>
                                  <w:szCs w:val="20"/>
                                  <w:lang w:eastAsia="en-GB"/>
                                </w:rPr>
                                <w:t>info@commodityfootprints.earth</w:t>
                              </w:r>
                            </w:hyperlink>
                            <w:r w:rsidR="00C85AFE">
                              <w:rPr>
                                <w:rFonts w:eastAsia="Times New Roman" w:cs="Arial"/>
                                <w:sz w:val="20"/>
                                <w:szCs w:val="20"/>
                                <w:lang w:eastAsia="en-GB"/>
                              </w:rPr>
                              <w:t xml:space="preserve"> </w:t>
                            </w:r>
                          </w:p>
                          <w:p w14:paraId="0A4D1D53" w14:textId="77777777" w:rsidR="00B33B9E" w:rsidRDefault="00B33B9E" w:rsidP="00DF6833">
                            <w:pPr>
                              <w:rPr>
                                <w:rFonts w:eastAsia="Times New Roman" w:cs="Arial"/>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1FF4B92F" id="Text Box 56" o:spid="_x0000_s1033" type="#_x0000_t202" style="width:450.75pt;height:3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">
                <v:textbox>
                  <w:txbxContent>
                    <w:p w14:paraId="12A71826" w14:textId="23DD16A2" w:rsidR="00F14E71" w:rsidRPr="00377A76" w:rsidRDefault="00B33B9E" w:rsidP="00F14E71">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National authorities from countries included in the consumption dataset can </w:t>
                      </w:r>
                      <w:r w:rsidR="00377A76" w:rsidRPr="00377A76">
                        <w:rPr>
                          <w:rFonts w:eastAsia="Times New Roman" w:cs="Arial"/>
                          <w:sz w:val="20"/>
                          <w:szCs w:val="20"/>
                          <w:lang w:eastAsia="en-GB"/>
                        </w:rPr>
                        <w:t xml:space="preserve">use the data to report on their impact </w:t>
                      </w:r>
                      <w:r>
                        <w:rPr>
                          <w:rFonts w:eastAsia="Times New Roman" w:cs="Arial"/>
                          <w:sz w:val="20"/>
                          <w:szCs w:val="20"/>
                          <w:lang w:eastAsia="en-GB"/>
                        </w:rPr>
                        <w:t xml:space="preserve">directly as provided </w:t>
                      </w:r>
                      <w:r w:rsidR="006A77CF">
                        <w:rPr>
                          <w:rFonts w:eastAsia="Times New Roman" w:cs="Arial"/>
                          <w:sz w:val="20"/>
                          <w:szCs w:val="20"/>
                          <w:lang w:eastAsia="en-GB"/>
                        </w:rPr>
                        <w:t xml:space="preserve">– free of charge - </w:t>
                      </w:r>
                      <w:r>
                        <w:rPr>
                          <w:rFonts w:eastAsia="Times New Roman" w:cs="Arial"/>
                          <w:sz w:val="20"/>
                          <w:szCs w:val="20"/>
                          <w:lang w:eastAsia="en-GB"/>
                        </w:rPr>
                        <w:t xml:space="preserve">via </w:t>
                      </w:r>
                      <w:hyperlink r:id="rId61" w:history="1">
                        <w:r>
                          <w:rPr>
                            <w:rStyle w:val="Hyperlink"/>
                            <w:rFonts w:eastAsia="Times New Roman" w:cs="Arial"/>
                            <w:sz w:val="20"/>
                            <w:szCs w:val="20"/>
                            <w:lang w:eastAsia="en-GB"/>
                          </w:rPr>
                          <w:t>https://commodityfootprints.earth/</w:t>
                        </w:r>
                      </w:hyperlink>
                      <w:r w:rsidR="006A77CF">
                        <w:rPr>
                          <w:rStyle w:val="Hyperlink"/>
                          <w:rFonts w:eastAsia="Times New Roman" w:cs="Arial"/>
                          <w:sz w:val="20"/>
                          <w:szCs w:val="20"/>
                          <w:lang w:eastAsia="en-GB"/>
                        </w:rPr>
                        <w:t xml:space="preserve"> </w:t>
                      </w:r>
                      <w:r w:rsidR="00377A76" w:rsidRPr="00377A76">
                        <w:rPr>
                          <w:rStyle w:val="Hyperlink"/>
                          <w:rFonts w:eastAsia="Times New Roman" w:cs="Arial"/>
                          <w:color w:val="auto"/>
                          <w:sz w:val="20"/>
                          <w:szCs w:val="20"/>
                          <w:u w:val="none"/>
                          <w:lang w:eastAsia="en-GB"/>
                        </w:rPr>
                        <w:t xml:space="preserve">which is </w:t>
                      </w:r>
                      <w:r w:rsidR="00377A76">
                        <w:rPr>
                          <w:rStyle w:val="Hyperlink"/>
                          <w:rFonts w:eastAsia="Times New Roman" w:cs="Arial"/>
                          <w:color w:val="auto"/>
                          <w:sz w:val="20"/>
                          <w:szCs w:val="20"/>
                          <w:u w:val="none"/>
                          <w:lang w:eastAsia="en-GB"/>
                        </w:rPr>
                        <w:t xml:space="preserve">due to be </w:t>
                      </w:r>
                      <w:r w:rsidR="00377A76" w:rsidRPr="00377A76">
                        <w:rPr>
                          <w:rStyle w:val="Hyperlink"/>
                          <w:rFonts w:eastAsia="Times New Roman" w:cs="Arial"/>
                          <w:color w:val="auto"/>
                          <w:sz w:val="20"/>
                          <w:szCs w:val="20"/>
                          <w:u w:val="none"/>
                          <w:lang w:eastAsia="en-GB"/>
                        </w:rPr>
                        <w:t>updated annually in late autumn.</w:t>
                      </w:r>
                    </w:p>
                    <w:p w14:paraId="5E6853DE" w14:textId="557A03A6" w:rsidR="00377A76" w:rsidRPr="00F14E71" w:rsidRDefault="00EF545E" w:rsidP="00F14E71">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The data is designed to be reported on as several separate metrics (one for each impact type) </w:t>
                      </w:r>
                      <w:r w:rsidR="0037087C">
                        <w:rPr>
                          <w:rFonts w:eastAsia="Times New Roman" w:cs="Arial"/>
                          <w:sz w:val="20"/>
                          <w:szCs w:val="20"/>
                          <w:lang w:eastAsia="en-GB"/>
                        </w:rPr>
                        <w:t>–</w:t>
                      </w:r>
                      <w:r>
                        <w:rPr>
                          <w:rFonts w:eastAsia="Times New Roman" w:cs="Arial"/>
                          <w:sz w:val="20"/>
                          <w:szCs w:val="20"/>
                          <w:lang w:eastAsia="en-GB"/>
                        </w:rPr>
                        <w:t xml:space="preserve"> they do not </w:t>
                      </w:r>
                      <w:r>
                        <w:rPr>
                          <w:rFonts w:eastAsia="Times New Roman" w:cs="Arial"/>
                          <w:sz w:val="20"/>
                          <w:szCs w:val="20"/>
                          <w:lang w:eastAsia="en-GB"/>
                        </w:rPr>
                        <w:t>combine together to give a single total.</w:t>
                      </w:r>
                      <w:r w:rsidRPr="00EF545E">
                        <w:rPr>
                          <w:rFonts w:eastAsia="Times New Roman" w:cs="Arial"/>
                          <w:sz w:val="20"/>
                          <w:szCs w:val="20"/>
                          <w:lang w:eastAsia="en-GB"/>
                        </w:rPr>
                        <w:t xml:space="preserve"> </w:t>
                      </w:r>
                      <w:bookmarkStart w:id="5" w:name="_Hlk112155476"/>
                      <w:r w:rsidRPr="00F14E71">
                        <w:rPr>
                          <w:rFonts w:eastAsia="Times New Roman" w:cs="Arial"/>
                          <w:sz w:val="20"/>
                          <w:szCs w:val="20"/>
                          <w:lang w:eastAsia="en-GB"/>
                        </w:rPr>
                        <w:t xml:space="preserve">We recommend that </w:t>
                      </w:r>
                      <w:r>
                        <w:rPr>
                          <w:rFonts w:eastAsia="Times New Roman" w:cs="Arial"/>
                          <w:sz w:val="20"/>
                          <w:szCs w:val="20"/>
                          <w:lang w:eastAsia="en-GB"/>
                        </w:rPr>
                        <w:t xml:space="preserve">for CBD purposes, this </w:t>
                      </w:r>
                      <w:r w:rsidRPr="00F14E71">
                        <w:rPr>
                          <w:rFonts w:eastAsia="Times New Roman" w:cs="Arial"/>
                          <w:sz w:val="20"/>
                          <w:szCs w:val="20"/>
                          <w:lang w:eastAsia="en-GB"/>
                        </w:rPr>
                        <w:t>should include a suite of the ‘Predicted species loss</w:t>
                      </w:r>
                      <w:r w:rsidR="00301D79">
                        <w:rPr>
                          <w:rFonts w:eastAsia="Times New Roman" w:cs="Arial"/>
                          <w:sz w:val="20"/>
                          <w:szCs w:val="20"/>
                          <w:lang w:eastAsia="en-GB"/>
                        </w:rPr>
                        <w:t>,</w:t>
                      </w:r>
                      <w:r w:rsidRPr="00F14E71">
                        <w:rPr>
                          <w:rFonts w:eastAsia="Times New Roman" w:cs="Arial"/>
                          <w:sz w:val="20"/>
                          <w:szCs w:val="20"/>
                          <w:lang w:eastAsia="en-GB"/>
                        </w:rPr>
                        <w:t xml:space="preserve">’ ‘Scarcity-weighted water use’ </w:t>
                      </w:r>
                      <w:r w:rsidR="00301D79">
                        <w:rPr>
                          <w:rFonts w:eastAsia="Times New Roman" w:cs="Arial"/>
                          <w:sz w:val="20"/>
                          <w:szCs w:val="20"/>
                          <w:lang w:eastAsia="en-GB"/>
                        </w:rPr>
                        <w:t>and ‘Deforestation’</w:t>
                      </w:r>
                      <w:r w:rsidR="00753551">
                        <w:rPr>
                          <w:rFonts w:eastAsia="Times New Roman" w:cs="Arial"/>
                          <w:sz w:val="20"/>
                          <w:szCs w:val="20"/>
                          <w:lang w:eastAsia="en-GB"/>
                        </w:rPr>
                        <w:t xml:space="preserve"> metrics (with ‘Deforestation’ considered an optional indicator while only tropical data is available, but to be included by all if data on all forest types become available)</w:t>
                      </w:r>
                      <w:r w:rsidRPr="00F14E71">
                        <w:rPr>
                          <w:rFonts w:eastAsia="Times New Roman" w:cs="Arial"/>
                          <w:sz w:val="20"/>
                          <w:szCs w:val="20"/>
                          <w:lang w:eastAsia="en-GB"/>
                        </w:rPr>
                        <w:t>.</w:t>
                      </w:r>
                      <w:r>
                        <w:rPr>
                          <w:rFonts w:eastAsia="Times New Roman" w:cs="Arial"/>
                          <w:sz w:val="20"/>
                          <w:szCs w:val="20"/>
                          <w:lang w:eastAsia="en-GB"/>
                        </w:rPr>
                        <w:t xml:space="preserve"> As an optional extra, some authorities may </w:t>
                      </w:r>
                      <w:r w:rsidR="00301D79">
                        <w:rPr>
                          <w:rFonts w:eastAsia="Times New Roman" w:cs="Arial"/>
                          <w:sz w:val="20"/>
                          <w:szCs w:val="20"/>
                          <w:lang w:eastAsia="en-GB"/>
                        </w:rPr>
                        <w:t xml:space="preserve">also </w:t>
                      </w:r>
                      <w:r>
                        <w:rPr>
                          <w:rFonts w:eastAsia="Times New Roman" w:cs="Arial"/>
                          <w:sz w:val="20"/>
                          <w:szCs w:val="20"/>
                          <w:lang w:eastAsia="en-GB"/>
                        </w:rPr>
                        <w:t xml:space="preserve">wish to report against the full range of </w:t>
                      </w:r>
                      <w:r w:rsidR="00301D79">
                        <w:rPr>
                          <w:rFonts w:eastAsia="Times New Roman" w:cs="Arial"/>
                          <w:sz w:val="20"/>
                          <w:szCs w:val="20"/>
                          <w:lang w:eastAsia="en-GB"/>
                        </w:rPr>
                        <w:t xml:space="preserve">other </w:t>
                      </w:r>
                      <w:r>
                        <w:rPr>
                          <w:rFonts w:eastAsia="Times New Roman" w:cs="Arial"/>
                          <w:sz w:val="20"/>
                          <w:szCs w:val="20"/>
                          <w:lang w:eastAsia="en-GB"/>
                        </w:rPr>
                        <w:t>metrics possible to select from the drop-down menu of the dashboard.</w:t>
                      </w:r>
                      <w:bookmarkEnd w:id="5"/>
                    </w:p>
                    <w:p w14:paraId="53EBDE94" w14:textId="29B2F8EA"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Select the drop-down menus so that the panel at the top reads “Visualise the [impact type of interest] associated with [your country]’s consumption.” Ensure the filters in the “more filters” section are all left as their default (i.e. no entry in the Producing country</w:t>
                      </w:r>
                      <w:r w:rsidR="00D45EA4">
                        <w:rPr>
                          <w:rFonts w:eastAsia="Times New Roman" w:cs="Arial"/>
                          <w:sz w:val="20"/>
                          <w:szCs w:val="20"/>
                          <w:lang w:eastAsia="en-GB"/>
                        </w:rPr>
                        <w:t>/territory</w:t>
                      </w:r>
                      <w:r w:rsidRPr="00F14E71">
                        <w:rPr>
                          <w:rFonts w:eastAsia="Times New Roman" w:cs="Arial"/>
                          <w:sz w:val="20"/>
                          <w:szCs w:val="20"/>
                          <w:lang w:eastAsia="en-GB"/>
                        </w:rPr>
                        <w:t xml:space="preserve"> or Commodity boxes, the Year can be set to anything and Domestic flows should be set to “Include”). Scroll down to the graph entitled “Total per year” for a visual representation of your national indicator and click on “Data” at the bottom right of this graph to obtain the summary data that make up the headline national indicator results. </w:t>
                      </w:r>
                    </w:p>
                    <w:p w14:paraId="5526CC26" w14:textId="19D138C7"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After obtaining data for a national indicator, users may also wish to explore the detail of the dashboard in terms of which commodities and geographies are contributing most to the total values, in order to better inform discussions around targeting solutions.</w:t>
                      </w:r>
                    </w:p>
                    <w:p w14:paraId="67ACDE8E" w14:textId="56849AE1" w:rsidR="00F14E71" w:rsidRPr="00F14E71" w:rsidRDefault="00F14E71" w:rsidP="00F14E71">
                      <w:pPr>
                        <w:shd w:val="clear" w:color="auto" w:fill="FFFFFF"/>
                        <w:spacing w:after="100" w:line="256" w:lineRule="auto"/>
                        <w:rPr>
                          <w:rFonts w:eastAsia="Times New Roman" w:cs="Arial"/>
                          <w:sz w:val="20"/>
                          <w:szCs w:val="20"/>
                          <w:lang w:eastAsia="en-GB"/>
                        </w:rPr>
                      </w:pPr>
                      <w:r w:rsidRPr="00F14E71">
                        <w:rPr>
                          <w:rFonts w:eastAsia="Times New Roman" w:cs="Arial"/>
                          <w:sz w:val="20"/>
                          <w:szCs w:val="20"/>
                          <w:lang w:eastAsia="en-GB"/>
                        </w:rPr>
                        <w:t>If your country is not on the current list in the consumption country</w:t>
                      </w:r>
                      <w:r w:rsidR="00D45EA4">
                        <w:rPr>
                          <w:rFonts w:eastAsia="Times New Roman" w:cs="Arial"/>
                          <w:sz w:val="20"/>
                          <w:szCs w:val="20"/>
                          <w:lang w:eastAsia="en-GB"/>
                        </w:rPr>
                        <w:t>/territory</w:t>
                      </w:r>
                      <w:r w:rsidRPr="00F14E71">
                        <w:rPr>
                          <w:rFonts w:eastAsia="Times New Roman" w:cs="Arial"/>
                          <w:sz w:val="20"/>
                          <w:szCs w:val="20"/>
                          <w:lang w:eastAsia="en-GB"/>
                        </w:rPr>
                        <w:t xml:space="preserve"> drop-down, you will need to identify which of the ‘rest of world’ regions your country falls into (RoW Africa, RoW Asia and Pacific, RoW America, RoW Europe, RoW Middle East) and use this coarser data as a proxy at this stage. We are continuing to develop the dashboard and </w:t>
                      </w:r>
                      <w:r w:rsidR="00A85A7F">
                        <w:rPr>
                          <w:rFonts w:eastAsia="Times New Roman" w:cs="Arial"/>
                          <w:sz w:val="20"/>
                          <w:szCs w:val="20"/>
                          <w:lang w:eastAsia="en-GB"/>
                        </w:rPr>
                        <w:t xml:space="preserve">plan for the 2023 release to have data for </w:t>
                      </w:r>
                      <w:r w:rsidR="00530D3C">
                        <w:rPr>
                          <w:rFonts w:eastAsia="Times New Roman" w:cs="Arial"/>
                          <w:sz w:val="20"/>
                          <w:szCs w:val="20"/>
                          <w:lang w:eastAsia="en-GB"/>
                        </w:rPr>
                        <w:t xml:space="preserve">at least </w:t>
                      </w:r>
                      <w:r w:rsidR="00A85A7F">
                        <w:rPr>
                          <w:rFonts w:eastAsia="Times New Roman" w:cs="Arial"/>
                          <w:sz w:val="20"/>
                          <w:szCs w:val="20"/>
                          <w:lang w:eastAsia="en-GB"/>
                        </w:rPr>
                        <w:t>120 countries</w:t>
                      </w:r>
                      <w:r w:rsidR="00D45EA4">
                        <w:rPr>
                          <w:rFonts w:eastAsia="Times New Roman" w:cs="Arial"/>
                          <w:sz w:val="20"/>
                          <w:szCs w:val="20"/>
                          <w:lang w:eastAsia="en-GB"/>
                        </w:rPr>
                        <w:t>/territories</w:t>
                      </w:r>
                      <w:r w:rsidR="00A85A7F">
                        <w:rPr>
                          <w:rFonts w:eastAsia="Times New Roman" w:cs="Arial"/>
                          <w:sz w:val="20"/>
                          <w:szCs w:val="20"/>
                          <w:lang w:eastAsia="en-GB"/>
                        </w:rPr>
                        <w:t xml:space="preserve"> and 20 rest of world regions</w:t>
                      </w:r>
                      <w:r w:rsidRPr="00F14E71">
                        <w:rPr>
                          <w:rFonts w:eastAsia="Times New Roman" w:cs="Arial"/>
                          <w:sz w:val="20"/>
                          <w:szCs w:val="20"/>
                          <w:lang w:eastAsia="en-GB"/>
                        </w:rPr>
                        <w:t>.</w:t>
                      </w:r>
                    </w:p>
                    <w:p w14:paraId="1634FFFC" w14:textId="672CA127" w:rsidR="00B33B9E" w:rsidRDefault="00A85A7F" w:rsidP="00DF6833">
                      <w:pPr>
                        <w:shd w:val="clear" w:color="auto" w:fill="FFFFFF"/>
                        <w:spacing w:after="100" w:line="256" w:lineRule="auto"/>
                        <w:rPr>
                          <w:rFonts w:eastAsia="Times New Roman" w:cs="Arial"/>
                          <w:sz w:val="20"/>
                          <w:szCs w:val="20"/>
                          <w:lang w:eastAsia="en-GB"/>
                        </w:rPr>
                      </w:pPr>
                      <w:r>
                        <w:rPr>
                          <w:rFonts w:eastAsia="Times New Roman" w:cs="Arial"/>
                          <w:sz w:val="20"/>
                          <w:szCs w:val="20"/>
                          <w:lang w:eastAsia="en-GB"/>
                        </w:rPr>
                        <w:t xml:space="preserve">An example of where </w:t>
                      </w:r>
                      <w:r w:rsidR="00AE3632">
                        <w:rPr>
                          <w:rFonts w:eastAsia="Times New Roman" w:cs="Arial"/>
                          <w:sz w:val="20"/>
                          <w:szCs w:val="20"/>
                          <w:lang w:eastAsia="en-GB"/>
                        </w:rPr>
                        <w:t>these data have</w:t>
                      </w:r>
                      <w:r>
                        <w:rPr>
                          <w:rFonts w:eastAsia="Times New Roman" w:cs="Arial"/>
                          <w:sz w:val="20"/>
                          <w:szCs w:val="20"/>
                          <w:lang w:eastAsia="en-GB"/>
                        </w:rPr>
                        <w:t xml:space="preserve"> already been used in the context of a national indicator can be found at </w:t>
                      </w:r>
                      <w:hyperlink r:id="rId62" w:history="1">
                        <w:r w:rsidRPr="00D37E42">
                          <w:rPr>
                            <w:rStyle w:val="Hyperlink"/>
                            <w:rFonts w:eastAsia="Times New Roman" w:cs="Arial"/>
                            <w:sz w:val="20"/>
                            <w:szCs w:val="20"/>
                            <w:lang w:eastAsia="en-GB"/>
                          </w:rPr>
                          <w:t>https://jncc.gov.uk/our-work/ukbi-a4-global-biodiversity-impact/</w:t>
                        </w:r>
                      </w:hyperlink>
                      <w:r>
                        <w:rPr>
                          <w:rFonts w:eastAsia="Times New Roman" w:cs="Arial"/>
                          <w:sz w:val="20"/>
                          <w:szCs w:val="20"/>
                          <w:lang w:eastAsia="en-GB"/>
                        </w:rPr>
                        <w:t xml:space="preserve">. </w:t>
                      </w:r>
                      <w:r w:rsidR="00F14E71" w:rsidRPr="00F14E71">
                        <w:rPr>
                          <w:rFonts w:eastAsia="Times New Roman" w:cs="Arial"/>
                          <w:sz w:val="20"/>
                          <w:szCs w:val="20"/>
                          <w:lang w:eastAsia="en-GB"/>
                        </w:rPr>
                        <w:t xml:space="preserve">If you would like further assistance, or have questions about the development or use of data for national indicator purposes, please contact </w:t>
                      </w:r>
                      <w:hyperlink r:id="rId63" w:history="1">
                        <w:r w:rsidR="00C85AFE" w:rsidRPr="00154B2C">
                          <w:rPr>
                            <w:rStyle w:val="Hyperlink"/>
                            <w:rFonts w:eastAsia="Times New Roman" w:cs="Arial"/>
                            <w:sz w:val="20"/>
                            <w:szCs w:val="20"/>
                            <w:lang w:eastAsia="en-GB"/>
                          </w:rPr>
                          <w:t>info@commodityfootprints.earth</w:t>
                        </w:r>
                      </w:hyperlink>
                      <w:r w:rsidR="00C85AFE">
                        <w:rPr>
                          <w:rFonts w:eastAsia="Times New Roman" w:cs="Arial"/>
                          <w:sz w:val="20"/>
                          <w:szCs w:val="20"/>
                          <w:lang w:eastAsia="en-GB"/>
                        </w:rPr>
                        <w:t xml:space="preserve"> </w:t>
                      </w:r>
                    </w:p>
                    <w:p w14:paraId="0A4D1D53" w14:textId="77777777" w:rsidR="00B33B9E" w:rsidRDefault="00B33B9E" w:rsidP="00DF6833">
                      <w:pPr>
                        <w:rPr>
                          <w:rFonts w:eastAsia="Times New Roman" w:cs="Arial"/>
                          <w:sz w:val="20"/>
                          <w:szCs w:val="20"/>
                          <w:lang w:eastAsia="en-GB"/>
                        </w:rPr>
                      </w:pPr>
                    </w:p>
                  </w:txbxContent>
                </v:textbox>
                <w10:anchorlock/>
              </v:shape>
            </w:pict>
          </mc:Fallback>
        </mc:AlternateContent>
      </w:r>
    </w:p>
    <w:p w14:paraId="32BDA7FB" w14:textId="77777777" w:rsidR="00DF6833" w:rsidRDefault="00DF6833" w:rsidP="00DF6833">
      <w:pPr>
        <w:spacing w:after="100"/>
        <w:rPr>
          <w:rFonts w:eastAsia="Arial" w:cs="Arial"/>
          <w:b/>
          <w:sz w:val="20"/>
          <w:szCs w:val="20"/>
        </w:rPr>
      </w:pPr>
      <w:r>
        <w:rPr>
          <w:rFonts w:eastAsia="Arial" w:cs="Arial"/>
          <w:b/>
          <w:sz w:val="20"/>
          <w:szCs w:val="20"/>
        </w:rPr>
        <w:t>5.d Accessibility of methodology</w:t>
      </w:r>
    </w:p>
    <w:p w14:paraId="30E229AB" w14:textId="53C397DD" w:rsidR="00DF6833" w:rsidRDefault="00DF6833" w:rsidP="00DF6833">
      <w:pPr>
        <w:spacing w:after="100"/>
        <w:rPr>
          <w:rFonts w:eastAsia="Calibri" w:cs="Arial"/>
          <w:b/>
          <w:bCs/>
          <w:sz w:val="20"/>
          <w:szCs w:val="20"/>
        </w:rPr>
      </w:pPr>
      <w:r>
        <w:rPr>
          <w:rFonts w:eastAsia="Arial" w:cs="Arial"/>
          <w:b/>
          <w:noProof/>
          <w:sz w:val="20"/>
          <w:szCs w:val="20"/>
        </w:rPr>
        <mc:AlternateContent>
          <mc:Choice Requires="wps">
            <w:drawing>
              <wp:inline distT="0" distB="0" distL="0" distR="0" wp14:anchorId="0A70F068" wp14:editId="0FFAF4D7">
                <wp:extent cx="5724525" cy="1880558"/>
                <wp:effectExtent l="0" t="0" r="28575" b="24765"/>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80558"/>
                        </a:xfrm>
                        <a:prstGeom prst="rect">
                          <a:avLst/>
                        </a:prstGeom>
                        <a:solidFill>
                          <a:srgbClr val="FFFFFF"/>
                        </a:solidFill>
                        <a:ln w="9525">
                          <a:solidFill>
                            <a:srgbClr val="000000"/>
                          </a:solidFill>
                          <a:miter lim="800000"/>
                          <a:headEnd/>
                          <a:tailEnd/>
                        </a:ln>
                      </wps:spPr>
                      <wps:txbx>
                        <w:txbxContent>
                          <w:p w14:paraId="4B6AA429" w14:textId="32DCB6E7" w:rsidR="00B33B9E" w:rsidRDefault="00B33B9E" w:rsidP="00DF6833">
                            <w:pPr>
                              <w:spacing w:after="100" w:line="256" w:lineRule="auto"/>
                              <w:rPr>
                                <w:rFonts w:cs="Arial"/>
                                <w:sz w:val="20"/>
                                <w:szCs w:val="20"/>
                                <w:lang w:val="en-CA" w:eastAsia="en-GB"/>
                              </w:rPr>
                            </w:pPr>
                            <w:r>
                              <w:rPr>
                                <w:rFonts w:cs="Arial"/>
                                <w:sz w:val="20"/>
                                <w:szCs w:val="20"/>
                                <w:lang w:val="en-CA" w:eastAsia="en-GB"/>
                              </w:rPr>
                              <w:t xml:space="preserve">The indicator methodology and underlying data are published at: </w:t>
                            </w:r>
                            <w:hyperlink r:id="rId64" w:history="1">
                              <w:r>
                                <w:rPr>
                                  <w:rStyle w:val="Hyperlink"/>
                                  <w:rFonts w:cs="Arial"/>
                                  <w:sz w:val="20"/>
                                  <w:szCs w:val="20"/>
                                  <w:lang w:val="en-CA" w:eastAsia="en-GB"/>
                                </w:rPr>
                                <w:t>https://hub.jncc.gov.uk/assets/91efc19d-f675-426f-9333-ed0195cc729d</w:t>
                              </w:r>
                            </w:hyperlink>
                            <w:r>
                              <w:rPr>
                                <w:rFonts w:cs="Arial"/>
                                <w:sz w:val="20"/>
                                <w:szCs w:val="20"/>
                                <w:lang w:val="en-CA" w:eastAsia="en-GB"/>
                              </w:rPr>
                              <w:t xml:space="preserve"> and </w:t>
                            </w:r>
                            <w:hyperlink r:id="rId65" w:anchor="data" w:history="1">
                              <w:r>
                                <w:rPr>
                                  <w:rStyle w:val="Hyperlink"/>
                                  <w:rFonts w:cs="Arial"/>
                                  <w:sz w:val="20"/>
                                  <w:szCs w:val="20"/>
                                  <w:lang w:val="en-CA" w:eastAsia="en-GB"/>
                                </w:rPr>
                                <w:t>https://commodityfootprints.earth/#data</w:t>
                              </w:r>
                            </w:hyperlink>
                            <w:r>
                              <w:rPr>
                                <w:rFonts w:cs="Arial"/>
                                <w:sz w:val="20"/>
                                <w:szCs w:val="20"/>
                                <w:lang w:val="en-CA" w:eastAsia="en-GB"/>
                              </w:rPr>
                              <w:t xml:space="preserve"> These were produced following the UK’s Code of Practice for Statistics and the relevant review processes required by this. Croft </w:t>
                            </w:r>
                            <w:r w:rsidRPr="00142E27">
                              <w:rPr>
                                <w:rFonts w:cs="Arial"/>
                                <w:i/>
                                <w:iCs/>
                                <w:sz w:val="20"/>
                                <w:szCs w:val="20"/>
                                <w:lang w:val="en-CA" w:eastAsia="en-GB"/>
                              </w:rPr>
                              <w:t>et al.</w:t>
                            </w:r>
                            <w:r w:rsidR="00142E27">
                              <w:rPr>
                                <w:rFonts w:cs="Arial"/>
                                <w:i/>
                                <w:iCs/>
                                <w:sz w:val="20"/>
                                <w:szCs w:val="20"/>
                                <w:lang w:val="en-CA" w:eastAsia="en-GB"/>
                              </w:rPr>
                              <w:t>,</w:t>
                            </w:r>
                            <w:r>
                              <w:rPr>
                                <w:rFonts w:cs="Arial"/>
                                <w:sz w:val="20"/>
                                <w:szCs w:val="20"/>
                                <w:lang w:val="en-CA" w:eastAsia="en-GB"/>
                              </w:rPr>
                              <w:t xml:space="preserve"> 2018 provides a peer-reviewed methodological summary of the core techniques used to generate this data.</w:t>
                            </w:r>
                            <w:r w:rsidR="006A77CF">
                              <w:rPr>
                                <w:rFonts w:cs="Arial"/>
                                <w:sz w:val="20"/>
                                <w:szCs w:val="20"/>
                                <w:lang w:val="en-CA" w:eastAsia="en-GB"/>
                              </w:rPr>
                              <w:t xml:space="preserve"> Additional articles linked to indicator development, in</w:t>
                            </w:r>
                            <w:r w:rsidR="00A85A7F">
                              <w:rPr>
                                <w:rFonts w:cs="Arial"/>
                                <w:sz w:val="20"/>
                                <w:szCs w:val="20"/>
                                <w:lang w:val="en-CA" w:eastAsia="en-GB"/>
                              </w:rPr>
                              <w:t>t</w:t>
                            </w:r>
                            <w:r w:rsidR="006A77CF">
                              <w:rPr>
                                <w:rFonts w:cs="Arial"/>
                                <w:sz w:val="20"/>
                                <w:szCs w:val="20"/>
                                <w:lang w:val="en-CA" w:eastAsia="en-GB"/>
                              </w:rPr>
                              <w:t xml:space="preserve">ended for peer-reviewed publication, are </w:t>
                            </w:r>
                            <w:r w:rsidR="00EF545E">
                              <w:rPr>
                                <w:rFonts w:cs="Arial"/>
                                <w:sz w:val="20"/>
                                <w:szCs w:val="20"/>
                                <w:lang w:val="en-CA" w:eastAsia="en-GB"/>
                              </w:rPr>
                              <w:t>under preparation</w:t>
                            </w:r>
                            <w:r w:rsidR="006A77CF">
                              <w:rPr>
                                <w:rFonts w:cs="Arial"/>
                                <w:sz w:val="20"/>
                                <w:szCs w:val="20"/>
                                <w:lang w:val="en-CA" w:eastAsia="en-GB"/>
                              </w:rPr>
                              <w:t xml:space="preserve">. </w:t>
                            </w:r>
                          </w:p>
                          <w:p w14:paraId="55289CC6" w14:textId="249453B9" w:rsidR="00B33B9E" w:rsidRDefault="00B33B9E" w:rsidP="00DF6833">
                            <w:pPr>
                              <w:spacing w:after="100" w:line="256" w:lineRule="auto"/>
                              <w:rPr>
                                <w:rFonts w:cs="Arial"/>
                                <w:sz w:val="18"/>
                                <w:szCs w:val="18"/>
                                <w:lang w:val="en-CA" w:eastAsia="en-GB"/>
                              </w:rPr>
                            </w:pPr>
                            <w:r>
                              <w:rPr>
                                <w:rFonts w:cs="Arial"/>
                                <w:sz w:val="20"/>
                                <w:szCs w:val="20"/>
                                <w:lang w:val="en-CA" w:eastAsia="en-GB"/>
                              </w:rPr>
                              <w:t xml:space="preserve">Much of the underlying methodology that is brought together into the overall indicator framework (Croft </w:t>
                            </w:r>
                            <w:r w:rsidRPr="00142E27">
                              <w:rPr>
                                <w:rFonts w:cs="Arial"/>
                                <w:i/>
                                <w:iCs/>
                                <w:sz w:val="20"/>
                                <w:szCs w:val="20"/>
                                <w:lang w:val="en-CA" w:eastAsia="en-GB"/>
                              </w:rPr>
                              <w:t>et al</w:t>
                            </w:r>
                            <w:r w:rsidR="00142E27">
                              <w:rPr>
                                <w:rFonts w:cs="Arial"/>
                                <w:i/>
                                <w:iCs/>
                                <w:sz w:val="20"/>
                                <w:szCs w:val="20"/>
                                <w:lang w:val="en-CA" w:eastAsia="en-GB"/>
                              </w:rPr>
                              <w:t>.</w:t>
                            </w:r>
                            <w:r w:rsidRPr="00142E27">
                              <w:rPr>
                                <w:rFonts w:cs="Arial"/>
                                <w:i/>
                                <w:iCs/>
                                <w:sz w:val="20"/>
                                <w:szCs w:val="20"/>
                                <w:lang w:val="en-CA" w:eastAsia="en-GB"/>
                              </w:rPr>
                              <w:t>,</w:t>
                            </w:r>
                            <w:r>
                              <w:rPr>
                                <w:rFonts w:cs="Arial"/>
                                <w:sz w:val="20"/>
                                <w:szCs w:val="20"/>
                                <w:lang w:val="en-CA" w:eastAsia="en-GB"/>
                              </w:rPr>
                              <w:t xml:space="preserve"> 2018; Pendrill </w:t>
                            </w:r>
                            <w:r w:rsidRPr="00142E27">
                              <w:rPr>
                                <w:rFonts w:cs="Arial"/>
                                <w:i/>
                                <w:iCs/>
                                <w:sz w:val="20"/>
                                <w:szCs w:val="20"/>
                                <w:lang w:val="en-CA" w:eastAsia="en-GB"/>
                              </w:rPr>
                              <w:t>et al</w:t>
                            </w:r>
                            <w:r w:rsidR="00142E27">
                              <w:rPr>
                                <w:rFonts w:cs="Arial"/>
                                <w:i/>
                                <w:iCs/>
                                <w:sz w:val="20"/>
                                <w:szCs w:val="20"/>
                                <w:lang w:val="en-CA" w:eastAsia="en-GB"/>
                              </w:rPr>
                              <w:t>.</w:t>
                            </w:r>
                            <w:r>
                              <w:rPr>
                                <w:rFonts w:cs="Arial"/>
                                <w:sz w:val="20"/>
                                <w:szCs w:val="20"/>
                                <w:lang w:val="en-CA" w:eastAsia="en-GB"/>
                              </w:rPr>
                              <w:t xml:space="preserve">, 2019 </w:t>
                            </w:r>
                            <w:r>
                              <w:rPr>
                                <w:rFonts w:cs="Arial"/>
                                <w:sz w:val="20"/>
                                <w:szCs w:val="20"/>
                                <w:lang w:val="en-CA" w:eastAsia="en-GB"/>
                              </w:rPr>
                              <w:t xml:space="preserve">a,b; Chaudhary and Kastner, 2016; Boulay </w:t>
                            </w:r>
                            <w:r w:rsidRPr="00506684">
                              <w:rPr>
                                <w:rFonts w:cs="Arial"/>
                                <w:i/>
                                <w:iCs/>
                                <w:sz w:val="20"/>
                                <w:szCs w:val="20"/>
                                <w:lang w:val="en-CA" w:eastAsia="en-GB"/>
                              </w:rPr>
                              <w:t>et al</w:t>
                            </w:r>
                            <w:r w:rsidR="00506684">
                              <w:rPr>
                                <w:rFonts w:cs="Arial"/>
                                <w:i/>
                                <w:iCs/>
                                <w:sz w:val="20"/>
                                <w:szCs w:val="20"/>
                                <w:lang w:val="en-CA" w:eastAsia="en-GB"/>
                              </w:rPr>
                              <w:t>.</w:t>
                            </w:r>
                            <w:r>
                              <w:rPr>
                                <w:rFonts w:cs="Arial"/>
                                <w:sz w:val="20"/>
                                <w:szCs w:val="20"/>
                                <w:lang w:val="en-CA" w:eastAsia="en-GB"/>
                              </w:rPr>
                              <w:t>, 2018) has been published in peer reviewed journals (see references section).</w:t>
                            </w:r>
                          </w:p>
                          <w:p w14:paraId="121336A4" w14:textId="77777777" w:rsidR="00B33B9E" w:rsidRDefault="00B33B9E" w:rsidP="00DF6833">
                            <w:pPr>
                              <w:rPr>
                                <w:rFonts w:cs="Arial"/>
                                <w:sz w:val="18"/>
                                <w:szCs w:val="18"/>
                                <w:lang w:val="en-CA" w:eastAsia="en-GB"/>
                              </w:rPr>
                            </w:pPr>
                          </w:p>
                        </w:txbxContent>
                      </wps:txbx>
                      <wps:bodyPr rot="0" vert="horz" wrap="square" lIns="91440" tIns="45720" rIns="91440" bIns="45720" anchor="t" anchorCtr="0" upright="1">
                        <a:noAutofit/>
                      </wps:bodyPr>
                    </wps:wsp>
                  </a:graphicData>
                </a:graphic>
              </wp:inline>
            </w:drawing>
          </mc:Choice>
          <mc:Fallback>
            <w:pict>
              <v:shape w14:anchorId="0A70F068" id="Text Box 55" o:spid="_x0000_s1034" type="#_x0000_t202" style="width:450.75pt;height:1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">
                <v:textbox>
                  <w:txbxContent>
                    <w:p w14:paraId="4B6AA429" w14:textId="32DCB6E7" w:rsidR="00B33B9E" w:rsidRDefault="00B33B9E" w:rsidP="00DF6833">
                      <w:pPr>
                        <w:spacing w:after="100" w:line="256" w:lineRule="auto"/>
                        <w:rPr>
                          <w:rFonts w:cs="Arial"/>
                          <w:sz w:val="20"/>
                          <w:szCs w:val="20"/>
                          <w:lang w:val="en-CA" w:eastAsia="en-GB"/>
                        </w:rPr>
                      </w:pPr>
                      <w:r>
                        <w:rPr>
                          <w:rFonts w:cs="Arial"/>
                          <w:sz w:val="20"/>
                          <w:szCs w:val="20"/>
                          <w:lang w:val="en-CA" w:eastAsia="en-GB"/>
                        </w:rPr>
                        <w:t xml:space="preserve">The indicator methodology and underlying data are published at: </w:t>
                      </w:r>
                      <w:hyperlink r:id="rId66" w:history="1">
                        <w:r>
                          <w:rPr>
                            <w:rStyle w:val="Hyperlink"/>
                            <w:rFonts w:cs="Arial"/>
                            <w:sz w:val="20"/>
                            <w:szCs w:val="20"/>
                            <w:lang w:val="en-CA" w:eastAsia="en-GB"/>
                          </w:rPr>
                          <w:t>https://hub.jncc.gov.uk/assets/91efc19d-f675-426f-9333-ed0195cc729d</w:t>
                        </w:r>
                      </w:hyperlink>
                      <w:r>
                        <w:rPr>
                          <w:rFonts w:cs="Arial"/>
                          <w:sz w:val="20"/>
                          <w:szCs w:val="20"/>
                          <w:lang w:val="en-CA" w:eastAsia="en-GB"/>
                        </w:rPr>
                        <w:t xml:space="preserve"> and </w:t>
                      </w:r>
                      <w:hyperlink r:id="rId67" w:anchor="data" w:history="1">
                        <w:r>
                          <w:rPr>
                            <w:rStyle w:val="Hyperlink"/>
                            <w:rFonts w:cs="Arial"/>
                            <w:sz w:val="20"/>
                            <w:szCs w:val="20"/>
                            <w:lang w:val="en-CA" w:eastAsia="en-GB"/>
                          </w:rPr>
                          <w:t>https://commodityfootprints.earth/#data</w:t>
                        </w:r>
                      </w:hyperlink>
                      <w:r>
                        <w:rPr>
                          <w:rFonts w:cs="Arial"/>
                          <w:sz w:val="20"/>
                          <w:szCs w:val="20"/>
                          <w:lang w:val="en-CA" w:eastAsia="en-GB"/>
                        </w:rPr>
                        <w:t xml:space="preserve"> These were produced following the UK’s Code of Practice for Statistics and the relevant review processes required by this. Croft </w:t>
                      </w:r>
                      <w:r w:rsidRPr="00142E27">
                        <w:rPr>
                          <w:rFonts w:cs="Arial"/>
                          <w:i/>
                          <w:iCs/>
                          <w:sz w:val="20"/>
                          <w:szCs w:val="20"/>
                          <w:lang w:val="en-CA" w:eastAsia="en-GB"/>
                        </w:rPr>
                        <w:t>et al.</w:t>
                      </w:r>
                      <w:r w:rsidR="00142E27">
                        <w:rPr>
                          <w:rFonts w:cs="Arial"/>
                          <w:i/>
                          <w:iCs/>
                          <w:sz w:val="20"/>
                          <w:szCs w:val="20"/>
                          <w:lang w:val="en-CA" w:eastAsia="en-GB"/>
                        </w:rPr>
                        <w:t>,</w:t>
                      </w:r>
                      <w:r>
                        <w:rPr>
                          <w:rFonts w:cs="Arial"/>
                          <w:sz w:val="20"/>
                          <w:szCs w:val="20"/>
                          <w:lang w:val="en-CA" w:eastAsia="en-GB"/>
                        </w:rPr>
                        <w:t xml:space="preserve"> 2018 provides a peer-reviewed methodological summary of the core techniques used to generate this data.</w:t>
                      </w:r>
                      <w:r w:rsidR="006A77CF">
                        <w:rPr>
                          <w:rFonts w:cs="Arial"/>
                          <w:sz w:val="20"/>
                          <w:szCs w:val="20"/>
                          <w:lang w:val="en-CA" w:eastAsia="en-GB"/>
                        </w:rPr>
                        <w:t xml:space="preserve"> Additional articles linked to indicator development, in</w:t>
                      </w:r>
                      <w:r w:rsidR="00A85A7F">
                        <w:rPr>
                          <w:rFonts w:cs="Arial"/>
                          <w:sz w:val="20"/>
                          <w:szCs w:val="20"/>
                          <w:lang w:val="en-CA" w:eastAsia="en-GB"/>
                        </w:rPr>
                        <w:t>t</w:t>
                      </w:r>
                      <w:r w:rsidR="006A77CF">
                        <w:rPr>
                          <w:rFonts w:cs="Arial"/>
                          <w:sz w:val="20"/>
                          <w:szCs w:val="20"/>
                          <w:lang w:val="en-CA" w:eastAsia="en-GB"/>
                        </w:rPr>
                        <w:t xml:space="preserve">ended for peer-reviewed publication, are </w:t>
                      </w:r>
                      <w:r w:rsidR="00EF545E">
                        <w:rPr>
                          <w:rFonts w:cs="Arial"/>
                          <w:sz w:val="20"/>
                          <w:szCs w:val="20"/>
                          <w:lang w:val="en-CA" w:eastAsia="en-GB"/>
                        </w:rPr>
                        <w:t>under preparation</w:t>
                      </w:r>
                      <w:r w:rsidR="006A77CF">
                        <w:rPr>
                          <w:rFonts w:cs="Arial"/>
                          <w:sz w:val="20"/>
                          <w:szCs w:val="20"/>
                          <w:lang w:val="en-CA" w:eastAsia="en-GB"/>
                        </w:rPr>
                        <w:t xml:space="preserve">. </w:t>
                      </w:r>
                    </w:p>
                    <w:p w14:paraId="55289CC6" w14:textId="249453B9" w:rsidR="00B33B9E" w:rsidRDefault="00B33B9E" w:rsidP="00DF6833">
                      <w:pPr>
                        <w:spacing w:after="100" w:line="256" w:lineRule="auto"/>
                        <w:rPr>
                          <w:rFonts w:cs="Arial"/>
                          <w:sz w:val="18"/>
                          <w:szCs w:val="18"/>
                          <w:lang w:val="en-CA" w:eastAsia="en-GB"/>
                        </w:rPr>
                      </w:pPr>
                      <w:r>
                        <w:rPr>
                          <w:rFonts w:cs="Arial"/>
                          <w:sz w:val="20"/>
                          <w:szCs w:val="20"/>
                          <w:lang w:val="en-CA" w:eastAsia="en-GB"/>
                        </w:rPr>
                        <w:t xml:space="preserve">Much of the underlying methodology that is brought together into the overall indicator framework (Croft </w:t>
                      </w:r>
                      <w:r w:rsidRPr="00142E27">
                        <w:rPr>
                          <w:rFonts w:cs="Arial"/>
                          <w:i/>
                          <w:iCs/>
                          <w:sz w:val="20"/>
                          <w:szCs w:val="20"/>
                          <w:lang w:val="en-CA" w:eastAsia="en-GB"/>
                        </w:rPr>
                        <w:t>et al</w:t>
                      </w:r>
                      <w:r w:rsidR="00142E27">
                        <w:rPr>
                          <w:rFonts w:cs="Arial"/>
                          <w:i/>
                          <w:iCs/>
                          <w:sz w:val="20"/>
                          <w:szCs w:val="20"/>
                          <w:lang w:val="en-CA" w:eastAsia="en-GB"/>
                        </w:rPr>
                        <w:t>.</w:t>
                      </w:r>
                      <w:r w:rsidRPr="00142E27">
                        <w:rPr>
                          <w:rFonts w:cs="Arial"/>
                          <w:i/>
                          <w:iCs/>
                          <w:sz w:val="20"/>
                          <w:szCs w:val="20"/>
                          <w:lang w:val="en-CA" w:eastAsia="en-GB"/>
                        </w:rPr>
                        <w:t>,</w:t>
                      </w:r>
                      <w:r>
                        <w:rPr>
                          <w:rFonts w:cs="Arial"/>
                          <w:sz w:val="20"/>
                          <w:szCs w:val="20"/>
                          <w:lang w:val="en-CA" w:eastAsia="en-GB"/>
                        </w:rPr>
                        <w:t xml:space="preserve"> 2018; Pendrill </w:t>
                      </w:r>
                      <w:r w:rsidRPr="00142E27">
                        <w:rPr>
                          <w:rFonts w:cs="Arial"/>
                          <w:i/>
                          <w:iCs/>
                          <w:sz w:val="20"/>
                          <w:szCs w:val="20"/>
                          <w:lang w:val="en-CA" w:eastAsia="en-GB"/>
                        </w:rPr>
                        <w:t>et al</w:t>
                      </w:r>
                      <w:r w:rsidR="00142E27">
                        <w:rPr>
                          <w:rFonts w:cs="Arial"/>
                          <w:i/>
                          <w:iCs/>
                          <w:sz w:val="20"/>
                          <w:szCs w:val="20"/>
                          <w:lang w:val="en-CA" w:eastAsia="en-GB"/>
                        </w:rPr>
                        <w:t>.</w:t>
                      </w:r>
                      <w:r>
                        <w:rPr>
                          <w:rFonts w:cs="Arial"/>
                          <w:sz w:val="20"/>
                          <w:szCs w:val="20"/>
                          <w:lang w:val="en-CA" w:eastAsia="en-GB"/>
                        </w:rPr>
                        <w:t xml:space="preserve">, 2019 </w:t>
                      </w:r>
                      <w:r>
                        <w:rPr>
                          <w:rFonts w:cs="Arial"/>
                          <w:sz w:val="20"/>
                          <w:szCs w:val="20"/>
                          <w:lang w:val="en-CA" w:eastAsia="en-GB"/>
                        </w:rPr>
                        <w:t xml:space="preserve">a,b; Chaudhary and Kastner, 2016; Boulay </w:t>
                      </w:r>
                      <w:r w:rsidRPr="00506684">
                        <w:rPr>
                          <w:rFonts w:cs="Arial"/>
                          <w:i/>
                          <w:iCs/>
                          <w:sz w:val="20"/>
                          <w:szCs w:val="20"/>
                          <w:lang w:val="en-CA" w:eastAsia="en-GB"/>
                        </w:rPr>
                        <w:t>et al</w:t>
                      </w:r>
                      <w:r w:rsidR="00506684">
                        <w:rPr>
                          <w:rFonts w:cs="Arial"/>
                          <w:i/>
                          <w:iCs/>
                          <w:sz w:val="20"/>
                          <w:szCs w:val="20"/>
                          <w:lang w:val="en-CA" w:eastAsia="en-GB"/>
                        </w:rPr>
                        <w:t>.</w:t>
                      </w:r>
                      <w:r>
                        <w:rPr>
                          <w:rFonts w:cs="Arial"/>
                          <w:sz w:val="20"/>
                          <w:szCs w:val="20"/>
                          <w:lang w:val="en-CA" w:eastAsia="en-GB"/>
                        </w:rPr>
                        <w:t>, 2018) has been published in peer reviewed journals (see references section).</w:t>
                      </w:r>
                    </w:p>
                    <w:p w14:paraId="121336A4" w14:textId="77777777" w:rsidR="00B33B9E" w:rsidRDefault="00B33B9E" w:rsidP="00DF6833">
                      <w:pPr>
                        <w:rPr>
                          <w:rFonts w:cs="Arial"/>
                          <w:sz w:val="18"/>
                          <w:szCs w:val="18"/>
                          <w:lang w:val="en-CA" w:eastAsia="en-GB"/>
                        </w:rPr>
                      </w:pPr>
                    </w:p>
                  </w:txbxContent>
                </v:textbox>
                <w10:anchorlock/>
              </v:shape>
            </w:pict>
          </mc:Fallback>
        </mc:AlternateContent>
      </w:r>
    </w:p>
    <w:p w14:paraId="6F6544A8" w14:textId="77777777" w:rsidR="00DF6833" w:rsidRDefault="00DF6833" w:rsidP="00DF6833">
      <w:pPr>
        <w:spacing w:after="200"/>
        <w:rPr>
          <w:rFonts w:eastAsia="Calibri" w:cs="Arial"/>
          <w:b/>
          <w:bCs/>
          <w:sz w:val="20"/>
          <w:szCs w:val="20"/>
        </w:rPr>
      </w:pPr>
      <w:r>
        <w:rPr>
          <w:rFonts w:eastAsia="Calibri" w:cs="Arial"/>
          <w:b/>
          <w:bCs/>
          <w:sz w:val="20"/>
          <w:szCs w:val="20"/>
        </w:rPr>
        <w:br w:type="page"/>
      </w:r>
    </w:p>
    <w:p w14:paraId="1B07E26F" w14:textId="77777777" w:rsidR="00DF6833" w:rsidRDefault="00DF6833" w:rsidP="00DF6833">
      <w:pPr>
        <w:spacing w:after="100"/>
        <w:rPr>
          <w:rFonts w:eastAsia="Calibri" w:cs="Arial"/>
          <w:b/>
          <w:bCs/>
          <w:sz w:val="20"/>
          <w:szCs w:val="20"/>
        </w:rPr>
      </w:pPr>
      <w:r>
        <w:rPr>
          <w:rFonts w:eastAsia="Calibri" w:cs="Arial"/>
          <w:b/>
          <w:bCs/>
          <w:sz w:val="20"/>
          <w:szCs w:val="20"/>
        </w:rPr>
        <w:lastRenderedPageBreak/>
        <w:t>5.e Data sources</w:t>
      </w:r>
    </w:p>
    <w:p w14:paraId="18868A7A" w14:textId="2D50D843" w:rsidR="00DF6833" w:rsidRDefault="00DF6833" w:rsidP="00DF6833">
      <w:pPr>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29C37F54" wp14:editId="72957A82">
                <wp:extent cx="5762625" cy="1750695"/>
                <wp:effectExtent l="0" t="0" r="28575" b="20955"/>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750695"/>
                        </a:xfrm>
                        <a:prstGeom prst="rect">
                          <a:avLst/>
                        </a:prstGeom>
                        <a:solidFill>
                          <a:srgbClr val="FFFFFF"/>
                        </a:solidFill>
                        <a:ln w="9525">
                          <a:solidFill>
                            <a:srgbClr val="000000"/>
                          </a:solidFill>
                          <a:miter lim="800000"/>
                          <a:headEnd/>
                          <a:tailEnd/>
                        </a:ln>
                      </wps:spPr>
                      <wps:txbx>
                        <w:txbxContent>
                          <w:p w14:paraId="0623FBD6" w14:textId="77D604E7" w:rsidR="00B33B9E" w:rsidRDefault="00B33B9E" w:rsidP="00DF6833">
                            <w:pPr>
                              <w:rPr>
                                <w:rFonts w:eastAsia="Times New Roman" w:cs="Arial"/>
                                <w:sz w:val="20"/>
                                <w:szCs w:val="20"/>
                                <w:lang w:eastAsia="en-GB"/>
                              </w:rPr>
                            </w:pPr>
                            <w:r>
                              <w:rPr>
                                <w:rFonts w:eastAsia="Times New Roman" w:cs="Arial"/>
                                <w:sz w:val="20"/>
                                <w:szCs w:val="20"/>
                                <w:lang w:eastAsia="en-GB"/>
                              </w:rPr>
                              <w:t xml:space="preserve">Initial data are available now from </w:t>
                            </w:r>
                            <w:hyperlink r:id="rId68" w:history="1">
                              <w:r>
                                <w:rPr>
                                  <w:rStyle w:val="Hyperlink"/>
                                  <w:rFonts w:eastAsia="Times New Roman" w:cs="Arial"/>
                                  <w:sz w:val="20"/>
                                  <w:szCs w:val="20"/>
                                  <w:lang w:eastAsia="en-GB"/>
                                </w:rPr>
                                <w:t>https://www.commodityfootprints.earth/</w:t>
                              </w:r>
                            </w:hyperlink>
                            <w:r>
                              <w:rPr>
                                <w:rStyle w:val="Hyperlink"/>
                                <w:rFonts w:eastAsia="Times New Roman" w:cs="Arial"/>
                                <w:sz w:val="20"/>
                                <w:szCs w:val="20"/>
                                <w:lang w:eastAsia="en-GB"/>
                              </w:rPr>
                              <w:t>.</w:t>
                            </w:r>
                            <w:r>
                              <w:rPr>
                                <w:rFonts w:eastAsia="Times New Roman" w:cs="Arial"/>
                                <w:sz w:val="20"/>
                                <w:szCs w:val="20"/>
                                <w:lang w:eastAsia="en-GB"/>
                              </w:rPr>
                              <w:t xml:space="preserve"> It is planned that the indicator will continue to undergo development </w:t>
                            </w:r>
                            <w:r w:rsidR="001A3224">
                              <w:rPr>
                                <w:rFonts w:eastAsia="Times New Roman" w:cs="Arial"/>
                                <w:sz w:val="20"/>
                                <w:szCs w:val="20"/>
                                <w:lang w:eastAsia="en-GB"/>
                              </w:rPr>
                              <w:t>over the next two years</w:t>
                            </w:r>
                            <w:r>
                              <w:rPr>
                                <w:rFonts w:eastAsia="Times New Roman" w:cs="Arial"/>
                                <w:sz w:val="20"/>
                                <w:szCs w:val="20"/>
                                <w:lang w:eastAsia="en-GB"/>
                              </w:rPr>
                              <w:t xml:space="preserve">. This development will include improving understanding of which biodiversity metric(s) and data are most appropriate to combine with the economic data (i.e., the current metrics of species loss and species weighted hectares may change) and further disaggregation of ‘rest of world’ regions to national level data. It will also include exploring the potential to add </w:t>
                            </w:r>
                            <w:r w:rsidR="00DD5A82">
                              <w:rPr>
                                <w:rFonts w:eastAsia="Times New Roman" w:cs="Arial"/>
                                <w:sz w:val="20"/>
                                <w:szCs w:val="20"/>
                                <w:lang w:eastAsia="en-GB"/>
                              </w:rPr>
                              <w:t xml:space="preserve">data from all forest types (to be able to report on deforestation beyond that in tropical areas), </w:t>
                            </w:r>
                            <w:r>
                              <w:rPr>
                                <w:rFonts w:eastAsia="Times New Roman" w:cs="Arial"/>
                                <w:sz w:val="20"/>
                                <w:szCs w:val="20"/>
                                <w:lang w:eastAsia="en-GB"/>
                              </w:rPr>
                              <w:t>further sectors (</w:t>
                            </w:r>
                            <w:r>
                              <w:rPr>
                                <w:rFonts w:eastAsia="Times New Roman" w:cs="Arial"/>
                                <w:sz w:val="20"/>
                                <w:szCs w:val="20"/>
                                <w:lang w:eastAsia="en-GB"/>
                              </w:rPr>
                              <w:t xml:space="preserve">e.g. metals / mining), further metrics (e.g. N and P pollution) and finer geographic resolution production data (to improve accuracy). There is a time lag in the data due to the underlying economic data, with the latest year available at the point of publishing in 2021 being 2017 (2018 data are due to be made available in the 2022 update). </w:t>
                            </w:r>
                            <w:bookmarkStart w:id="6" w:name="_Hlk111795757"/>
                            <w:r w:rsidR="00CC3C50">
                              <w:rPr>
                                <w:rFonts w:eastAsia="Times New Roman" w:cs="Arial"/>
                                <w:sz w:val="20"/>
                                <w:szCs w:val="20"/>
                                <w:lang w:eastAsia="en-GB"/>
                              </w:rPr>
                              <w:t>The indicator</w:t>
                            </w:r>
                            <w:r>
                              <w:rPr>
                                <w:rFonts w:eastAsia="Times New Roman" w:cs="Arial"/>
                                <w:sz w:val="20"/>
                                <w:szCs w:val="20"/>
                                <w:lang w:eastAsia="en-GB"/>
                              </w:rPr>
                              <w:t xml:space="preserve"> will be updated annually.</w:t>
                            </w:r>
                          </w:p>
                          <w:bookmarkEnd w:id="6"/>
                          <w:p w14:paraId="2D80F472" w14:textId="77777777" w:rsidR="00B33B9E" w:rsidRDefault="00B33B9E" w:rsidP="00DF6833">
                            <w:pPr>
                              <w:rPr>
                                <w:rFonts w:eastAsia="Times New Roman" w:cs="Arial"/>
                                <w:sz w:val="20"/>
                                <w:szCs w:val="20"/>
                                <w:lang w:eastAsia="en-GB"/>
                              </w:rPr>
                            </w:pPr>
                          </w:p>
                        </w:txbxContent>
                      </wps:txbx>
                      <wps:bodyPr rot="0" vert="horz" wrap="square" lIns="91440" tIns="45720" rIns="91440" bIns="45720" anchor="t" anchorCtr="0" upright="1">
                        <a:noAutofit/>
                      </wps:bodyPr>
                    </wps:wsp>
                  </a:graphicData>
                </a:graphic>
              </wp:inline>
            </w:drawing>
          </mc:Choice>
          <mc:Fallback>
            <w:pict>
              <v:shape w14:anchorId="29C37F54" id="Text Box 54" o:spid="_x0000_s1035" type="#_x0000_t202" style="width:453.75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">
                <v:textbox>
                  <w:txbxContent>
                    <w:p w14:paraId="0623FBD6" w14:textId="77D604E7" w:rsidR="00B33B9E" w:rsidRDefault="00B33B9E" w:rsidP="00DF6833">
                      <w:pPr>
                        <w:rPr>
                          <w:rFonts w:eastAsia="Times New Roman" w:cs="Arial"/>
                          <w:sz w:val="20"/>
                          <w:szCs w:val="20"/>
                          <w:lang w:eastAsia="en-GB"/>
                        </w:rPr>
                      </w:pPr>
                      <w:r>
                        <w:rPr>
                          <w:rFonts w:eastAsia="Times New Roman" w:cs="Arial"/>
                          <w:sz w:val="20"/>
                          <w:szCs w:val="20"/>
                          <w:lang w:eastAsia="en-GB"/>
                        </w:rPr>
                        <w:t xml:space="preserve">Initial data are available now from </w:t>
                      </w:r>
                      <w:hyperlink r:id="rId69" w:history="1">
                        <w:r>
                          <w:rPr>
                            <w:rStyle w:val="Hyperlink"/>
                            <w:rFonts w:eastAsia="Times New Roman" w:cs="Arial"/>
                            <w:sz w:val="20"/>
                            <w:szCs w:val="20"/>
                            <w:lang w:eastAsia="en-GB"/>
                          </w:rPr>
                          <w:t>https://www.commodityfootprints.earth/</w:t>
                        </w:r>
                      </w:hyperlink>
                      <w:r>
                        <w:rPr>
                          <w:rStyle w:val="Hyperlink"/>
                          <w:rFonts w:eastAsia="Times New Roman" w:cs="Arial"/>
                          <w:sz w:val="20"/>
                          <w:szCs w:val="20"/>
                          <w:lang w:eastAsia="en-GB"/>
                        </w:rPr>
                        <w:t>.</w:t>
                      </w:r>
                      <w:r>
                        <w:rPr>
                          <w:rFonts w:eastAsia="Times New Roman" w:cs="Arial"/>
                          <w:sz w:val="20"/>
                          <w:szCs w:val="20"/>
                          <w:lang w:eastAsia="en-GB"/>
                        </w:rPr>
                        <w:t xml:space="preserve"> It is planned that the indicator will continue to undergo development </w:t>
                      </w:r>
                      <w:r w:rsidR="001A3224">
                        <w:rPr>
                          <w:rFonts w:eastAsia="Times New Roman" w:cs="Arial"/>
                          <w:sz w:val="20"/>
                          <w:szCs w:val="20"/>
                          <w:lang w:eastAsia="en-GB"/>
                        </w:rPr>
                        <w:t>over the next two years</w:t>
                      </w:r>
                      <w:r>
                        <w:rPr>
                          <w:rFonts w:eastAsia="Times New Roman" w:cs="Arial"/>
                          <w:sz w:val="20"/>
                          <w:szCs w:val="20"/>
                          <w:lang w:eastAsia="en-GB"/>
                        </w:rPr>
                        <w:t xml:space="preserve">. This development will include improving understanding of which biodiversity metric(s) and data are most appropriate to combine with the economic data (i.e., the current metrics of species loss and species weighted hectares may change) and further disaggregation of ‘rest of world’ regions to national level data. It will also include exploring the potential to add </w:t>
                      </w:r>
                      <w:r w:rsidR="00DD5A82">
                        <w:rPr>
                          <w:rFonts w:eastAsia="Times New Roman" w:cs="Arial"/>
                          <w:sz w:val="20"/>
                          <w:szCs w:val="20"/>
                          <w:lang w:eastAsia="en-GB"/>
                        </w:rPr>
                        <w:t xml:space="preserve">data from all forest types (to be able to report on deforestation beyond that in tropical areas), </w:t>
                      </w:r>
                      <w:r>
                        <w:rPr>
                          <w:rFonts w:eastAsia="Times New Roman" w:cs="Arial"/>
                          <w:sz w:val="20"/>
                          <w:szCs w:val="20"/>
                          <w:lang w:eastAsia="en-GB"/>
                        </w:rPr>
                        <w:t>further sectors (</w:t>
                      </w:r>
                      <w:r>
                        <w:rPr>
                          <w:rFonts w:eastAsia="Times New Roman" w:cs="Arial"/>
                          <w:sz w:val="20"/>
                          <w:szCs w:val="20"/>
                          <w:lang w:eastAsia="en-GB"/>
                        </w:rPr>
                        <w:t xml:space="preserve">e.g. metals / mining), further metrics (e.g. N and P pollution) and finer geographic resolution production data (to improve accuracy). There is a time lag in the data due to the underlying economic data, with the latest year available at the point of publishing in 2021 being 2017 (2018 data are due to be made available in the 2022 update). </w:t>
                      </w:r>
                      <w:bookmarkStart w:id="7" w:name="_Hlk111795757"/>
                      <w:r w:rsidR="00CC3C50">
                        <w:rPr>
                          <w:rFonts w:eastAsia="Times New Roman" w:cs="Arial"/>
                          <w:sz w:val="20"/>
                          <w:szCs w:val="20"/>
                          <w:lang w:eastAsia="en-GB"/>
                        </w:rPr>
                        <w:t>The indicator</w:t>
                      </w:r>
                      <w:r>
                        <w:rPr>
                          <w:rFonts w:eastAsia="Times New Roman" w:cs="Arial"/>
                          <w:sz w:val="20"/>
                          <w:szCs w:val="20"/>
                          <w:lang w:eastAsia="en-GB"/>
                        </w:rPr>
                        <w:t xml:space="preserve"> will be updated annually.</w:t>
                      </w:r>
                    </w:p>
                    <w:bookmarkEnd w:id="7"/>
                    <w:p w14:paraId="2D80F472" w14:textId="77777777" w:rsidR="00B33B9E" w:rsidRDefault="00B33B9E" w:rsidP="00DF6833">
                      <w:pPr>
                        <w:rPr>
                          <w:rFonts w:eastAsia="Times New Roman" w:cs="Arial"/>
                          <w:sz w:val="20"/>
                          <w:szCs w:val="20"/>
                          <w:lang w:eastAsia="en-GB"/>
                        </w:rPr>
                      </w:pPr>
                    </w:p>
                  </w:txbxContent>
                </v:textbox>
                <w10:anchorlock/>
              </v:shape>
            </w:pict>
          </mc:Fallback>
        </mc:AlternateContent>
      </w:r>
    </w:p>
    <w:p w14:paraId="7C7B2F1A" w14:textId="77777777" w:rsidR="00DF6833" w:rsidRDefault="00DF6833" w:rsidP="00DF6833">
      <w:pPr>
        <w:spacing w:after="100"/>
        <w:rPr>
          <w:rFonts w:eastAsia="Calibri" w:cs="Arial"/>
          <w:b/>
          <w:bCs/>
          <w:sz w:val="20"/>
          <w:szCs w:val="20"/>
        </w:rPr>
      </w:pPr>
      <w:r>
        <w:rPr>
          <w:rFonts w:eastAsia="Calibri" w:cs="Arial"/>
          <w:b/>
          <w:bCs/>
          <w:sz w:val="20"/>
          <w:szCs w:val="20"/>
        </w:rPr>
        <w:t>5.f Availability and release calendar</w:t>
      </w:r>
    </w:p>
    <w:p w14:paraId="1CCAEEE9" w14:textId="55DB4328" w:rsidR="00DF6833" w:rsidRDefault="00DF6833" w:rsidP="00DF6833">
      <w:pPr>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4BF8802C" wp14:editId="23C84A68">
                <wp:extent cx="5724525" cy="909955"/>
                <wp:effectExtent l="9525" t="9525" r="9525" b="1397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09955"/>
                        </a:xfrm>
                        <a:prstGeom prst="rect">
                          <a:avLst/>
                        </a:prstGeom>
                        <a:solidFill>
                          <a:srgbClr val="FFFFFF"/>
                        </a:solidFill>
                        <a:ln w="9525">
                          <a:solidFill>
                            <a:srgbClr val="000000"/>
                          </a:solidFill>
                          <a:miter lim="800000"/>
                          <a:headEnd/>
                          <a:tailEnd/>
                        </a:ln>
                      </wps:spPr>
                      <wps:txbx>
                        <w:txbxContent>
                          <w:p w14:paraId="472E79A1" w14:textId="666869DA" w:rsidR="00B33B9E" w:rsidRDefault="00B33B9E" w:rsidP="00DF6833">
                            <w:pPr>
                              <w:rPr>
                                <w:i/>
                                <w:iCs/>
                                <w:sz w:val="18"/>
                                <w:szCs w:val="18"/>
                              </w:rPr>
                            </w:pPr>
                            <w:r>
                              <w:rPr>
                                <w:rFonts w:eastAsia="Times New Roman" w:cs="Arial"/>
                                <w:sz w:val="20"/>
                                <w:szCs w:val="20"/>
                                <w:lang w:eastAsia="en-GB"/>
                              </w:rPr>
                              <w:t>A global dataset, providing indicator data for 44 countries</w:t>
                            </w:r>
                            <w:r w:rsidR="001A3224">
                              <w:rPr>
                                <w:rFonts w:eastAsia="Times New Roman" w:cs="Arial"/>
                                <w:sz w:val="20"/>
                                <w:szCs w:val="20"/>
                                <w:lang w:eastAsia="en-GB"/>
                              </w:rPr>
                              <w:t>/territories</w:t>
                            </w:r>
                            <w:r>
                              <w:rPr>
                                <w:rFonts w:eastAsia="Times New Roman" w:cs="Arial"/>
                                <w:sz w:val="20"/>
                                <w:szCs w:val="20"/>
                                <w:lang w:eastAsia="en-GB"/>
                              </w:rPr>
                              <w:t xml:space="preserve"> and 5 ‘rest of world’ regions (aggregations of remaining countries), is available from </w:t>
                            </w:r>
                            <w:hyperlink r:id="rId70" w:history="1">
                              <w:r>
                                <w:rPr>
                                  <w:rStyle w:val="Hyperlink"/>
                                  <w:rFonts w:eastAsia="Times New Roman" w:cs="Arial"/>
                                  <w:sz w:val="20"/>
                                  <w:szCs w:val="20"/>
                                  <w:lang w:eastAsia="en-GB"/>
                                </w:rPr>
                                <w:t>https://commodityfootprints.earth/</w:t>
                              </w:r>
                            </w:hyperlink>
                            <w:r>
                              <w:rPr>
                                <w:rFonts w:eastAsia="Times New Roman" w:cs="Arial"/>
                                <w:sz w:val="20"/>
                                <w:szCs w:val="20"/>
                                <w:lang w:eastAsia="en-GB"/>
                              </w:rPr>
                              <w:t xml:space="preserve"> Development work to update this to include </w:t>
                            </w:r>
                            <w:r w:rsidR="00530D3C">
                              <w:rPr>
                                <w:rFonts w:eastAsia="Times New Roman" w:cs="Arial"/>
                                <w:sz w:val="20"/>
                                <w:szCs w:val="20"/>
                                <w:lang w:eastAsia="en-GB"/>
                              </w:rPr>
                              <w:t xml:space="preserve">at least </w:t>
                            </w:r>
                            <w:hyperlink r:id="rId71" w:history="1">
                              <w:r>
                                <w:rPr>
                                  <w:rStyle w:val="Hyperlink"/>
                                  <w:rFonts w:eastAsia="Times New Roman" w:cs="Arial"/>
                                  <w:sz w:val="20"/>
                                  <w:szCs w:val="20"/>
                                  <w:lang w:eastAsia="en-GB"/>
                                </w:rPr>
                                <w:t>120 countries</w:t>
                              </w:r>
                              <w:r w:rsidR="00EF545E">
                                <w:rPr>
                                  <w:rStyle w:val="Hyperlink"/>
                                  <w:rFonts w:eastAsia="Times New Roman" w:cs="Arial"/>
                                  <w:sz w:val="20"/>
                                  <w:szCs w:val="20"/>
                                  <w:lang w:eastAsia="en-GB"/>
                                </w:rPr>
                                <w:t>/territories</w:t>
                              </w:r>
                              <w:r>
                                <w:rPr>
                                  <w:rStyle w:val="Hyperlink"/>
                                  <w:rFonts w:eastAsia="Times New Roman" w:cs="Arial"/>
                                  <w:sz w:val="20"/>
                                  <w:szCs w:val="20"/>
                                  <w:lang w:eastAsia="en-GB"/>
                                </w:rPr>
                                <w:t xml:space="preserve"> and 20 ‘rest of world’</w:t>
                              </w:r>
                            </w:hyperlink>
                            <w:r>
                              <w:rPr>
                                <w:rFonts w:eastAsia="Times New Roman" w:cs="Arial"/>
                                <w:sz w:val="20"/>
                                <w:szCs w:val="20"/>
                                <w:lang w:eastAsia="en-GB"/>
                              </w:rPr>
                              <w:t xml:space="preserve"> regions is underway. Underlying data that feed into this dataset is available from the sources listed in sections 5 a and b of this metadata sheet.</w:t>
                            </w:r>
                          </w:p>
                          <w:p w14:paraId="5CFCE283" w14:textId="77777777" w:rsidR="00B33B9E" w:rsidRDefault="00B33B9E" w:rsidP="00DF6833">
                            <w:pPr>
                              <w:rPr>
                                <w:i/>
                                <w:iCs/>
                                <w:sz w:val="18"/>
                                <w:szCs w:val="18"/>
                              </w:rPr>
                            </w:pPr>
                          </w:p>
                        </w:txbxContent>
                      </wps:txbx>
                      <wps:bodyPr rot="0" vert="horz" wrap="square" lIns="91440" tIns="45720" rIns="91440" bIns="45720" anchor="t" anchorCtr="0" upright="1">
                        <a:noAutofit/>
                      </wps:bodyPr>
                    </wps:wsp>
                  </a:graphicData>
                </a:graphic>
              </wp:inline>
            </w:drawing>
          </mc:Choice>
          <mc:Fallback>
            <w:pict>
              <v:shape w14:anchorId="4BF8802C" id="Text Box 53" o:spid="_x0000_s1036" type="#_x0000_t202" style="width:450.75pt;height:7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">
                <v:textbox>
                  <w:txbxContent>
                    <w:p w14:paraId="472E79A1" w14:textId="666869DA" w:rsidR="00B33B9E" w:rsidRDefault="00B33B9E" w:rsidP="00DF6833">
                      <w:pPr>
                        <w:rPr>
                          <w:i/>
                          <w:iCs/>
                          <w:sz w:val="18"/>
                          <w:szCs w:val="18"/>
                        </w:rPr>
                      </w:pPr>
                      <w:r>
                        <w:rPr>
                          <w:rFonts w:eastAsia="Times New Roman" w:cs="Arial"/>
                          <w:sz w:val="20"/>
                          <w:szCs w:val="20"/>
                          <w:lang w:eastAsia="en-GB"/>
                        </w:rPr>
                        <w:t>A global dataset, providing indicator data for 44 countries</w:t>
                      </w:r>
                      <w:r w:rsidR="001A3224">
                        <w:rPr>
                          <w:rFonts w:eastAsia="Times New Roman" w:cs="Arial"/>
                          <w:sz w:val="20"/>
                          <w:szCs w:val="20"/>
                          <w:lang w:eastAsia="en-GB"/>
                        </w:rPr>
                        <w:t>/territories</w:t>
                      </w:r>
                      <w:r>
                        <w:rPr>
                          <w:rFonts w:eastAsia="Times New Roman" w:cs="Arial"/>
                          <w:sz w:val="20"/>
                          <w:szCs w:val="20"/>
                          <w:lang w:eastAsia="en-GB"/>
                        </w:rPr>
                        <w:t xml:space="preserve"> and 5 ‘rest of world’ regions (aggregations of remaining countries), is available from </w:t>
                      </w:r>
                      <w:hyperlink r:id="rId72" w:history="1">
                        <w:r>
                          <w:rPr>
                            <w:rStyle w:val="Hyperlink"/>
                            <w:rFonts w:eastAsia="Times New Roman" w:cs="Arial"/>
                            <w:sz w:val="20"/>
                            <w:szCs w:val="20"/>
                            <w:lang w:eastAsia="en-GB"/>
                          </w:rPr>
                          <w:t>https://commodityfootprints.earth/</w:t>
                        </w:r>
                      </w:hyperlink>
                      <w:r>
                        <w:rPr>
                          <w:rFonts w:eastAsia="Times New Roman" w:cs="Arial"/>
                          <w:sz w:val="20"/>
                          <w:szCs w:val="20"/>
                          <w:lang w:eastAsia="en-GB"/>
                        </w:rPr>
                        <w:t xml:space="preserve"> Development work to update this to include </w:t>
                      </w:r>
                      <w:r w:rsidR="00530D3C">
                        <w:rPr>
                          <w:rFonts w:eastAsia="Times New Roman" w:cs="Arial"/>
                          <w:sz w:val="20"/>
                          <w:szCs w:val="20"/>
                          <w:lang w:eastAsia="en-GB"/>
                        </w:rPr>
                        <w:t xml:space="preserve">at least </w:t>
                      </w:r>
                      <w:hyperlink r:id="rId73" w:history="1">
                        <w:r>
                          <w:rPr>
                            <w:rStyle w:val="Hyperlink"/>
                            <w:rFonts w:eastAsia="Times New Roman" w:cs="Arial"/>
                            <w:sz w:val="20"/>
                            <w:szCs w:val="20"/>
                            <w:lang w:eastAsia="en-GB"/>
                          </w:rPr>
                          <w:t>120 countries</w:t>
                        </w:r>
                        <w:r w:rsidR="00EF545E">
                          <w:rPr>
                            <w:rStyle w:val="Hyperlink"/>
                            <w:rFonts w:eastAsia="Times New Roman" w:cs="Arial"/>
                            <w:sz w:val="20"/>
                            <w:szCs w:val="20"/>
                            <w:lang w:eastAsia="en-GB"/>
                          </w:rPr>
                          <w:t>/territories</w:t>
                        </w:r>
                        <w:r>
                          <w:rPr>
                            <w:rStyle w:val="Hyperlink"/>
                            <w:rFonts w:eastAsia="Times New Roman" w:cs="Arial"/>
                            <w:sz w:val="20"/>
                            <w:szCs w:val="20"/>
                            <w:lang w:eastAsia="en-GB"/>
                          </w:rPr>
                          <w:t xml:space="preserve"> and 20 ‘rest of world’</w:t>
                        </w:r>
                      </w:hyperlink>
                      <w:r>
                        <w:rPr>
                          <w:rFonts w:eastAsia="Times New Roman" w:cs="Arial"/>
                          <w:sz w:val="20"/>
                          <w:szCs w:val="20"/>
                          <w:lang w:eastAsia="en-GB"/>
                        </w:rPr>
                        <w:t xml:space="preserve"> regions is underway. Underlying data that feed into this dataset is available from the sources listed in sections 5 a and b of this metadata sheet.</w:t>
                      </w:r>
                    </w:p>
                    <w:p w14:paraId="5CFCE283" w14:textId="77777777" w:rsidR="00B33B9E" w:rsidRDefault="00B33B9E" w:rsidP="00DF6833">
                      <w:pPr>
                        <w:rPr>
                          <w:i/>
                          <w:iCs/>
                          <w:sz w:val="18"/>
                          <w:szCs w:val="18"/>
                        </w:rPr>
                      </w:pPr>
                    </w:p>
                  </w:txbxContent>
                </v:textbox>
                <w10:anchorlock/>
              </v:shape>
            </w:pict>
          </mc:Fallback>
        </mc:AlternateContent>
      </w:r>
    </w:p>
    <w:p w14:paraId="303C1ADD" w14:textId="7CC87470" w:rsidR="00DF6833" w:rsidRDefault="00DF6833" w:rsidP="00DF6833">
      <w:pPr>
        <w:spacing w:after="100"/>
        <w:rPr>
          <w:rFonts w:eastAsia="Calibri" w:cs="Arial"/>
          <w:b/>
          <w:bCs/>
          <w:sz w:val="20"/>
          <w:szCs w:val="20"/>
        </w:rPr>
      </w:pPr>
      <w:r>
        <w:rPr>
          <w:rFonts w:eastAsia="Calibri" w:cs="Arial"/>
          <w:b/>
          <w:bCs/>
          <w:sz w:val="20"/>
          <w:szCs w:val="20"/>
        </w:rPr>
        <w:t>5.g Time series</w:t>
      </w:r>
      <w:r>
        <w:rPr>
          <w:rFonts w:eastAsia="Calibri" w:cs="Arial"/>
          <w:sz w:val="20"/>
          <w:szCs w:val="20"/>
        </w:rPr>
        <w:t xml:space="preserve"> </w:t>
      </w:r>
      <w:r>
        <w:rPr>
          <w:rFonts w:eastAsia="Calibri" w:cs="Arial"/>
          <w:b/>
          <w:bCs/>
          <w:noProof/>
          <w:sz w:val="20"/>
          <w:szCs w:val="20"/>
        </w:rPr>
        <mc:AlternateContent>
          <mc:Choice Requires="wps">
            <w:drawing>
              <wp:inline distT="0" distB="0" distL="0" distR="0" wp14:anchorId="1759FCD7" wp14:editId="4AD231AC">
                <wp:extent cx="5762625" cy="292735"/>
                <wp:effectExtent l="9525" t="9525" r="9525" b="1206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92735"/>
                        </a:xfrm>
                        <a:prstGeom prst="rect">
                          <a:avLst/>
                        </a:prstGeom>
                        <a:solidFill>
                          <a:srgbClr val="FFFFFF"/>
                        </a:solidFill>
                        <a:ln w="9525">
                          <a:solidFill>
                            <a:srgbClr val="000000"/>
                          </a:solidFill>
                          <a:miter lim="800000"/>
                          <a:headEnd/>
                          <a:tailEnd/>
                        </a:ln>
                      </wps:spPr>
                      <wps:txbx>
                        <w:txbxContent>
                          <w:p w14:paraId="6C8AB14D" w14:textId="5571D4A9" w:rsidR="00B33B9E" w:rsidRDefault="00B33B9E" w:rsidP="00DF6833">
                            <w:pPr>
                              <w:rPr>
                                <w:rFonts w:cs="Arial"/>
                                <w:sz w:val="20"/>
                                <w:szCs w:val="20"/>
                              </w:rPr>
                            </w:pPr>
                            <w:r>
                              <w:rPr>
                                <w:rFonts w:cs="Arial"/>
                                <w:sz w:val="20"/>
                                <w:szCs w:val="20"/>
                              </w:rPr>
                              <w:t>Data are currently available for 2005-2017, with 2018 data due to be published in the 2022 update.</w:t>
                            </w:r>
                          </w:p>
                          <w:p w14:paraId="1FC0BE87"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1759FCD7" id="Text Box 52" o:spid="_x0000_s1037" type="#_x0000_t202" style="width:453.7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">
                <v:textbox>
                  <w:txbxContent>
                    <w:p w14:paraId="6C8AB14D" w14:textId="5571D4A9" w:rsidR="00B33B9E" w:rsidRDefault="00B33B9E" w:rsidP="00DF6833">
                      <w:pPr>
                        <w:rPr>
                          <w:rFonts w:cs="Arial"/>
                          <w:sz w:val="20"/>
                          <w:szCs w:val="20"/>
                        </w:rPr>
                      </w:pPr>
                      <w:r>
                        <w:rPr>
                          <w:rFonts w:cs="Arial"/>
                          <w:sz w:val="20"/>
                          <w:szCs w:val="20"/>
                        </w:rPr>
                        <w:t>Data are currently available for 2005-2017, with 2018 data due to be published in the 2022 update.</w:t>
                      </w:r>
                    </w:p>
                    <w:p w14:paraId="1FC0BE87" w14:textId="77777777" w:rsidR="00B33B9E" w:rsidRDefault="00B33B9E" w:rsidP="00DF6833">
                      <w:pPr>
                        <w:rPr>
                          <w:rFonts w:cs="Arial"/>
                          <w:sz w:val="20"/>
                          <w:szCs w:val="20"/>
                        </w:rPr>
                      </w:pPr>
                    </w:p>
                  </w:txbxContent>
                </v:textbox>
                <w10:anchorlock/>
              </v:shape>
            </w:pict>
          </mc:Fallback>
        </mc:AlternateContent>
      </w:r>
    </w:p>
    <w:p w14:paraId="0CDF6F4C" w14:textId="77777777" w:rsidR="00DF6833" w:rsidRDefault="00DF6833" w:rsidP="00DF6833">
      <w:pPr>
        <w:spacing w:after="100"/>
        <w:rPr>
          <w:rFonts w:eastAsia="Calibri" w:cs="Arial"/>
          <w:b/>
          <w:bCs/>
          <w:sz w:val="20"/>
          <w:szCs w:val="20"/>
        </w:rPr>
      </w:pPr>
      <w:r>
        <w:rPr>
          <w:rFonts w:eastAsia="Calibri" w:cs="Arial"/>
          <w:b/>
          <w:bCs/>
          <w:sz w:val="20"/>
          <w:szCs w:val="20"/>
        </w:rPr>
        <w:t>5.h Data providers</w:t>
      </w:r>
    </w:p>
    <w:p w14:paraId="72BD765F" w14:textId="45620B10" w:rsidR="00DF6833" w:rsidRDefault="00DF6833" w:rsidP="00DF6833">
      <w:pPr>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72458A4F" wp14:editId="04156F78">
                <wp:extent cx="5762625" cy="789940"/>
                <wp:effectExtent l="9525" t="9525" r="9525" b="10160"/>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89940"/>
                        </a:xfrm>
                        <a:prstGeom prst="rect">
                          <a:avLst/>
                        </a:prstGeom>
                        <a:solidFill>
                          <a:srgbClr val="FFFFFF"/>
                        </a:solidFill>
                        <a:ln w="9525">
                          <a:solidFill>
                            <a:srgbClr val="000000"/>
                          </a:solidFill>
                          <a:miter lim="800000"/>
                          <a:headEnd/>
                          <a:tailEnd/>
                        </a:ln>
                      </wps:spPr>
                      <wps:txbx>
                        <w:txbxContent>
                          <w:p w14:paraId="4059F5B8" w14:textId="77777777" w:rsidR="00B33B9E" w:rsidRDefault="00B33B9E" w:rsidP="00DF6833">
                            <w:pPr>
                              <w:rPr>
                                <w:rFonts w:cs="Arial"/>
                                <w:sz w:val="20"/>
                                <w:szCs w:val="20"/>
                              </w:rPr>
                            </w:pPr>
                            <w:r>
                              <w:rPr>
                                <w:rFonts w:cs="Arial"/>
                                <w:sz w:val="20"/>
                                <w:szCs w:val="20"/>
                              </w:rPr>
                              <w:t xml:space="preserve">Data provided at </w:t>
                            </w:r>
                            <w:hyperlink r:id="rId74" w:history="1">
                              <w:r>
                                <w:rPr>
                                  <w:rStyle w:val="Hyperlink"/>
                                  <w:rFonts w:cs="Arial"/>
                                  <w:sz w:val="20"/>
                                  <w:szCs w:val="20"/>
                                </w:rPr>
                                <w:t>https://commodityfootprints.earth/</w:t>
                              </w:r>
                            </w:hyperlink>
                            <w:r>
                              <w:rPr>
                                <w:rFonts w:cs="Arial"/>
                                <w:sz w:val="20"/>
                                <w:szCs w:val="20"/>
                              </w:rPr>
                              <w:t xml:space="preserve"> is produced by the </w:t>
                            </w:r>
                            <w:hyperlink r:id="rId75" w:history="1">
                              <w:r>
                                <w:rPr>
                                  <w:rStyle w:val="Hyperlink"/>
                                  <w:rFonts w:cs="Arial"/>
                                  <w:sz w:val="20"/>
                                  <w:szCs w:val="20"/>
                                </w:rPr>
                                <w:t>Stockholm Environment Institute at the University of York</w:t>
                              </w:r>
                            </w:hyperlink>
                            <w:r>
                              <w:rPr>
                                <w:rFonts w:cs="Arial"/>
                                <w:sz w:val="20"/>
                                <w:szCs w:val="20"/>
                              </w:rPr>
                              <w:t xml:space="preserve"> and the </w:t>
                            </w:r>
                            <w:hyperlink r:id="rId76" w:history="1">
                              <w:r>
                                <w:rPr>
                                  <w:rStyle w:val="Hyperlink"/>
                                  <w:rFonts w:cs="Arial"/>
                                  <w:sz w:val="20"/>
                                  <w:szCs w:val="20"/>
                                </w:rPr>
                                <w:t>Joint Nature Conservation Committee (a UK government agency)</w:t>
                              </w:r>
                            </w:hyperlink>
                            <w:r>
                              <w:rPr>
                                <w:rFonts w:cs="Arial"/>
                                <w:sz w:val="20"/>
                                <w:szCs w:val="20"/>
                              </w:rPr>
                              <w:t xml:space="preserve">. Development work was funded and commissioned by </w:t>
                            </w:r>
                            <w:hyperlink r:id="rId77" w:history="1">
                              <w:r>
                                <w:rPr>
                                  <w:rStyle w:val="Hyperlink"/>
                                  <w:rFonts w:cs="Arial"/>
                                  <w:sz w:val="20"/>
                                  <w:szCs w:val="20"/>
                                </w:rPr>
                                <w:t>Defra</w:t>
                              </w:r>
                            </w:hyperlink>
                            <w:r>
                              <w:rPr>
                                <w:rFonts w:cs="Arial"/>
                                <w:sz w:val="20"/>
                                <w:szCs w:val="20"/>
                              </w:rPr>
                              <w:t xml:space="preserve">, with additional support given towards the dashboard by the </w:t>
                            </w:r>
                            <w:hyperlink r:id="rId78" w:history="1">
                              <w:r>
                                <w:rPr>
                                  <w:rStyle w:val="Hyperlink"/>
                                  <w:rFonts w:cs="Arial"/>
                                  <w:sz w:val="20"/>
                                  <w:szCs w:val="20"/>
                                </w:rPr>
                                <w:t>Trade Hub</w:t>
                              </w:r>
                            </w:hyperlink>
                            <w:r>
                              <w:rPr>
                                <w:rFonts w:cs="Arial"/>
                                <w:sz w:val="20"/>
                                <w:szCs w:val="20"/>
                              </w:rPr>
                              <w:t xml:space="preserve"> and </w:t>
                            </w:r>
                            <w:hyperlink r:id="rId79" w:history="1">
                              <w:r>
                                <w:rPr>
                                  <w:rStyle w:val="Hyperlink"/>
                                  <w:rFonts w:cs="Arial"/>
                                  <w:sz w:val="20"/>
                                  <w:szCs w:val="20"/>
                                </w:rPr>
                                <w:t>Trase</w:t>
                              </w:r>
                            </w:hyperlink>
                            <w:r>
                              <w:rPr>
                                <w:rFonts w:cs="Arial"/>
                                <w:sz w:val="20"/>
                                <w:szCs w:val="20"/>
                              </w:rPr>
                              <w:t>.</w:t>
                            </w:r>
                          </w:p>
                          <w:p w14:paraId="563461EB"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72458A4F" id="Text Box 51" o:spid="_x0000_s1038" type="#_x0000_t202" style="width:453.75pt;height:6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">
                <v:textbox>
                  <w:txbxContent>
                    <w:p w14:paraId="4059F5B8" w14:textId="77777777" w:rsidR="00B33B9E" w:rsidRDefault="00B33B9E" w:rsidP="00DF6833">
                      <w:pPr>
                        <w:rPr>
                          <w:rFonts w:cs="Arial"/>
                          <w:sz w:val="20"/>
                          <w:szCs w:val="20"/>
                        </w:rPr>
                      </w:pPr>
                      <w:r>
                        <w:rPr>
                          <w:rFonts w:cs="Arial"/>
                          <w:sz w:val="20"/>
                          <w:szCs w:val="20"/>
                        </w:rPr>
                        <w:t xml:space="preserve">Data provided at </w:t>
                      </w:r>
                      <w:hyperlink r:id="rId80" w:history="1">
                        <w:r>
                          <w:rPr>
                            <w:rStyle w:val="Hyperlink"/>
                            <w:rFonts w:cs="Arial"/>
                            <w:sz w:val="20"/>
                            <w:szCs w:val="20"/>
                          </w:rPr>
                          <w:t>https://commodityfootprints.earth/</w:t>
                        </w:r>
                      </w:hyperlink>
                      <w:r>
                        <w:rPr>
                          <w:rFonts w:cs="Arial"/>
                          <w:sz w:val="20"/>
                          <w:szCs w:val="20"/>
                        </w:rPr>
                        <w:t xml:space="preserve"> is produced by the </w:t>
                      </w:r>
                      <w:hyperlink r:id="rId81" w:history="1">
                        <w:r>
                          <w:rPr>
                            <w:rStyle w:val="Hyperlink"/>
                            <w:rFonts w:cs="Arial"/>
                            <w:sz w:val="20"/>
                            <w:szCs w:val="20"/>
                          </w:rPr>
                          <w:t>Stockholm Environment Institute at the University of York</w:t>
                        </w:r>
                      </w:hyperlink>
                      <w:r>
                        <w:rPr>
                          <w:rFonts w:cs="Arial"/>
                          <w:sz w:val="20"/>
                          <w:szCs w:val="20"/>
                        </w:rPr>
                        <w:t xml:space="preserve"> and the </w:t>
                      </w:r>
                      <w:hyperlink r:id="rId82" w:history="1">
                        <w:r>
                          <w:rPr>
                            <w:rStyle w:val="Hyperlink"/>
                            <w:rFonts w:cs="Arial"/>
                            <w:sz w:val="20"/>
                            <w:szCs w:val="20"/>
                          </w:rPr>
                          <w:t>Joint Nature Conservation Committee (a UK government agency)</w:t>
                        </w:r>
                      </w:hyperlink>
                      <w:r>
                        <w:rPr>
                          <w:rFonts w:cs="Arial"/>
                          <w:sz w:val="20"/>
                          <w:szCs w:val="20"/>
                        </w:rPr>
                        <w:t xml:space="preserve">. Development work was funded and commissioned by </w:t>
                      </w:r>
                      <w:hyperlink r:id="rId83" w:history="1">
                        <w:r>
                          <w:rPr>
                            <w:rStyle w:val="Hyperlink"/>
                            <w:rFonts w:cs="Arial"/>
                            <w:sz w:val="20"/>
                            <w:szCs w:val="20"/>
                          </w:rPr>
                          <w:t>Defra</w:t>
                        </w:r>
                      </w:hyperlink>
                      <w:r>
                        <w:rPr>
                          <w:rFonts w:cs="Arial"/>
                          <w:sz w:val="20"/>
                          <w:szCs w:val="20"/>
                        </w:rPr>
                        <w:t xml:space="preserve">, with additional support given towards the dashboard by the </w:t>
                      </w:r>
                      <w:hyperlink r:id="rId84" w:history="1">
                        <w:r>
                          <w:rPr>
                            <w:rStyle w:val="Hyperlink"/>
                            <w:rFonts w:cs="Arial"/>
                            <w:sz w:val="20"/>
                            <w:szCs w:val="20"/>
                          </w:rPr>
                          <w:t>Trade Hub</w:t>
                        </w:r>
                      </w:hyperlink>
                      <w:r>
                        <w:rPr>
                          <w:rFonts w:cs="Arial"/>
                          <w:sz w:val="20"/>
                          <w:szCs w:val="20"/>
                        </w:rPr>
                        <w:t xml:space="preserve"> and </w:t>
                      </w:r>
                      <w:hyperlink r:id="rId85" w:history="1">
                        <w:r>
                          <w:rPr>
                            <w:rStyle w:val="Hyperlink"/>
                            <w:rFonts w:cs="Arial"/>
                            <w:sz w:val="20"/>
                            <w:szCs w:val="20"/>
                          </w:rPr>
                          <w:t>Trase</w:t>
                        </w:r>
                      </w:hyperlink>
                      <w:r>
                        <w:rPr>
                          <w:rFonts w:cs="Arial"/>
                          <w:sz w:val="20"/>
                          <w:szCs w:val="20"/>
                        </w:rPr>
                        <w:t>.</w:t>
                      </w:r>
                    </w:p>
                    <w:p w14:paraId="563461EB" w14:textId="77777777" w:rsidR="00B33B9E" w:rsidRDefault="00B33B9E" w:rsidP="00DF6833">
                      <w:pPr>
                        <w:rPr>
                          <w:rFonts w:cs="Arial"/>
                          <w:sz w:val="20"/>
                          <w:szCs w:val="20"/>
                        </w:rPr>
                      </w:pPr>
                    </w:p>
                  </w:txbxContent>
                </v:textbox>
                <w10:anchorlock/>
              </v:shape>
            </w:pict>
          </mc:Fallback>
        </mc:AlternateContent>
      </w:r>
    </w:p>
    <w:p w14:paraId="69730A74" w14:textId="77777777" w:rsidR="00DF6833" w:rsidRDefault="00DF6833" w:rsidP="00DF6833">
      <w:pPr>
        <w:autoSpaceDE w:val="0"/>
        <w:autoSpaceDN w:val="0"/>
        <w:adjustRightInd w:val="0"/>
        <w:spacing w:after="100"/>
        <w:rPr>
          <w:rFonts w:eastAsia="Calibri" w:cs="Arial"/>
          <w:sz w:val="20"/>
          <w:szCs w:val="20"/>
        </w:rPr>
      </w:pPr>
      <w:r>
        <w:rPr>
          <w:rFonts w:eastAsia="Calibri" w:cs="Arial"/>
          <w:b/>
          <w:bCs/>
          <w:sz w:val="20"/>
          <w:szCs w:val="20"/>
        </w:rPr>
        <w:t>5.i Data compilers</w:t>
      </w:r>
      <w:r>
        <w:rPr>
          <w:rFonts w:eastAsia="Calibri" w:cs="Arial"/>
          <w:sz w:val="20"/>
          <w:szCs w:val="20"/>
        </w:rPr>
        <w:t xml:space="preserve"> </w:t>
      </w:r>
    </w:p>
    <w:p w14:paraId="7D64EC5D" w14:textId="6CED424D" w:rsidR="00DF6833" w:rsidRDefault="00DF6833" w:rsidP="00DF6833">
      <w:pPr>
        <w:autoSpaceDE w:val="0"/>
        <w:autoSpaceDN w:val="0"/>
        <w:adjustRightInd w:val="0"/>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70D80077" wp14:editId="277920D5">
                <wp:extent cx="5762625" cy="762000"/>
                <wp:effectExtent l="9525" t="9525" r="9525" b="952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62000"/>
                        </a:xfrm>
                        <a:prstGeom prst="rect">
                          <a:avLst/>
                        </a:prstGeom>
                        <a:solidFill>
                          <a:srgbClr val="FFFFFF"/>
                        </a:solidFill>
                        <a:ln w="9525">
                          <a:solidFill>
                            <a:srgbClr val="000000"/>
                          </a:solidFill>
                          <a:miter lim="800000"/>
                          <a:headEnd/>
                          <a:tailEnd/>
                        </a:ln>
                      </wps:spPr>
                      <wps:txbx>
                        <w:txbxContent>
                          <w:p w14:paraId="329D588D" w14:textId="77777777" w:rsidR="00B33B9E" w:rsidRDefault="00B33B9E" w:rsidP="00DF6833">
                            <w:pPr>
                              <w:rPr>
                                <w:rFonts w:cs="Arial"/>
                                <w:sz w:val="20"/>
                                <w:szCs w:val="20"/>
                              </w:rPr>
                            </w:pPr>
                            <w:r>
                              <w:rPr>
                                <w:rFonts w:cs="Arial"/>
                                <w:sz w:val="20"/>
                                <w:szCs w:val="20"/>
                              </w:rPr>
                              <w:t xml:space="preserve">Compilation and reporting at the global level is conducted by the </w:t>
                            </w:r>
                            <w:hyperlink r:id="rId86" w:history="1">
                              <w:r>
                                <w:rPr>
                                  <w:rStyle w:val="Hyperlink"/>
                                  <w:rFonts w:cs="Arial"/>
                                  <w:sz w:val="20"/>
                                  <w:szCs w:val="20"/>
                                </w:rPr>
                                <w:t>Stockholm Environment Institute at the University of York</w:t>
                              </w:r>
                            </w:hyperlink>
                            <w:r>
                              <w:rPr>
                                <w:rFonts w:cs="Arial"/>
                                <w:sz w:val="20"/>
                                <w:szCs w:val="20"/>
                              </w:rPr>
                              <w:t xml:space="preserve"> and the </w:t>
                            </w:r>
                            <w:hyperlink r:id="rId87" w:history="1">
                              <w:r>
                                <w:rPr>
                                  <w:rStyle w:val="Hyperlink"/>
                                  <w:rFonts w:cs="Arial"/>
                                  <w:sz w:val="20"/>
                                  <w:szCs w:val="20"/>
                                </w:rPr>
                                <w:t>Joint Nature Conservation Committee (a UK public body)</w:t>
                              </w:r>
                            </w:hyperlink>
                            <w:r>
                              <w:rPr>
                                <w:rStyle w:val="Hyperlink"/>
                                <w:rFonts w:cs="Arial"/>
                                <w:sz w:val="20"/>
                                <w:szCs w:val="20"/>
                              </w:rPr>
                              <w:t xml:space="preserve">. </w:t>
                            </w:r>
                            <w:r>
                              <w:rPr>
                                <w:rFonts w:cs="Arial"/>
                                <w:sz w:val="20"/>
                                <w:szCs w:val="20"/>
                              </w:rPr>
                              <w:t xml:space="preserve">Relevant national authorities can use the data available at </w:t>
                            </w:r>
                            <w:hyperlink r:id="rId88" w:history="1">
                              <w:r>
                                <w:rPr>
                                  <w:rStyle w:val="Hyperlink"/>
                                  <w:rFonts w:cs="Arial"/>
                                  <w:sz w:val="20"/>
                                  <w:szCs w:val="20"/>
                                </w:rPr>
                                <w:t>https://commodityfootprints.earth/</w:t>
                              </w:r>
                            </w:hyperlink>
                            <w:r>
                              <w:rPr>
                                <w:rStyle w:val="Hyperlink"/>
                                <w:rFonts w:cs="Arial"/>
                                <w:sz w:val="20"/>
                                <w:szCs w:val="20"/>
                              </w:rPr>
                              <w:t xml:space="preserve"> </w:t>
                            </w:r>
                            <w:r w:rsidRPr="007F4AFE">
                              <w:rPr>
                                <w:rStyle w:val="Hyperlink"/>
                                <w:rFonts w:cs="Arial"/>
                                <w:color w:val="auto"/>
                                <w:sz w:val="20"/>
                                <w:szCs w:val="20"/>
                                <w:u w:val="none"/>
                              </w:rPr>
                              <w:t>to compile national reports.</w:t>
                            </w:r>
                          </w:p>
                          <w:p w14:paraId="595AED71" w14:textId="77777777" w:rsidR="00B33B9E" w:rsidRDefault="00B33B9E" w:rsidP="00DF6833">
                            <w:pPr>
                              <w:shd w:val="clear" w:color="auto" w:fill="FFFFFF"/>
                              <w:rPr>
                                <w:rFonts w:ascii="Calibri Light" w:hAnsi="Calibri Light"/>
                                <w:i/>
                                <w:iCs/>
                                <w:sz w:val="18"/>
                                <w:szCs w:val="18"/>
                              </w:rPr>
                            </w:pPr>
                          </w:p>
                          <w:p w14:paraId="1053E830" w14:textId="77777777" w:rsidR="00B33B9E" w:rsidRDefault="00B33B9E" w:rsidP="00DF6833">
                            <w:pPr>
                              <w:rPr>
                                <w:i/>
                                <w:iCs/>
                                <w:sz w:val="18"/>
                                <w:szCs w:val="18"/>
                              </w:rPr>
                            </w:pPr>
                          </w:p>
                        </w:txbxContent>
                      </wps:txbx>
                      <wps:bodyPr rot="0" vert="horz" wrap="square" lIns="91440" tIns="45720" rIns="91440" bIns="45720" anchor="t" anchorCtr="0" upright="1">
                        <a:noAutofit/>
                      </wps:bodyPr>
                    </wps:wsp>
                  </a:graphicData>
                </a:graphic>
              </wp:inline>
            </w:drawing>
          </mc:Choice>
          <mc:Fallback>
            <w:pict>
              <v:shape w14:anchorId="70D80077" id="Text Box 50" o:spid="_x0000_s1039" type="#_x0000_t202" style="width:453.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">
                <v:textbox>
                  <w:txbxContent>
                    <w:p w14:paraId="329D588D" w14:textId="77777777" w:rsidR="00B33B9E" w:rsidRDefault="00B33B9E" w:rsidP="00DF6833">
                      <w:pPr>
                        <w:rPr>
                          <w:rFonts w:cs="Arial"/>
                          <w:sz w:val="20"/>
                          <w:szCs w:val="20"/>
                        </w:rPr>
                      </w:pPr>
                      <w:r>
                        <w:rPr>
                          <w:rFonts w:cs="Arial"/>
                          <w:sz w:val="20"/>
                          <w:szCs w:val="20"/>
                        </w:rPr>
                        <w:t xml:space="preserve">Compilation and reporting at the global level is conducted by the </w:t>
                      </w:r>
                      <w:hyperlink r:id="rId89" w:history="1">
                        <w:r>
                          <w:rPr>
                            <w:rStyle w:val="Hyperlink"/>
                            <w:rFonts w:cs="Arial"/>
                            <w:sz w:val="20"/>
                            <w:szCs w:val="20"/>
                          </w:rPr>
                          <w:t>Stockholm Environment Institute at the University of York</w:t>
                        </w:r>
                      </w:hyperlink>
                      <w:r>
                        <w:rPr>
                          <w:rFonts w:cs="Arial"/>
                          <w:sz w:val="20"/>
                          <w:szCs w:val="20"/>
                        </w:rPr>
                        <w:t xml:space="preserve"> and the </w:t>
                      </w:r>
                      <w:hyperlink r:id="rId90" w:history="1">
                        <w:r>
                          <w:rPr>
                            <w:rStyle w:val="Hyperlink"/>
                            <w:rFonts w:cs="Arial"/>
                            <w:sz w:val="20"/>
                            <w:szCs w:val="20"/>
                          </w:rPr>
                          <w:t>Joint Nature Conservation Committee (a UK public body)</w:t>
                        </w:r>
                      </w:hyperlink>
                      <w:r>
                        <w:rPr>
                          <w:rStyle w:val="Hyperlink"/>
                          <w:rFonts w:cs="Arial"/>
                          <w:sz w:val="20"/>
                          <w:szCs w:val="20"/>
                        </w:rPr>
                        <w:t xml:space="preserve">. </w:t>
                      </w:r>
                      <w:r>
                        <w:rPr>
                          <w:rFonts w:cs="Arial"/>
                          <w:sz w:val="20"/>
                          <w:szCs w:val="20"/>
                        </w:rPr>
                        <w:t xml:space="preserve">Relevant national authorities can use the data available at </w:t>
                      </w:r>
                      <w:hyperlink r:id="rId91" w:history="1">
                        <w:r>
                          <w:rPr>
                            <w:rStyle w:val="Hyperlink"/>
                            <w:rFonts w:cs="Arial"/>
                            <w:sz w:val="20"/>
                            <w:szCs w:val="20"/>
                          </w:rPr>
                          <w:t>https://commodityfootprints.earth/</w:t>
                        </w:r>
                      </w:hyperlink>
                      <w:r>
                        <w:rPr>
                          <w:rStyle w:val="Hyperlink"/>
                          <w:rFonts w:cs="Arial"/>
                          <w:sz w:val="20"/>
                          <w:szCs w:val="20"/>
                        </w:rPr>
                        <w:t xml:space="preserve"> </w:t>
                      </w:r>
                      <w:r w:rsidRPr="007F4AFE">
                        <w:rPr>
                          <w:rStyle w:val="Hyperlink"/>
                          <w:rFonts w:cs="Arial"/>
                          <w:color w:val="auto"/>
                          <w:sz w:val="20"/>
                          <w:szCs w:val="20"/>
                          <w:u w:val="none"/>
                        </w:rPr>
                        <w:t>to compile national reports.</w:t>
                      </w:r>
                    </w:p>
                    <w:p w14:paraId="595AED71" w14:textId="77777777" w:rsidR="00B33B9E" w:rsidRDefault="00B33B9E" w:rsidP="00DF6833">
                      <w:pPr>
                        <w:shd w:val="clear" w:color="auto" w:fill="FFFFFF"/>
                        <w:rPr>
                          <w:rFonts w:ascii="Calibri Light" w:hAnsi="Calibri Light"/>
                          <w:i/>
                          <w:iCs/>
                          <w:sz w:val="18"/>
                          <w:szCs w:val="18"/>
                        </w:rPr>
                      </w:pPr>
                    </w:p>
                    <w:p w14:paraId="1053E830" w14:textId="77777777" w:rsidR="00B33B9E" w:rsidRDefault="00B33B9E" w:rsidP="00DF6833">
                      <w:pPr>
                        <w:rPr>
                          <w:i/>
                          <w:iCs/>
                          <w:sz w:val="18"/>
                          <w:szCs w:val="18"/>
                        </w:rPr>
                      </w:pPr>
                    </w:p>
                  </w:txbxContent>
                </v:textbox>
                <w10:anchorlock/>
              </v:shape>
            </w:pict>
          </mc:Fallback>
        </mc:AlternateContent>
      </w:r>
    </w:p>
    <w:p w14:paraId="2ADA9162" w14:textId="77777777" w:rsidR="00D652C7" w:rsidRDefault="00D652C7">
      <w:pPr>
        <w:spacing w:after="200" w:line="276" w:lineRule="auto"/>
        <w:rPr>
          <w:rFonts w:eastAsia="Calibri" w:cs="Arial"/>
          <w:b/>
          <w:bCs/>
          <w:sz w:val="20"/>
          <w:szCs w:val="20"/>
        </w:rPr>
      </w:pPr>
      <w:r>
        <w:rPr>
          <w:rFonts w:eastAsia="Calibri" w:cs="Arial"/>
          <w:b/>
          <w:bCs/>
          <w:sz w:val="20"/>
          <w:szCs w:val="20"/>
        </w:rPr>
        <w:br w:type="page"/>
      </w:r>
    </w:p>
    <w:p w14:paraId="23CC9F07" w14:textId="6E1B5D63" w:rsidR="00DF6833" w:rsidRDefault="00DF6833" w:rsidP="00DF6833">
      <w:pPr>
        <w:autoSpaceDE w:val="0"/>
        <w:autoSpaceDN w:val="0"/>
        <w:adjustRightInd w:val="0"/>
        <w:spacing w:after="100"/>
        <w:rPr>
          <w:rFonts w:eastAsia="Calibri" w:cs="Arial"/>
          <w:b/>
          <w:bCs/>
          <w:sz w:val="20"/>
          <w:szCs w:val="20"/>
        </w:rPr>
      </w:pPr>
      <w:r>
        <w:rPr>
          <w:rFonts w:eastAsia="Calibri" w:cs="Arial"/>
          <w:b/>
          <w:bCs/>
          <w:sz w:val="20"/>
          <w:szCs w:val="20"/>
        </w:rPr>
        <w:lastRenderedPageBreak/>
        <w:t>5.j Gaps in data coverage</w:t>
      </w:r>
    </w:p>
    <w:p w14:paraId="0D32362B" w14:textId="77777777" w:rsidR="00D652C7" w:rsidRDefault="00DF6833" w:rsidP="00DF6833">
      <w:pPr>
        <w:autoSpaceDE w:val="0"/>
        <w:autoSpaceDN w:val="0"/>
        <w:adjustRightInd w:val="0"/>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2996DA88" wp14:editId="5A343B00">
                <wp:extent cx="5772150" cy="3429000"/>
                <wp:effectExtent l="0" t="0" r="19050"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29000"/>
                        </a:xfrm>
                        <a:prstGeom prst="rect">
                          <a:avLst/>
                        </a:prstGeom>
                        <a:solidFill>
                          <a:srgbClr val="FFFFFF"/>
                        </a:solidFill>
                        <a:ln w="9525">
                          <a:solidFill>
                            <a:srgbClr val="000000"/>
                          </a:solidFill>
                          <a:miter lim="800000"/>
                          <a:headEnd/>
                          <a:tailEnd/>
                        </a:ln>
                      </wps:spPr>
                      <wps:txbx>
                        <w:txbxContent>
                          <w:p w14:paraId="7DFF2EA2" w14:textId="3AB658A7" w:rsidR="00B33B9E" w:rsidRDefault="00B33B9E" w:rsidP="00DF6833">
                            <w:pPr>
                              <w:spacing w:after="100" w:line="256" w:lineRule="auto"/>
                              <w:rPr>
                                <w:rFonts w:cs="Arial"/>
                                <w:sz w:val="20"/>
                                <w:szCs w:val="20"/>
                                <w:lang w:val="en-CA" w:eastAsia="en-GB"/>
                              </w:rPr>
                            </w:pPr>
                            <w:r>
                              <w:rPr>
                                <w:rFonts w:cs="Arial"/>
                                <w:b/>
                                <w:bCs/>
                                <w:sz w:val="20"/>
                                <w:szCs w:val="20"/>
                                <w:lang w:val="en-CA" w:eastAsia="en-GB"/>
                              </w:rPr>
                              <w:t>Geographic:</w:t>
                            </w:r>
                            <w:r>
                              <w:rPr>
                                <w:rFonts w:cs="Arial"/>
                                <w:sz w:val="20"/>
                                <w:szCs w:val="20"/>
                                <w:lang w:val="en-CA" w:eastAsia="en-GB"/>
                              </w:rPr>
                              <w:t xml:space="preserve"> Currently, data are available for 44 countries</w:t>
                            </w:r>
                            <w:r w:rsidR="00D979D2">
                              <w:rPr>
                                <w:rFonts w:cs="Arial"/>
                                <w:sz w:val="20"/>
                                <w:szCs w:val="20"/>
                                <w:lang w:val="en-CA" w:eastAsia="en-GB"/>
                              </w:rPr>
                              <w:t>/territories</w:t>
                            </w:r>
                            <w:r>
                              <w:rPr>
                                <w:rFonts w:cs="Arial"/>
                                <w:sz w:val="20"/>
                                <w:szCs w:val="20"/>
                                <w:lang w:val="en-CA" w:eastAsia="en-GB"/>
                              </w:rPr>
                              <w:t xml:space="preserve"> from a consumption perspective (although all countries</w:t>
                            </w:r>
                            <w:r w:rsidR="00D979D2">
                              <w:rPr>
                                <w:rFonts w:cs="Arial"/>
                                <w:sz w:val="20"/>
                                <w:szCs w:val="20"/>
                                <w:lang w:val="en-CA" w:eastAsia="en-GB"/>
                              </w:rPr>
                              <w:t>/territories</w:t>
                            </w:r>
                            <w:r>
                              <w:rPr>
                                <w:rFonts w:cs="Arial"/>
                                <w:sz w:val="20"/>
                                <w:szCs w:val="20"/>
                                <w:lang w:val="en-CA" w:eastAsia="en-GB"/>
                              </w:rPr>
                              <w:t xml:space="preserve"> as recorded by FAO are available from a production perspective). Data are also available for 5 ‘rest of world’ regions, consisting of aggregates of remaining countries. Development work to update this to include </w:t>
                            </w:r>
                            <w:r w:rsidR="00530D3C">
                              <w:rPr>
                                <w:rFonts w:cs="Arial"/>
                                <w:sz w:val="20"/>
                                <w:szCs w:val="20"/>
                                <w:lang w:val="en-CA" w:eastAsia="en-GB"/>
                              </w:rPr>
                              <w:t>at least</w:t>
                            </w:r>
                            <w:r>
                              <w:rPr>
                                <w:rFonts w:cs="Arial"/>
                                <w:sz w:val="20"/>
                                <w:szCs w:val="20"/>
                                <w:lang w:val="en-CA" w:eastAsia="en-GB"/>
                              </w:rPr>
                              <w:t xml:space="preserve"> 120 countries</w:t>
                            </w:r>
                            <w:r w:rsidR="007F4AFE">
                              <w:rPr>
                                <w:rFonts w:cs="Arial"/>
                                <w:sz w:val="20"/>
                                <w:szCs w:val="20"/>
                                <w:lang w:val="en-CA" w:eastAsia="en-GB"/>
                              </w:rPr>
                              <w:t>/territories</w:t>
                            </w:r>
                            <w:r>
                              <w:rPr>
                                <w:rFonts w:cs="Arial"/>
                                <w:sz w:val="20"/>
                                <w:szCs w:val="20"/>
                                <w:lang w:val="en-CA" w:eastAsia="en-GB"/>
                              </w:rPr>
                              <w:t xml:space="preserve"> and 20 ‘rest of world’ regions </w:t>
                            </w:r>
                            <w:r w:rsidR="00D979D2">
                              <w:rPr>
                                <w:rFonts w:cs="Arial"/>
                                <w:sz w:val="20"/>
                                <w:szCs w:val="20"/>
                                <w:lang w:val="en-CA" w:eastAsia="en-GB"/>
                              </w:rPr>
                              <w:t xml:space="preserve">in the 2023 release </w:t>
                            </w:r>
                            <w:r>
                              <w:rPr>
                                <w:rFonts w:cs="Arial"/>
                                <w:sz w:val="20"/>
                                <w:szCs w:val="20"/>
                                <w:lang w:val="en-CA" w:eastAsia="en-GB"/>
                              </w:rPr>
                              <w:t>is under</w:t>
                            </w:r>
                            <w:r w:rsidR="00D979D2">
                              <w:rPr>
                                <w:rFonts w:cs="Arial"/>
                                <w:sz w:val="20"/>
                                <w:szCs w:val="20"/>
                                <w:lang w:val="en-CA" w:eastAsia="en-GB"/>
                              </w:rPr>
                              <w:t>way</w:t>
                            </w:r>
                            <w:r>
                              <w:rPr>
                                <w:rFonts w:cs="Arial"/>
                                <w:sz w:val="20"/>
                                <w:szCs w:val="20"/>
                                <w:lang w:val="en-CA" w:eastAsia="en-GB"/>
                              </w:rPr>
                              <w:t>.</w:t>
                            </w:r>
                          </w:p>
                          <w:p w14:paraId="41ACFBB5" w14:textId="77777777" w:rsidR="00B33B9E" w:rsidRDefault="00B33B9E" w:rsidP="00DF6833">
                            <w:pPr>
                              <w:spacing w:after="100" w:line="256" w:lineRule="auto"/>
                              <w:rPr>
                                <w:rFonts w:cs="Arial"/>
                                <w:sz w:val="20"/>
                                <w:szCs w:val="20"/>
                                <w:lang w:val="en-CA" w:eastAsia="en-GB"/>
                              </w:rPr>
                            </w:pPr>
                            <w:r>
                              <w:rPr>
                                <w:rFonts w:cs="Arial"/>
                                <w:b/>
                                <w:bCs/>
                                <w:sz w:val="20"/>
                                <w:szCs w:val="20"/>
                                <w:lang w:val="en-CA" w:eastAsia="en-GB"/>
                              </w:rPr>
                              <w:t xml:space="preserve">Commodity coverage: </w:t>
                            </w:r>
                            <w:r>
                              <w:rPr>
                                <w:rFonts w:cs="Arial"/>
                                <w:sz w:val="20"/>
                                <w:szCs w:val="20"/>
                                <w:lang w:val="en-CA" w:eastAsia="en-GB"/>
                              </w:rPr>
                              <w:t>For the biodiversity loss and scarcity weighted water use metrics, data are only available for</w:t>
                            </w:r>
                            <w:r>
                              <w:rPr>
                                <w:rFonts w:cs="Arial"/>
                                <w:b/>
                                <w:bCs/>
                                <w:sz w:val="20"/>
                                <w:szCs w:val="20"/>
                                <w:lang w:val="en-CA" w:eastAsia="en-GB"/>
                              </w:rPr>
                              <w:t xml:space="preserve"> </w:t>
                            </w:r>
                            <w:r>
                              <w:rPr>
                                <w:rFonts w:cs="Arial"/>
                                <w:sz w:val="20"/>
                                <w:szCs w:val="20"/>
                                <w:lang w:val="en-CA" w:eastAsia="en-GB"/>
                              </w:rPr>
                              <w:t>crop commodities. For the deforestation metric, data are available for crop commodities, timber and cattle related commodities. The potential for adding metals and mineral, and marine commodities is being explored but to date remains a data gap.</w:t>
                            </w:r>
                          </w:p>
                          <w:p w14:paraId="2441162A" w14:textId="52B28771" w:rsidR="00B33B9E" w:rsidRDefault="00B33B9E" w:rsidP="00DF6833">
                            <w:pPr>
                              <w:spacing w:after="100" w:line="256" w:lineRule="auto"/>
                              <w:rPr>
                                <w:rFonts w:cs="Arial"/>
                                <w:sz w:val="18"/>
                                <w:szCs w:val="18"/>
                                <w:lang w:val="en-CA" w:eastAsia="en-GB"/>
                              </w:rPr>
                            </w:pPr>
                            <w:r>
                              <w:rPr>
                                <w:rFonts w:cs="Arial"/>
                                <w:b/>
                                <w:bCs/>
                                <w:sz w:val="20"/>
                                <w:szCs w:val="20"/>
                                <w:lang w:val="en-CA" w:eastAsia="en-GB"/>
                              </w:rPr>
                              <w:t>Metric types:</w:t>
                            </w:r>
                            <w:r>
                              <w:rPr>
                                <w:rFonts w:cs="Arial"/>
                                <w:sz w:val="20"/>
                                <w:szCs w:val="20"/>
                                <w:lang w:val="en-CA" w:eastAsia="en-GB"/>
                              </w:rPr>
                              <w:t xml:space="preserve"> There are many different types of environmental impact from unsustainable consumption that affect biodiversity, beyond deforestation, biodiversity loss and water stress. </w:t>
                            </w:r>
                            <w:r>
                              <w:rPr>
                                <w:rFonts w:eastAsia="Times New Roman" w:cs="Arial"/>
                                <w:sz w:val="20"/>
                                <w:szCs w:val="20"/>
                                <w:lang w:eastAsia="en-GB"/>
                              </w:rPr>
                              <w:t xml:space="preserve">Data are also available from the dashboard on </w:t>
                            </w:r>
                            <w:r w:rsidR="007F4AFE">
                              <w:rPr>
                                <w:rFonts w:eastAsia="Times New Roman" w:cs="Arial"/>
                                <w:sz w:val="20"/>
                                <w:szCs w:val="20"/>
                                <w:lang w:eastAsia="en-GB"/>
                              </w:rPr>
                              <w:t>tonnes of production</w:t>
                            </w:r>
                            <w:r>
                              <w:rPr>
                                <w:rFonts w:eastAsia="Times New Roman" w:cs="Arial"/>
                                <w:sz w:val="20"/>
                                <w:szCs w:val="20"/>
                                <w:lang w:eastAsia="en-GB"/>
                              </w:rPr>
                              <w:t>, land use, water use, and GHG emissions associated with tropical deforestation. However, other impact types, especially those most associated with intensive agriculture, such as nitrogen and phosphorous pollution, are not currently included. Development work to explore adding such metrics in future is planned.</w:t>
                            </w:r>
                            <w:r w:rsidR="007A1A94">
                              <w:rPr>
                                <w:rFonts w:eastAsia="Times New Roman" w:cs="Arial"/>
                                <w:sz w:val="20"/>
                                <w:szCs w:val="20"/>
                                <w:lang w:eastAsia="en-GB"/>
                              </w:rPr>
                              <w:t xml:space="preserve"> </w:t>
                            </w:r>
                            <w:r w:rsidR="00DD5A82">
                              <w:rPr>
                                <w:rFonts w:eastAsia="Times New Roman" w:cs="Arial"/>
                                <w:sz w:val="20"/>
                                <w:szCs w:val="20"/>
                                <w:lang w:eastAsia="en-GB"/>
                              </w:rPr>
                              <w:t xml:space="preserve">Exploration of the addition of data to extend the deforestation metric to include deforestation taking place in non-tropical areas is also planned. </w:t>
                            </w:r>
                            <w:r w:rsidR="007A1A94">
                              <w:rPr>
                                <w:rFonts w:eastAsia="Times New Roman" w:cs="Arial"/>
                                <w:sz w:val="20"/>
                                <w:szCs w:val="20"/>
                                <w:lang w:eastAsia="en-GB"/>
                              </w:rPr>
                              <w:t xml:space="preserve">A major advantage of the data framework is its retention of commodity-specificity which means that appropriate commodity-level indicators (important to reflect the heterogeneous nature of production processes and impacts across products) can be relatively easily integrated to extend coverage of environmental impacts. </w:t>
                            </w:r>
                          </w:p>
                          <w:p w14:paraId="6FFC00B4" w14:textId="77777777" w:rsidR="00B33B9E" w:rsidRDefault="00B33B9E" w:rsidP="00DF6833">
                            <w:pPr>
                              <w:rPr>
                                <w:rFonts w:cs="Arial"/>
                                <w:sz w:val="18"/>
                                <w:szCs w:val="18"/>
                                <w:lang w:val="en-CA" w:eastAsia="en-GB"/>
                              </w:rPr>
                            </w:pPr>
                          </w:p>
                        </w:txbxContent>
                      </wps:txbx>
                      <wps:bodyPr rot="0" vert="horz" wrap="square" lIns="91440" tIns="45720" rIns="91440" bIns="45720" anchor="t" anchorCtr="0" upright="1">
                        <a:noAutofit/>
                      </wps:bodyPr>
                    </wps:wsp>
                  </a:graphicData>
                </a:graphic>
              </wp:inline>
            </w:drawing>
          </mc:Choice>
          <mc:Fallback>
            <w:pict>
              <v:shape w14:anchorId="2996DA88" id="Text Box 49" o:spid="_x0000_s1040" type="#_x0000_t202" style="width:454.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">
                <v:textbox>
                  <w:txbxContent>
                    <w:p w14:paraId="7DFF2EA2" w14:textId="3AB658A7" w:rsidR="00B33B9E" w:rsidRDefault="00B33B9E" w:rsidP="00DF6833">
                      <w:pPr>
                        <w:spacing w:after="100" w:line="256" w:lineRule="auto"/>
                        <w:rPr>
                          <w:rFonts w:cs="Arial"/>
                          <w:sz w:val="20"/>
                          <w:szCs w:val="20"/>
                          <w:lang w:val="en-CA" w:eastAsia="en-GB"/>
                        </w:rPr>
                      </w:pPr>
                      <w:r>
                        <w:rPr>
                          <w:rFonts w:cs="Arial"/>
                          <w:b/>
                          <w:bCs/>
                          <w:sz w:val="20"/>
                          <w:szCs w:val="20"/>
                          <w:lang w:val="en-CA" w:eastAsia="en-GB"/>
                        </w:rPr>
                        <w:t>Geographic:</w:t>
                      </w:r>
                      <w:r>
                        <w:rPr>
                          <w:rFonts w:cs="Arial"/>
                          <w:sz w:val="20"/>
                          <w:szCs w:val="20"/>
                          <w:lang w:val="en-CA" w:eastAsia="en-GB"/>
                        </w:rPr>
                        <w:t xml:space="preserve"> Currently, data are available for 44 countries</w:t>
                      </w:r>
                      <w:r w:rsidR="00D979D2">
                        <w:rPr>
                          <w:rFonts w:cs="Arial"/>
                          <w:sz w:val="20"/>
                          <w:szCs w:val="20"/>
                          <w:lang w:val="en-CA" w:eastAsia="en-GB"/>
                        </w:rPr>
                        <w:t>/territories</w:t>
                      </w:r>
                      <w:r>
                        <w:rPr>
                          <w:rFonts w:cs="Arial"/>
                          <w:sz w:val="20"/>
                          <w:szCs w:val="20"/>
                          <w:lang w:val="en-CA" w:eastAsia="en-GB"/>
                        </w:rPr>
                        <w:t xml:space="preserve"> from a consumption perspective (although all countries</w:t>
                      </w:r>
                      <w:r w:rsidR="00D979D2">
                        <w:rPr>
                          <w:rFonts w:cs="Arial"/>
                          <w:sz w:val="20"/>
                          <w:szCs w:val="20"/>
                          <w:lang w:val="en-CA" w:eastAsia="en-GB"/>
                        </w:rPr>
                        <w:t>/territories</w:t>
                      </w:r>
                      <w:r>
                        <w:rPr>
                          <w:rFonts w:cs="Arial"/>
                          <w:sz w:val="20"/>
                          <w:szCs w:val="20"/>
                          <w:lang w:val="en-CA" w:eastAsia="en-GB"/>
                        </w:rPr>
                        <w:t xml:space="preserve"> as recorded by FAO are available from a production perspective). Data are also available for 5 ‘rest of world’ regions, consisting of aggregates of remaining countries. Development work to update this to include </w:t>
                      </w:r>
                      <w:r w:rsidR="00530D3C">
                        <w:rPr>
                          <w:rFonts w:cs="Arial"/>
                          <w:sz w:val="20"/>
                          <w:szCs w:val="20"/>
                          <w:lang w:val="en-CA" w:eastAsia="en-GB"/>
                        </w:rPr>
                        <w:t>at least</w:t>
                      </w:r>
                      <w:r>
                        <w:rPr>
                          <w:rFonts w:cs="Arial"/>
                          <w:sz w:val="20"/>
                          <w:szCs w:val="20"/>
                          <w:lang w:val="en-CA" w:eastAsia="en-GB"/>
                        </w:rPr>
                        <w:t xml:space="preserve"> 120 countries</w:t>
                      </w:r>
                      <w:r w:rsidR="007F4AFE">
                        <w:rPr>
                          <w:rFonts w:cs="Arial"/>
                          <w:sz w:val="20"/>
                          <w:szCs w:val="20"/>
                          <w:lang w:val="en-CA" w:eastAsia="en-GB"/>
                        </w:rPr>
                        <w:t>/territories</w:t>
                      </w:r>
                      <w:r>
                        <w:rPr>
                          <w:rFonts w:cs="Arial"/>
                          <w:sz w:val="20"/>
                          <w:szCs w:val="20"/>
                          <w:lang w:val="en-CA" w:eastAsia="en-GB"/>
                        </w:rPr>
                        <w:t xml:space="preserve"> and 20 ‘rest of world’ regions </w:t>
                      </w:r>
                      <w:r w:rsidR="00D979D2">
                        <w:rPr>
                          <w:rFonts w:cs="Arial"/>
                          <w:sz w:val="20"/>
                          <w:szCs w:val="20"/>
                          <w:lang w:val="en-CA" w:eastAsia="en-GB"/>
                        </w:rPr>
                        <w:t xml:space="preserve">in the 2023 release </w:t>
                      </w:r>
                      <w:r>
                        <w:rPr>
                          <w:rFonts w:cs="Arial"/>
                          <w:sz w:val="20"/>
                          <w:szCs w:val="20"/>
                          <w:lang w:val="en-CA" w:eastAsia="en-GB"/>
                        </w:rPr>
                        <w:t>is under</w:t>
                      </w:r>
                      <w:r w:rsidR="00D979D2">
                        <w:rPr>
                          <w:rFonts w:cs="Arial"/>
                          <w:sz w:val="20"/>
                          <w:szCs w:val="20"/>
                          <w:lang w:val="en-CA" w:eastAsia="en-GB"/>
                        </w:rPr>
                        <w:t>way</w:t>
                      </w:r>
                      <w:r>
                        <w:rPr>
                          <w:rFonts w:cs="Arial"/>
                          <w:sz w:val="20"/>
                          <w:szCs w:val="20"/>
                          <w:lang w:val="en-CA" w:eastAsia="en-GB"/>
                        </w:rPr>
                        <w:t>.</w:t>
                      </w:r>
                    </w:p>
                    <w:p w14:paraId="41ACFBB5" w14:textId="77777777" w:rsidR="00B33B9E" w:rsidRDefault="00B33B9E" w:rsidP="00DF6833">
                      <w:pPr>
                        <w:spacing w:after="100" w:line="256" w:lineRule="auto"/>
                        <w:rPr>
                          <w:rFonts w:cs="Arial"/>
                          <w:sz w:val="20"/>
                          <w:szCs w:val="20"/>
                          <w:lang w:val="en-CA" w:eastAsia="en-GB"/>
                        </w:rPr>
                      </w:pPr>
                      <w:r>
                        <w:rPr>
                          <w:rFonts w:cs="Arial"/>
                          <w:b/>
                          <w:bCs/>
                          <w:sz w:val="20"/>
                          <w:szCs w:val="20"/>
                          <w:lang w:val="en-CA" w:eastAsia="en-GB"/>
                        </w:rPr>
                        <w:t xml:space="preserve">Commodity coverage: </w:t>
                      </w:r>
                      <w:r>
                        <w:rPr>
                          <w:rFonts w:cs="Arial"/>
                          <w:sz w:val="20"/>
                          <w:szCs w:val="20"/>
                          <w:lang w:val="en-CA" w:eastAsia="en-GB"/>
                        </w:rPr>
                        <w:t>For the biodiversity loss and scarcity weighted water use metrics, data are only available for</w:t>
                      </w:r>
                      <w:r>
                        <w:rPr>
                          <w:rFonts w:cs="Arial"/>
                          <w:b/>
                          <w:bCs/>
                          <w:sz w:val="20"/>
                          <w:szCs w:val="20"/>
                          <w:lang w:val="en-CA" w:eastAsia="en-GB"/>
                        </w:rPr>
                        <w:t xml:space="preserve"> </w:t>
                      </w:r>
                      <w:r>
                        <w:rPr>
                          <w:rFonts w:cs="Arial"/>
                          <w:sz w:val="20"/>
                          <w:szCs w:val="20"/>
                          <w:lang w:val="en-CA" w:eastAsia="en-GB"/>
                        </w:rPr>
                        <w:t>crop commodities. For the deforestation metric, data are available for crop commodities, timber and cattle related commodities. The potential for adding metals and mineral, and marine commodities is being explored but to date remains a data gap.</w:t>
                      </w:r>
                    </w:p>
                    <w:p w14:paraId="2441162A" w14:textId="52B28771" w:rsidR="00B33B9E" w:rsidRDefault="00B33B9E" w:rsidP="00DF6833">
                      <w:pPr>
                        <w:spacing w:after="100" w:line="256" w:lineRule="auto"/>
                        <w:rPr>
                          <w:rFonts w:cs="Arial"/>
                          <w:sz w:val="18"/>
                          <w:szCs w:val="18"/>
                          <w:lang w:val="en-CA" w:eastAsia="en-GB"/>
                        </w:rPr>
                      </w:pPr>
                      <w:r>
                        <w:rPr>
                          <w:rFonts w:cs="Arial"/>
                          <w:b/>
                          <w:bCs/>
                          <w:sz w:val="20"/>
                          <w:szCs w:val="20"/>
                          <w:lang w:val="en-CA" w:eastAsia="en-GB"/>
                        </w:rPr>
                        <w:t>Metric types:</w:t>
                      </w:r>
                      <w:r>
                        <w:rPr>
                          <w:rFonts w:cs="Arial"/>
                          <w:sz w:val="20"/>
                          <w:szCs w:val="20"/>
                          <w:lang w:val="en-CA" w:eastAsia="en-GB"/>
                        </w:rPr>
                        <w:t xml:space="preserve"> There are many different types of environmental impact from unsustainable consumption that affect biodiversity, beyond deforestation, biodiversity loss and water stress. </w:t>
                      </w:r>
                      <w:r>
                        <w:rPr>
                          <w:rFonts w:eastAsia="Times New Roman" w:cs="Arial"/>
                          <w:sz w:val="20"/>
                          <w:szCs w:val="20"/>
                          <w:lang w:eastAsia="en-GB"/>
                        </w:rPr>
                        <w:t xml:space="preserve">Data are also available from the dashboard on </w:t>
                      </w:r>
                      <w:r w:rsidR="007F4AFE">
                        <w:rPr>
                          <w:rFonts w:eastAsia="Times New Roman" w:cs="Arial"/>
                          <w:sz w:val="20"/>
                          <w:szCs w:val="20"/>
                          <w:lang w:eastAsia="en-GB"/>
                        </w:rPr>
                        <w:t>tonnes of production</w:t>
                      </w:r>
                      <w:r>
                        <w:rPr>
                          <w:rFonts w:eastAsia="Times New Roman" w:cs="Arial"/>
                          <w:sz w:val="20"/>
                          <w:szCs w:val="20"/>
                          <w:lang w:eastAsia="en-GB"/>
                        </w:rPr>
                        <w:t>, land use, water use, and GHG emissions associated with tropical deforestation. However, other impact types, especially those most associated with intensive agriculture, such as nitrogen and phosphorous pollution, are not currently included. Development work to explore adding such metrics in future is planned.</w:t>
                      </w:r>
                      <w:r w:rsidR="007A1A94">
                        <w:rPr>
                          <w:rFonts w:eastAsia="Times New Roman" w:cs="Arial"/>
                          <w:sz w:val="20"/>
                          <w:szCs w:val="20"/>
                          <w:lang w:eastAsia="en-GB"/>
                        </w:rPr>
                        <w:t xml:space="preserve"> </w:t>
                      </w:r>
                      <w:r w:rsidR="00DD5A82">
                        <w:rPr>
                          <w:rFonts w:eastAsia="Times New Roman" w:cs="Arial"/>
                          <w:sz w:val="20"/>
                          <w:szCs w:val="20"/>
                          <w:lang w:eastAsia="en-GB"/>
                        </w:rPr>
                        <w:t xml:space="preserve">Exploration of the addition of data to extend the deforestation metric to include deforestation taking place in non-tropical areas is also planned. </w:t>
                      </w:r>
                      <w:r w:rsidR="007A1A94">
                        <w:rPr>
                          <w:rFonts w:eastAsia="Times New Roman" w:cs="Arial"/>
                          <w:sz w:val="20"/>
                          <w:szCs w:val="20"/>
                          <w:lang w:eastAsia="en-GB"/>
                        </w:rPr>
                        <w:t xml:space="preserve">A major advantage of the data framework is its retention of commodity-specificity which means that appropriate commodity-level indicators (important to reflect the heterogeneous nature of production processes and impacts across products) can be relatively easily integrated to extend coverage of environmental impacts. </w:t>
                      </w:r>
                    </w:p>
                    <w:p w14:paraId="6FFC00B4" w14:textId="77777777" w:rsidR="00B33B9E" w:rsidRDefault="00B33B9E" w:rsidP="00DF6833">
                      <w:pPr>
                        <w:rPr>
                          <w:rFonts w:cs="Arial"/>
                          <w:sz w:val="18"/>
                          <w:szCs w:val="18"/>
                          <w:lang w:val="en-CA" w:eastAsia="en-GB"/>
                        </w:rPr>
                      </w:pPr>
                    </w:p>
                  </w:txbxContent>
                </v:textbox>
                <w10:anchorlock/>
              </v:shape>
            </w:pict>
          </mc:Fallback>
        </mc:AlternateContent>
      </w:r>
    </w:p>
    <w:p w14:paraId="7BFD911A" w14:textId="72E9C4DD" w:rsidR="00DF6833" w:rsidRDefault="00DF6833" w:rsidP="00DF6833">
      <w:pPr>
        <w:autoSpaceDE w:val="0"/>
        <w:autoSpaceDN w:val="0"/>
        <w:adjustRightInd w:val="0"/>
        <w:spacing w:after="100"/>
        <w:rPr>
          <w:rFonts w:eastAsia="Calibri" w:cs="Arial"/>
          <w:b/>
          <w:bCs/>
          <w:sz w:val="20"/>
          <w:szCs w:val="20"/>
        </w:rPr>
      </w:pPr>
      <w:r>
        <w:rPr>
          <w:rFonts w:eastAsia="Calibri" w:cs="Arial"/>
          <w:b/>
          <w:bCs/>
          <w:sz w:val="20"/>
          <w:szCs w:val="20"/>
        </w:rPr>
        <w:br w:type="page"/>
      </w:r>
    </w:p>
    <w:p w14:paraId="49B4902D" w14:textId="77777777" w:rsidR="00DF6833" w:rsidRDefault="00DF6833" w:rsidP="00DF6833">
      <w:pPr>
        <w:autoSpaceDE w:val="0"/>
        <w:autoSpaceDN w:val="0"/>
        <w:adjustRightInd w:val="0"/>
        <w:spacing w:after="100"/>
        <w:rPr>
          <w:rFonts w:eastAsia="Calibri" w:cs="Arial"/>
          <w:szCs w:val="22"/>
          <w:lang w:val="en-CA" w:eastAsia="en-GB"/>
        </w:rPr>
      </w:pPr>
      <w:r>
        <w:rPr>
          <w:rFonts w:eastAsia="Calibri" w:cs="Arial"/>
          <w:b/>
          <w:bCs/>
          <w:sz w:val="20"/>
          <w:szCs w:val="20"/>
          <w:lang w:val="en-CA" w:eastAsia="en-GB"/>
        </w:rPr>
        <w:lastRenderedPageBreak/>
        <w:t>5.k Treatment of missing values</w:t>
      </w:r>
    </w:p>
    <w:p w14:paraId="75AC588E" w14:textId="4BD46848" w:rsidR="00DF6833" w:rsidRDefault="00DF6833" w:rsidP="00D652C7">
      <w:pPr>
        <w:autoSpaceDE w:val="0"/>
        <w:autoSpaceDN w:val="0"/>
        <w:adjustRightInd w:val="0"/>
        <w:spacing w:after="100" w:line="256" w:lineRule="auto"/>
        <w:jc w:val="both"/>
        <w:rPr>
          <w:rFonts w:eastAsia="Calibri" w:cs="Arial"/>
          <w:szCs w:val="22"/>
          <w:lang w:val="en-CA" w:eastAsia="en-GB"/>
        </w:rPr>
      </w:pPr>
      <w:r>
        <w:rPr>
          <w:rFonts w:eastAsia="Calibri" w:cs="Arial"/>
          <w:b/>
          <w:bCs/>
          <w:noProof/>
          <w:sz w:val="20"/>
          <w:szCs w:val="20"/>
          <w:lang w:val="en-CA" w:eastAsia="en-GB"/>
        </w:rPr>
        <mc:AlternateContent>
          <mc:Choice Requires="wps">
            <w:drawing>
              <wp:inline distT="0" distB="0" distL="0" distR="0" wp14:anchorId="1B4A4C48" wp14:editId="6FC45CF9">
                <wp:extent cx="5791200" cy="7011760"/>
                <wp:effectExtent l="0" t="0" r="19050" b="1778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011760"/>
                        </a:xfrm>
                        <a:prstGeom prst="rect">
                          <a:avLst/>
                        </a:prstGeom>
                        <a:solidFill>
                          <a:srgbClr val="FFFFFF"/>
                        </a:solidFill>
                        <a:ln w="9525">
                          <a:solidFill>
                            <a:srgbClr val="000000"/>
                          </a:solidFill>
                          <a:miter lim="800000"/>
                          <a:headEnd/>
                          <a:tailEnd/>
                        </a:ln>
                      </wps:spPr>
                      <wps:txbx>
                        <w:txbxContent>
                          <w:p w14:paraId="31B3E31E" w14:textId="4B0EEBA6"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For production and trade data, data gaps are left blank. In many cases, this is due to a combination of not knowing if “gaps” are really gaps or whether they genuinely represent zero trade. For production, this means that in such cases, no production/impacts are assigned to a given commodity/country pairing. Within the trade data, there are some cases where no trade data are present, but it is known that</w:t>
                            </w:r>
                            <w:r>
                              <w:rPr>
                                <w:rFonts w:eastAsia="Times New Roman" w:cs="Arial"/>
                                <w:sz w:val="20"/>
                                <w:szCs w:val="20"/>
                                <w:lang w:eastAsia="en-GB"/>
                              </w:rPr>
                              <w:t>, in reality, trade takes place because some countries might not report their trade data fully.</w:t>
                            </w:r>
                          </w:p>
                          <w:p w14:paraId="5D1CB4C3" w14:textId="0ECEF5BA"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Currently these are just left blank, and the MRIO is used to estimate all trade in these cases. In future, it will be possible to utilise additional trade data and methodologies to “reconcile” the trade data and fill these gaps, e.g., by combining export and import records</w:t>
                            </w:r>
                            <w:r w:rsidR="007A1A94">
                              <w:rPr>
                                <w:rFonts w:eastAsia="Times New Roman" w:cs="Arial"/>
                                <w:sz w:val="20"/>
                                <w:szCs w:val="20"/>
                                <w:lang w:eastAsia="en-GB"/>
                              </w:rPr>
                              <w:t>. T</w:t>
                            </w:r>
                            <w:r>
                              <w:rPr>
                                <w:rFonts w:eastAsia="Times New Roman" w:cs="Arial"/>
                                <w:sz w:val="20"/>
                                <w:szCs w:val="20"/>
                                <w:lang w:eastAsia="en-GB"/>
                              </w:rPr>
                              <w:t xml:space="preserve">his was beyond the scope of the initial </w:t>
                            </w:r>
                            <w:r w:rsidR="007A1A94">
                              <w:rPr>
                                <w:rFonts w:eastAsia="Times New Roman" w:cs="Arial"/>
                                <w:sz w:val="20"/>
                                <w:szCs w:val="20"/>
                                <w:lang w:eastAsia="en-GB"/>
                              </w:rPr>
                              <w:t>release but is an active area of current development</w:t>
                            </w:r>
                            <w:r>
                              <w:rPr>
                                <w:rFonts w:eastAsia="Times New Roman" w:cs="Arial"/>
                                <w:sz w:val="20"/>
                                <w:szCs w:val="20"/>
                                <w:lang w:eastAsia="en-GB"/>
                              </w:rPr>
                              <w:t>.</w:t>
                            </w:r>
                          </w:p>
                          <w:p w14:paraId="314F85E4" w14:textId="4BA442CC"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Whilst not all countries are explicitly covered within the MRIO (44 individual countries are currently represented within EXIOBASE), any remaining countries are represented within one of five “Rest of World” regions, and therefore their </w:t>
                            </w:r>
                            <w:r w:rsidR="007A1A94">
                              <w:rPr>
                                <w:rFonts w:eastAsia="Times New Roman" w:cs="Arial"/>
                                <w:sz w:val="20"/>
                                <w:szCs w:val="20"/>
                                <w:lang w:eastAsia="en-GB"/>
                              </w:rPr>
                              <w:t xml:space="preserve">supply </w:t>
                            </w:r>
                            <w:r>
                              <w:rPr>
                                <w:rFonts w:eastAsia="Times New Roman" w:cs="Arial"/>
                                <w:sz w:val="20"/>
                                <w:szCs w:val="20"/>
                                <w:lang w:eastAsia="en-GB"/>
                              </w:rPr>
                              <w:t>chains (from a producer, intermediary and consumption perspective) are captured and considered, albeit at reduced geographic resolution.</w:t>
                            </w:r>
                          </w:p>
                          <w:p w14:paraId="52D048A1"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Details on how the data are captured, and how some missing values are imputed, in the underlying production and trade datasets from FAO can be found here: </w:t>
                            </w:r>
                            <w:hyperlink r:id="rId92" w:history="1">
                              <w:r>
                                <w:rPr>
                                  <w:rStyle w:val="Hyperlink"/>
                                  <w:rFonts w:eastAsia="Times New Roman" w:cs="Arial"/>
                                  <w:sz w:val="20"/>
                                  <w:szCs w:val="20"/>
                                  <w:lang w:eastAsia="en-GB"/>
                                </w:rPr>
                                <w:t>https://fenixservices.fao.org/faostat/static/documents/QCL/QCL_methodology_e.pdf</w:t>
                              </w:r>
                            </w:hyperlink>
                            <w:r>
                              <w:rPr>
                                <w:rFonts w:eastAsia="Times New Roman" w:cs="Arial"/>
                                <w:sz w:val="20"/>
                                <w:szCs w:val="20"/>
                                <w:lang w:eastAsia="en-GB"/>
                              </w:rPr>
                              <w:t xml:space="preserve"> and </w:t>
                            </w:r>
                            <w:hyperlink r:id="rId93" w:history="1">
                              <w:r>
                                <w:rPr>
                                  <w:rStyle w:val="Hyperlink"/>
                                  <w:rFonts w:eastAsia="Times New Roman" w:cs="Arial"/>
                                  <w:sz w:val="20"/>
                                  <w:szCs w:val="20"/>
                                  <w:lang w:eastAsia="en-GB"/>
                                </w:rPr>
                                <w:t>https://fenixservices.fao.org/faostat/static/documents/TM/TM_e.pdf</w:t>
                              </w:r>
                            </w:hyperlink>
                            <w:r>
                              <w:rPr>
                                <w:rFonts w:eastAsia="Times New Roman" w:cs="Arial"/>
                                <w:sz w:val="20"/>
                                <w:szCs w:val="20"/>
                                <w:lang w:eastAsia="en-GB"/>
                              </w:rPr>
                              <w:t xml:space="preserve"> </w:t>
                            </w:r>
                          </w:p>
                          <w:p w14:paraId="1B7F294C"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Detail on the production of the EXIOBASE MRIO utilised can be found here: </w:t>
                            </w:r>
                            <w:hyperlink r:id="rId94" w:history="1">
                              <w:r>
                                <w:rPr>
                                  <w:rStyle w:val="Hyperlink"/>
                                  <w:rFonts w:eastAsia="Times New Roman" w:cs="Arial"/>
                                  <w:sz w:val="20"/>
                                  <w:szCs w:val="20"/>
                                  <w:lang w:eastAsia="en-GB"/>
                                </w:rPr>
                                <w:t>https://onlinelibrary.wiley.com/doi/10.1111/jiec.12715</w:t>
                              </w:r>
                            </w:hyperlink>
                            <w:r>
                              <w:rPr>
                                <w:rFonts w:eastAsia="Times New Roman" w:cs="Arial"/>
                                <w:sz w:val="20"/>
                                <w:szCs w:val="20"/>
                                <w:lang w:eastAsia="en-GB"/>
                              </w:rPr>
                              <w:t xml:space="preserve"> </w:t>
                            </w:r>
                          </w:p>
                          <w:p w14:paraId="78601628"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For the environmental indicators themselves, different approaches are adopted in the cases of data gaps, as explained below:</w:t>
                            </w:r>
                          </w:p>
                          <w:p w14:paraId="193EFCA9"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Cropland area harvested: where no data are available, entries are left as zero value.</w:t>
                            </w:r>
                          </w:p>
                          <w:p w14:paraId="206FAA40"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Deforestation and associated emissions: where no data are available, entries are left as zero value.</w:t>
                            </w:r>
                          </w:p>
                          <w:p w14:paraId="76E31E55"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Water footprint and scarcity: </w:t>
                            </w:r>
                          </w:p>
                          <w:p w14:paraId="020F8EDB"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annualised data for a country/commodity are missing, a value is adopted from a “nearest neighbour” within ten angular degrees.</w:t>
                            </w:r>
                          </w:p>
                          <w:p w14:paraId="29E8114C"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none is available, non-annualised data are adopted for the focal country, and if not available again from a nearest neighbour within ten angular degrees.</w:t>
                            </w:r>
                          </w:p>
                          <w:p w14:paraId="46EC4AC2"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this yields no value, a global average for the crop from the original reference period is adopted.</w:t>
                            </w:r>
                          </w:p>
                          <w:p w14:paraId="71FCBD27"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no global average is available, the entry is left blank.</w:t>
                            </w:r>
                          </w:p>
                          <w:p w14:paraId="07F188B8"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Across all of these stages of data substitution, values are only adopted if data are available for both blue and green water.</w:t>
                            </w:r>
                          </w:p>
                          <w:p w14:paraId="58169E95"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Biodiversity – predicted species loss: where no data are available, entries are left as zero value.</w:t>
                            </w:r>
                          </w:p>
                          <w:p w14:paraId="76CEAC9E" w14:textId="77777777" w:rsidR="00B33B9E" w:rsidRDefault="00B33B9E" w:rsidP="00DF6833">
                            <w:pPr>
                              <w:pStyle w:val="ListParagraph"/>
                              <w:numPr>
                                <w:ilvl w:val="0"/>
                                <w:numId w:val="21"/>
                              </w:numPr>
                              <w:spacing w:after="100" w:line="256" w:lineRule="auto"/>
                              <w:rPr>
                                <w:rFonts w:ascii="Calibri Light" w:hAnsi="Calibri Light"/>
                                <w:sz w:val="18"/>
                                <w:szCs w:val="18"/>
                              </w:rPr>
                            </w:pPr>
                            <w:r>
                              <w:rPr>
                                <w:rFonts w:eastAsia="Times New Roman" w:cs="Arial"/>
                                <w:sz w:val="20"/>
                                <w:szCs w:val="20"/>
                                <w:lang w:eastAsia="en-GB"/>
                              </w:rPr>
                              <w:t>Biodiversity – species richness weighted hectares: where no data are available, entries are left as zero value. However, application of this indicator depends on land use data, so if no land area data are available within FAOSTAT for a given country/commodity/year, an estimate is derived from global average yields.</w:t>
                            </w:r>
                          </w:p>
                          <w:p w14:paraId="71C11837" w14:textId="77777777" w:rsidR="00B33B9E" w:rsidRDefault="00B33B9E" w:rsidP="00DF6833">
                            <w:pPr>
                              <w:rPr>
                                <w:sz w:val="18"/>
                                <w:szCs w:val="18"/>
                              </w:rPr>
                            </w:pPr>
                          </w:p>
                          <w:p w14:paraId="17CAE8B3" w14:textId="77777777" w:rsidR="00B33B9E" w:rsidRDefault="00B33B9E" w:rsidP="00DF6833">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1B4A4C48" id="Text Box 48" o:spid="_x0000_s1041" type="#_x0000_t202" style="width:456pt;height:5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">
                <v:textbox>
                  <w:txbxContent>
                    <w:p w14:paraId="31B3E31E" w14:textId="4B0EEBA6"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For production and trade data, data gaps are left blank. In many cases, this is due to a combination of not knowing if “gaps” are really gaps or whether they genuinely represent zero trade. For production, this means that in such cases, no production/impacts are assigned to a given commodity/country pairing. Within the trade data, there are some cases where no trade data are present, but it is known that</w:t>
                      </w:r>
                      <w:r>
                        <w:rPr>
                          <w:rFonts w:eastAsia="Times New Roman" w:cs="Arial"/>
                          <w:sz w:val="20"/>
                          <w:szCs w:val="20"/>
                          <w:lang w:eastAsia="en-GB"/>
                        </w:rPr>
                        <w:t>, in reality, trade takes place because some countries might not report their trade data fully.</w:t>
                      </w:r>
                    </w:p>
                    <w:p w14:paraId="5D1CB4C3" w14:textId="0ECEF5BA"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Currently these are just left blank, and the MRIO is used to estimate all trade in these cases. In future, it will be possible to utilise additional trade data and methodologies to “reconcile” the trade data and fill these gaps, e.g., by combining export and import records</w:t>
                      </w:r>
                      <w:r w:rsidR="007A1A94">
                        <w:rPr>
                          <w:rFonts w:eastAsia="Times New Roman" w:cs="Arial"/>
                          <w:sz w:val="20"/>
                          <w:szCs w:val="20"/>
                          <w:lang w:eastAsia="en-GB"/>
                        </w:rPr>
                        <w:t>. T</w:t>
                      </w:r>
                      <w:r>
                        <w:rPr>
                          <w:rFonts w:eastAsia="Times New Roman" w:cs="Arial"/>
                          <w:sz w:val="20"/>
                          <w:szCs w:val="20"/>
                          <w:lang w:eastAsia="en-GB"/>
                        </w:rPr>
                        <w:t xml:space="preserve">his was beyond the scope of the initial </w:t>
                      </w:r>
                      <w:r w:rsidR="007A1A94">
                        <w:rPr>
                          <w:rFonts w:eastAsia="Times New Roman" w:cs="Arial"/>
                          <w:sz w:val="20"/>
                          <w:szCs w:val="20"/>
                          <w:lang w:eastAsia="en-GB"/>
                        </w:rPr>
                        <w:t>release but is an active area of current development</w:t>
                      </w:r>
                      <w:r>
                        <w:rPr>
                          <w:rFonts w:eastAsia="Times New Roman" w:cs="Arial"/>
                          <w:sz w:val="20"/>
                          <w:szCs w:val="20"/>
                          <w:lang w:eastAsia="en-GB"/>
                        </w:rPr>
                        <w:t>.</w:t>
                      </w:r>
                    </w:p>
                    <w:p w14:paraId="314F85E4" w14:textId="4BA442CC"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Whilst not all countries are explicitly covered within the MRIO (44 individual countries are currently represented within EXIOBASE), any remaining countries are represented within one of five “Rest of World” regions, and therefore their </w:t>
                      </w:r>
                      <w:r w:rsidR="007A1A94">
                        <w:rPr>
                          <w:rFonts w:eastAsia="Times New Roman" w:cs="Arial"/>
                          <w:sz w:val="20"/>
                          <w:szCs w:val="20"/>
                          <w:lang w:eastAsia="en-GB"/>
                        </w:rPr>
                        <w:t xml:space="preserve">supply </w:t>
                      </w:r>
                      <w:r>
                        <w:rPr>
                          <w:rFonts w:eastAsia="Times New Roman" w:cs="Arial"/>
                          <w:sz w:val="20"/>
                          <w:szCs w:val="20"/>
                          <w:lang w:eastAsia="en-GB"/>
                        </w:rPr>
                        <w:t>chains (from a producer, intermediary and consumption perspective) are captured and considered, albeit at reduced geographic resolution.</w:t>
                      </w:r>
                    </w:p>
                    <w:p w14:paraId="52D048A1"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Details on how the data are captured, and how some missing values are imputed, in the underlying production and trade datasets from FAO can be found here: </w:t>
                      </w:r>
                      <w:hyperlink r:id="rId95" w:history="1">
                        <w:r>
                          <w:rPr>
                            <w:rStyle w:val="Hyperlink"/>
                            <w:rFonts w:eastAsia="Times New Roman" w:cs="Arial"/>
                            <w:sz w:val="20"/>
                            <w:szCs w:val="20"/>
                            <w:lang w:eastAsia="en-GB"/>
                          </w:rPr>
                          <w:t>https://fenixservices.fao.org/faostat/static/documents/QCL/QCL_methodology_e.pdf</w:t>
                        </w:r>
                      </w:hyperlink>
                      <w:r>
                        <w:rPr>
                          <w:rFonts w:eastAsia="Times New Roman" w:cs="Arial"/>
                          <w:sz w:val="20"/>
                          <w:szCs w:val="20"/>
                          <w:lang w:eastAsia="en-GB"/>
                        </w:rPr>
                        <w:t xml:space="preserve"> and </w:t>
                      </w:r>
                      <w:hyperlink r:id="rId96" w:history="1">
                        <w:r>
                          <w:rPr>
                            <w:rStyle w:val="Hyperlink"/>
                            <w:rFonts w:eastAsia="Times New Roman" w:cs="Arial"/>
                            <w:sz w:val="20"/>
                            <w:szCs w:val="20"/>
                            <w:lang w:eastAsia="en-GB"/>
                          </w:rPr>
                          <w:t>https://fenixservices.fao.org/faostat/static/documents/TM/TM_e.pdf</w:t>
                        </w:r>
                      </w:hyperlink>
                      <w:r>
                        <w:rPr>
                          <w:rFonts w:eastAsia="Times New Roman" w:cs="Arial"/>
                          <w:sz w:val="20"/>
                          <w:szCs w:val="20"/>
                          <w:lang w:eastAsia="en-GB"/>
                        </w:rPr>
                        <w:t xml:space="preserve"> </w:t>
                      </w:r>
                    </w:p>
                    <w:p w14:paraId="1B7F294C"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Detail on the production of the EXIOBASE MRIO utilised can be found here: </w:t>
                      </w:r>
                      <w:hyperlink r:id="rId97" w:history="1">
                        <w:r>
                          <w:rPr>
                            <w:rStyle w:val="Hyperlink"/>
                            <w:rFonts w:eastAsia="Times New Roman" w:cs="Arial"/>
                            <w:sz w:val="20"/>
                            <w:szCs w:val="20"/>
                            <w:lang w:eastAsia="en-GB"/>
                          </w:rPr>
                          <w:t>https://onlinelibrary.wiley.com/doi/10.1111/jiec.12715</w:t>
                        </w:r>
                      </w:hyperlink>
                      <w:r>
                        <w:rPr>
                          <w:rFonts w:eastAsia="Times New Roman" w:cs="Arial"/>
                          <w:sz w:val="20"/>
                          <w:szCs w:val="20"/>
                          <w:lang w:eastAsia="en-GB"/>
                        </w:rPr>
                        <w:t xml:space="preserve"> </w:t>
                      </w:r>
                    </w:p>
                    <w:p w14:paraId="78601628" w14:textId="77777777" w:rsidR="00B33B9E" w:rsidRDefault="00B33B9E" w:rsidP="00DF6833">
                      <w:p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For the environmental indicators themselves, different approaches are adopted in the cases of data gaps, as explained below:</w:t>
                      </w:r>
                    </w:p>
                    <w:p w14:paraId="193EFCA9"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Cropland area harvested: where no data are available, entries are left as zero value.</w:t>
                      </w:r>
                    </w:p>
                    <w:p w14:paraId="206FAA40"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Deforestation and associated emissions: where no data are available, entries are left as zero value.</w:t>
                      </w:r>
                    </w:p>
                    <w:p w14:paraId="76E31E55"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 xml:space="preserve">Water footprint and scarcity: </w:t>
                      </w:r>
                    </w:p>
                    <w:p w14:paraId="020F8EDB"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annualised data for a country/commodity are missing, a value is adopted from a “nearest neighbour” within ten angular degrees.</w:t>
                      </w:r>
                    </w:p>
                    <w:p w14:paraId="29E8114C"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none is available, non-annualised data are adopted for the focal country, and if not available again from a nearest neighbour within ten angular degrees.</w:t>
                      </w:r>
                    </w:p>
                    <w:p w14:paraId="46EC4AC2"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this yields no value, a global average for the crop from the original reference period is adopted.</w:t>
                      </w:r>
                    </w:p>
                    <w:p w14:paraId="71FCBD27"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If no global average is available, the entry is left blank.</w:t>
                      </w:r>
                    </w:p>
                    <w:p w14:paraId="07F188B8" w14:textId="77777777" w:rsidR="00B33B9E" w:rsidRDefault="00B33B9E" w:rsidP="00DF6833">
                      <w:pPr>
                        <w:pStyle w:val="ListParagraph"/>
                        <w:numPr>
                          <w:ilvl w:val="1"/>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Across all of these stages of data substitution, values are only adopted if data are available for both blue and green water.</w:t>
                      </w:r>
                    </w:p>
                    <w:p w14:paraId="58169E95" w14:textId="77777777" w:rsidR="00B33B9E" w:rsidRDefault="00B33B9E" w:rsidP="00DF6833">
                      <w:pPr>
                        <w:pStyle w:val="ListParagraph"/>
                        <w:numPr>
                          <w:ilvl w:val="0"/>
                          <w:numId w:val="21"/>
                        </w:numPr>
                        <w:shd w:val="clear" w:color="auto" w:fill="FFFFFF"/>
                        <w:spacing w:after="100" w:line="256" w:lineRule="auto"/>
                        <w:outlineLvl w:val="4"/>
                        <w:rPr>
                          <w:rFonts w:eastAsia="Times New Roman" w:cs="Arial"/>
                          <w:sz w:val="20"/>
                          <w:szCs w:val="20"/>
                          <w:lang w:eastAsia="en-GB"/>
                        </w:rPr>
                      </w:pPr>
                      <w:r>
                        <w:rPr>
                          <w:rFonts w:eastAsia="Times New Roman" w:cs="Arial"/>
                          <w:sz w:val="20"/>
                          <w:szCs w:val="20"/>
                          <w:lang w:eastAsia="en-GB"/>
                        </w:rPr>
                        <w:t>Biodiversity – predicted species loss: where no data are available, entries are left as zero value.</w:t>
                      </w:r>
                    </w:p>
                    <w:p w14:paraId="76CEAC9E" w14:textId="77777777" w:rsidR="00B33B9E" w:rsidRDefault="00B33B9E" w:rsidP="00DF6833">
                      <w:pPr>
                        <w:pStyle w:val="ListParagraph"/>
                        <w:numPr>
                          <w:ilvl w:val="0"/>
                          <w:numId w:val="21"/>
                        </w:numPr>
                        <w:spacing w:after="100" w:line="256" w:lineRule="auto"/>
                        <w:rPr>
                          <w:rFonts w:ascii="Calibri Light" w:hAnsi="Calibri Light"/>
                          <w:sz w:val="18"/>
                          <w:szCs w:val="18"/>
                        </w:rPr>
                      </w:pPr>
                      <w:r>
                        <w:rPr>
                          <w:rFonts w:eastAsia="Times New Roman" w:cs="Arial"/>
                          <w:sz w:val="20"/>
                          <w:szCs w:val="20"/>
                          <w:lang w:eastAsia="en-GB"/>
                        </w:rPr>
                        <w:t>Biodiversity – species richness weighted hectares: where no data are available, entries are left as zero value. However, application of this indicator depends on land use data, so if no land area data are available within FAOSTAT for a given country/commodity/year, an estimate is derived from global average yields.</w:t>
                      </w:r>
                    </w:p>
                    <w:p w14:paraId="71C11837" w14:textId="77777777" w:rsidR="00B33B9E" w:rsidRDefault="00B33B9E" w:rsidP="00DF6833">
                      <w:pPr>
                        <w:rPr>
                          <w:sz w:val="18"/>
                          <w:szCs w:val="18"/>
                        </w:rPr>
                      </w:pPr>
                    </w:p>
                    <w:p w14:paraId="17CAE8B3" w14:textId="77777777" w:rsidR="00B33B9E" w:rsidRDefault="00B33B9E" w:rsidP="00DF6833">
                      <w:pPr>
                        <w:rPr>
                          <w:sz w:val="18"/>
                          <w:szCs w:val="18"/>
                        </w:rPr>
                      </w:pPr>
                    </w:p>
                  </w:txbxContent>
                </v:textbox>
                <w10:anchorlock/>
              </v:shape>
            </w:pict>
          </mc:Fallback>
        </mc:AlternateContent>
      </w:r>
    </w:p>
    <w:p w14:paraId="2EB17E13" w14:textId="77777777" w:rsidR="00D652C7" w:rsidRPr="00D652C7" w:rsidRDefault="00D652C7" w:rsidP="00D652C7">
      <w:pPr>
        <w:autoSpaceDE w:val="0"/>
        <w:autoSpaceDN w:val="0"/>
        <w:adjustRightInd w:val="0"/>
        <w:spacing w:after="100" w:line="256" w:lineRule="auto"/>
        <w:jc w:val="both"/>
        <w:rPr>
          <w:rFonts w:eastAsia="Calibri" w:cs="Arial"/>
          <w:szCs w:val="22"/>
          <w:lang w:val="en-CA" w:eastAsia="en-GB"/>
        </w:rPr>
      </w:pPr>
    </w:p>
    <w:p w14:paraId="6FCE45EE" w14:textId="77777777" w:rsidR="00DF6833" w:rsidRDefault="00DF6833" w:rsidP="00DF6833">
      <w:pPr>
        <w:numPr>
          <w:ilvl w:val="0"/>
          <w:numId w:val="22"/>
        </w:numPr>
        <w:autoSpaceDE w:val="0"/>
        <w:autoSpaceDN w:val="0"/>
        <w:adjustRightInd w:val="0"/>
        <w:spacing w:after="100"/>
        <w:rPr>
          <w:rFonts w:eastAsia="Times New Roman" w:cs="Arial"/>
          <w:szCs w:val="22"/>
          <w:lang w:val="en-CA" w:eastAsia="en-GB"/>
        </w:rPr>
      </w:pPr>
      <w:r>
        <w:rPr>
          <w:rFonts w:eastAsia="Times New Roman" w:cs="Arial"/>
          <w:b/>
          <w:bCs/>
          <w:szCs w:val="22"/>
          <w:lang w:val="en-CA" w:eastAsia="en-GB"/>
        </w:rPr>
        <w:t>Scale</w:t>
      </w:r>
      <w:r>
        <w:rPr>
          <w:rFonts w:eastAsia="Times New Roman" w:cs="Arial"/>
          <w:szCs w:val="22"/>
          <w:lang w:val="en-CA" w:eastAsia="en-GB"/>
        </w:rPr>
        <w:t xml:space="preserve"> </w:t>
      </w:r>
    </w:p>
    <w:p w14:paraId="575DAF86" w14:textId="7777777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sz w:val="20"/>
          <w:szCs w:val="20"/>
          <w:lang w:val="en-CA" w:eastAsia="en-GB"/>
        </w:rPr>
        <w:t xml:space="preserve">6.a Scale of use </w:t>
      </w:r>
    </w:p>
    <w:p w14:paraId="40238F75" w14:textId="0B894040" w:rsidR="00DF6833" w:rsidRDefault="00DF6833" w:rsidP="00DF6833">
      <w:pPr>
        <w:autoSpaceDE w:val="0"/>
        <w:autoSpaceDN w:val="0"/>
        <w:adjustRightInd w:val="0"/>
        <w:spacing w:after="100"/>
        <w:rPr>
          <w:rFonts w:eastAsia="Times New Roman" w:cs="Arial"/>
          <w:szCs w:val="22"/>
          <w:lang w:val="en-CA" w:eastAsia="en-GB"/>
        </w:rPr>
      </w:pPr>
      <w:r>
        <w:rPr>
          <w:rFonts w:eastAsia="Times New Roman" w:cs="Arial"/>
          <w:b/>
          <w:bCs/>
          <w:noProof/>
          <w:szCs w:val="22"/>
          <w:lang w:val="en-CA" w:eastAsia="en-GB"/>
        </w:rPr>
        <mc:AlternateContent>
          <mc:Choice Requires="wps">
            <w:drawing>
              <wp:inline distT="0" distB="0" distL="0" distR="0" wp14:anchorId="0C5D1477" wp14:editId="69164CCD">
                <wp:extent cx="5791200" cy="751114"/>
                <wp:effectExtent l="0" t="0" r="19050" b="1143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1114"/>
                        </a:xfrm>
                        <a:prstGeom prst="rect">
                          <a:avLst/>
                        </a:prstGeom>
                        <a:solidFill>
                          <a:srgbClr val="FFFFFF"/>
                        </a:solidFill>
                        <a:ln w="9525">
                          <a:solidFill>
                            <a:srgbClr val="000000"/>
                          </a:solidFill>
                          <a:miter lim="800000"/>
                          <a:headEnd/>
                          <a:tailEnd/>
                        </a:ln>
                      </wps:spPr>
                      <wps:txbx>
                        <w:txbxContent>
                          <w:p w14:paraId="5E4DD219" w14:textId="3F3D2896" w:rsidR="00B33B9E" w:rsidRPr="00DF0AE4" w:rsidRDefault="00B33B9E" w:rsidP="00DF0AE4">
                            <w:r>
                              <w:rPr>
                                <w:rFonts w:cs="Arial"/>
                                <w:sz w:val="20"/>
                                <w:szCs w:val="20"/>
                              </w:rPr>
                              <w:t xml:space="preserve">Data are provided at </w:t>
                            </w:r>
                            <w:r w:rsidR="00FD27C2">
                              <w:rPr>
                                <w:rFonts w:cs="Arial"/>
                                <w:sz w:val="20"/>
                                <w:szCs w:val="20"/>
                              </w:rPr>
                              <w:t>national/regional scale, but with global coverage</w:t>
                            </w:r>
                            <w:r>
                              <w:rPr>
                                <w:rFonts w:cs="Arial"/>
                                <w:sz w:val="20"/>
                                <w:szCs w:val="20"/>
                              </w:rPr>
                              <w:t>. For 44 countries</w:t>
                            </w:r>
                            <w:r w:rsidR="00D979D2">
                              <w:rPr>
                                <w:rFonts w:cs="Arial"/>
                                <w:sz w:val="20"/>
                                <w:szCs w:val="20"/>
                              </w:rPr>
                              <w:t>/territories,</w:t>
                            </w:r>
                            <w:r>
                              <w:rPr>
                                <w:rFonts w:cs="Arial"/>
                                <w:sz w:val="20"/>
                                <w:szCs w:val="20"/>
                              </w:rPr>
                              <w:t xml:space="preserve"> data </w:t>
                            </w:r>
                            <w:r w:rsidR="00DF0AE4">
                              <w:rPr>
                                <w:rFonts w:cs="Arial"/>
                                <w:sz w:val="20"/>
                                <w:szCs w:val="20"/>
                              </w:rPr>
                              <w:t>have</w:t>
                            </w:r>
                            <w:r>
                              <w:rPr>
                                <w:rFonts w:cs="Arial"/>
                                <w:sz w:val="20"/>
                                <w:szCs w:val="20"/>
                              </w:rPr>
                              <w:t xml:space="preserve"> been disaggregated for national</w:t>
                            </w:r>
                            <w:r w:rsidR="00D979D2">
                              <w:rPr>
                                <w:rFonts w:cs="Arial"/>
                                <w:sz w:val="20"/>
                                <w:szCs w:val="20"/>
                              </w:rPr>
                              <w:t>/territorial</w:t>
                            </w:r>
                            <w:r>
                              <w:rPr>
                                <w:rFonts w:cs="Arial"/>
                                <w:sz w:val="20"/>
                                <w:szCs w:val="20"/>
                              </w:rPr>
                              <w:t xml:space="preserve"> use</w:t>
                            </w:r>
                            <w:r w:rsidR="00FD27C2">
                              <w:rPr>
                                <w:rFonts w:cs="Arial"/>
                                <w:sz w:val="20"/>
                                <w:szCs w:val="20"/>
                              </w:rPr>
                              <w:t>, while other countries are aggregated into five ‘rest of world’ regions</w:t>
                            </w:r>
                            <w:r>
                              <w:rPr>
                                <w:rFonts w:cs="Arial"/>
                                <w:sz w:val="20"/>
                                <w:szCs w:val="20"/>
                              </w:rPr>
                              <w:t xml:space="preserve">. Future development should allow for disaggregation for </w:t>
                            </w:r>
                            <w:r w:rsidR="00530D3C">
                              <w:rPr>
                                <w:rFonts w:cs="Arial"/>
                                <w:sz w:val="20"/>
                                <w:szCs w:val="20"/>
                              </w:rPr>
                              <w:t xml:space="preserve">at least </w:t>
                            </w:r>
                            <w:r>
                              <w:rPr>
                                <w:rFonts w:cs="Arial"/>
                                <w:sz w:val="20"/>
                                <w:szCs w:val="20"/>
                              </w:rPr>
                              <w:t>120 countries</w:t>
                            </w:r>
                            <w:r w:rsidR="00D979D2">
                              <w:rPr>
                                <w:rFonts w:cs="Arial"/>
                                <w:sz w:val="20"/>
                                <w:szCs w:val="20"/>
                              </w:rPr>
                              <w:t>/territories</w:t>
                            </w:r>
                            <w:r w:rsidR="00FD27C2">
                              <w:rPr>
                                <w:rFonts w:cs="Arial"/>
                                <w:sz w:val="20"/>
                                <w:szCs w:val="20"/>
                              </w:rPr>
                              <w:t>, and 20 ‘rest of world’ regions</w:t>
                            </w:r>
                            <w:r w:rsidR="00D979D2">
                              <w:rPr>
                                <w:rFonts w:cs="Arial"/>
                                <w:sz w:val="20"/>
                                <w:szCs w:val="20"/>
                              </w:rPr>
                              <w:t xml:space="preserve"> in the 2023 data release</w:t>
                            </w:r>
                            <w:r>
                              <w:rPr>
                                <w:rFonts w:cs="Arial"/>
                                <w:sz w:val="20"/>
                                <w:szCs w:val="20"/>
                              </w:rPr>
                              <w:t>.</w:t>
                            </w:r>
                          </w:p>
                          <w:p w14:paraId="6A81F653"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0C5D1477" id="Text Box 47" o:spid="_x0000_s1042" type="#_x0000_t202" style="width:456pt;height:5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">
                <v:textbox>
                  <w:txbxContent>
                    <w:p w14:paraId="5E4DD219" w14:textId="3F3D2896" w:rsidR="00B33B9E" w:rsidRPr="00DF0AE4" w:rsidRDefault="00B33B9E" w:rsidP="00DF0AE4">
                      <w:r>
                        <w:rPr>
                          <w:rFonts w:cs="Arial"/>
                          <w:sz w:val="20"/>
                          <w:szCs w:val="20"/>
                        </w:rPr>
                        <w:t xml:space="preserve">Data are provided at </w:t>
                      </w:r>
                      <w:r w:rsidR="00FD27C2">
                        <w:rPr>
                          <w:rFonts w:cs="Arial"/>
                          <w:sz w:val="20"/>
                          <w:szCs w:val="20"/>
                        </w:rPr>
                        <w:t>national/regional scale, but with global coverage</w:t>
                      </w:r>
                      <w:r>
                        <w:rPr>
                          <w:rFonts w:cs="Arial"/>
                          <w:sz w:val="20"/>
                          <w:szCs w:val="20"/>
                        </w:rPr>
                        <w:t>. For 44 countries</w:t>
                      </w:r>
                      <w:r w:rsidR="00D979D2">
                        <w:rPr>
                          <w:rFonts w:cs="Arial"/>
                          <w:sz w:val="20"/>
                          <w:szCs w:val="20"/>
                        </w:rPr>
                        <w:t>/territories,</w:t>
                      </w:r>
                      <w:r>
                        <w:rPr>
                          <w:rFonts w:cs="Arial"/>
                          <w:sz w:val="20"/>
                          <w:szCs w:val="20"/>
                        </w:rPr>
                        <w:t xml:space="preserve"> data </w:t>
                      </w:r>
                      <w:r w:rsidR="00DF0AE4">
                        <w:rPr>
                          <w:rFonts w:cs="Arial"/>
                          <w:sz w:val="20"/>
                          <w:szCs w:val="20"/>
                        </w:rPr>
                        <w:t>have</w:t>
                      </w:r>
                      <w:r>
                        <w:rPr>
                          <w:rFonts w:cs="Arial"/>
                          <w:sz w:val="20"/>
                          <w:szCs w:val="20"/>
                        </w:rPr>
                        <w:t xml:space="preserve"> been disaggregated for national</w:t>
                      </w:r>
                      <w:r w:rsidR="00D979D2">
                        <w:rPr>
                          <w:rFonts w:cs="Arial"/>
                          <w:sz w:val="20"/>
                          <w:szCs w:val="20"/>
                        </w:rPr>
                        <w:t>/territorial</w:t>
                      </w:r>
                      <w:r>
                        <w:rPr>
                          <w:rFonts w:cs="Arial"/>
                          <w:sz w:val="20"/>
                          <w:szCs w:val="20"/>
                        </w:rPr>
                        <w:t xml:space="preserve"> use</w:t>
                      </w:r>
                      <w:r w:rsidR="00FD27C2">
                        <w:rPr>
                          <w:rFonts w:cs="Arial"/>
                          <w:sz w:val="20"/>
                          <w:szCs w:val="20"/>
                        </w:rPr>
                        <w:t>, while other countries are aggregated into five ‘rest of world’ regions</w:t>
                      </w:r>
                      <w:r>
                        <w:rPr>
                          <w:rFonts w:cs="Arial"/>
                          <w:sz w:val="20"/>
                          <w:szCs w:val="20"/>
                        </w:rPr>
                        <w:t xml:space="preserve">. Future development should allow for disaggregation for </w:t>
                      </w:r>
                      <w:r w:rsidR="00530D3C">
                        <w:rPr>
                          <w:rFonts w:cs="Arial"/>
                          <w:sz w:val="20"/>
                          <w:szCs w:val="20"/>
                        </w:rPr>
                        <w:t xml:space="preserve">at least </w:t>
                      </w:r>
                      <w:r>
                        <w:rPr>
                          <w:rFonts w:cs="Arial"/>
                          <w:sz w:val="20"/>
                          <w:szCs w:val="20"/>
                        </w:rPr>
                        <w:t>120 countries</w:t>
                      </w:r>
                      <w:r w:rsidR="00D979D2">
                        <w:rPr>
                          <w:rFonts w:cs="Arial"/>
                          <w:sz w:val="20"/>
                          <w:szCs w:val="20"/>
                        </w:rPr>
                        <w:t>/territories</w:t>
                      </w:r>
                      <w:r w:rsidR="00FD27C2">
                        <w:rPr>
                          <w:rFonts w:cs="Arial"/>
                          <w:sz w:val="20"/>
                          <w:szCs w:val="20"/>
                        </w:rPr>
                        <w:t>, and 20 ‘rest of world’ regions</w:t>
                      </w:r>
                      <w:r w:rsidR="00D979D2">
                        <w:rPr>
                          <w:rFonts w:cs="Arial"/>
                          <w:sz w:val="20"/>
                          <w:szCs w:val="20"/>
                        </w:rPr>
                        <w:t xml:space="preserve"> in the 2023 data release</w:t>
                      </w:r>
                      <w:r>
                        <w:rPr>
                          <w:rFonts w:cs="Arial"/>
                          <w:sz w:val="20"/>
                          <w:szCs w:val="20"/>
                        </w:rPr>
                        <w:t>.</w:t>
                      </w:r>
                    </w:p>
                    <w:p w14:paraId="6A81F653" w14:textId="77777777" w:rsidR="00B33B9E" w:rsidRDefault="00B33B9E" w:rsidP="00DF6833">
                      <w:pPr>
                        <w:rPr>
                          <w:rFonts w:cs="Arial"/>
                          <w:sz w:val="20"/>
                          <w:szCs w:val="20"/>
                        </w:rPr>
                      </w:pPr>
                    </w:p>
                  </w:txbxContent>
                </v:textbox>
                <w10:anchorlock/>
              </v:shape>
            </w:pict>
          </mc:Fallback>
        </mc:AlternateContent>
      </w:r>
    </w:p>
    <w:p w14:paraId="2F4344EF" w14:textId="77777777" w:rsidR="00DF6833" w:rsidRDefault="00DF6833" w:rsidP="00DF6833">
      <w:pPr>
        <w:autoSpaceDE w:val="0"/>
        <w:autoSpaceDN w:val="0"/>
        <w:adjustRightInd w:val="0"/>
        <w:spacing w:after="100"/>
        <w:rPr>
          <w:rFonts w:eastAsia="Calibri" w:cs="Arial"/>
          <w:b/>
          <w:bCs/>
          <w:color w:val="000000"/>
          <w:sz w:val="20"/>
          <w:szCs w:val="20"/>
        </w:rPr>
      </w:pPr>
      <w:r>
        <w:rPr>
          <w:rFonts w:eastAsia="Calibri" w:cs="Arial"/>
          <w:b/>
          <w:bCs/>
          <w:sz w:val="20"/>
          <w:szCs w:val="20"/>
          <w:lang w:val="en-CA" w:eastAsia="en-GB"/>
        </w:rPr>
        <w:lastRenderedPageBreak/>
        <w:t xml:space="preserve">6.b </w:t>
      </w:r>
      <w:r>
        <w:rPr>
          <w:rFonts w:eastAsia="Calibri" w:cs="Arial"/>
          <w:b/>
          <w:bCs/>
          <w:color w:val="000000"/>
          <w:sz w:val="20"/>
          <w:szCs w:val="20"/>
        </w:rPr>
        <w:t xml:space="preserve">National/regional indicator production </w:t>
      </w:r>
    </w:p>
    <w:p w14:paraId="42B85EF7" w14:textId="7B70D626" w:rsidR="00DF6833" w:rsidRDefault="00DF6833" w:rsidP="00DF6833">
      <w:pPr>
        <w:autoSpaceDE w:val="0"/>
        <w:autoSpaceDN w:val="0"/>
        <w:adjustRightInd w:val="0"/>
        <w:spacing w:after="100"/>
        <w:rPr>
          <w:rFonts w:eastAsia="Calibri" w:cs="Arial"/>
          <w:b/>
          <w:bCs/>
          <w:color w:val="000000"/>
          <w:sz w:val="20"/>
          <w:szCs w:val="20"/>
        </w:rPr>
      </w:pPr>
      <w:r>
        <w:rPr>
          <w:rFonts w:eastAsia="Calibri" w:cs="Arial"/>
          <w:b/>
          <w:bCs/>
          <w:noProof/>
          <w:sz w:val="20"/>
          <w:szCs w:val="20"/>
          <w:lang w:val="en-CA" w:eastAsia="en-GB"/>
        </w:rPr>
        <mc:AlternateContent>
          <mc:Choice Requires="wps">
            <w:drawing>
              <wp:inline distT="0" distB="0" distL="0" distR="0" wp14:anchorId="69E6D672" wp14:editId="01A0E76A">
                <wp:extent cx="5791200" cy="1430655"/>
                <wp:effectExtent l="0" t="0" r="19050" b="1714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30655"/>
                        </a:xfrm>
                        <a:prstGeom prst="rect">
                          <a:avLst/>
                        </a:prstGeom>
                        <a:solidFill>
                          <a:srgbClr val="FFFFFF"/>
                        </a:solidFill>
                        <a:ln w="9525">
                          <a:solidFill>
                            <a:srgbClr val="000000"/>
                          </a:solidFill>
                          <a:miter lim="800000"/>
                          <a:headEnd/>
                          <a:tailEnd/>
                        </a:ln>
                      </wps:spPr>
                      <wps:txbx>
                        <w:txbxContent>
                          <w:p w14:paraId="16D3C7EA" w14:textId="68DB0D9E" w:rsidR="00B33B9E" w:rsidRDefault="00B33B9E" w:rsidP="00DF6833">
                            <w:pPr>
                              <w:spacing w:after="100"/>
                              <w:rPr>
                                <w:rFonts w:cs="Arial"/>
                                <w:sz w:val="20"/>
                                <w:szCs w:val="20"/>
                              </w:rPr>
                            </w:pPr>
                            <w:r>
                              <w:rPr>
                                <w:rFonts w:cs="Arial"/>
                                <w:sz w:val="20"/>
                                <w:szCs w:val="20"/>
                              </w:rPr>
                              <w:t>The global dataset is presented with national</w:t>
                            </w:r>
                            <w:r w:rsidR="00D979D2">
                              <w:rPr>
                                <w:rFonts w:cs="Arial"/>
                                <w:sz w:val="20"/>
                                <w:szCs w:val="20"/>
                              </w:rPr>
                              <w:t>/territorial</w:t>
                            </w:r>
                            <w:r>
                              <w:rPr>
                                <w:rFonts w:cs="Arial"/>
                                <w:sz w:val="20"/>
                                <w:szCs w:val="20"/>
                              </w:rPr>
                              <w:t xml:space="preserve"> disaggregation built in already for 44 countries</w:t>
                            </w:r>
                            <w:r w:rsidR="007F4AFE">
                              <w:rPr>
                                <w:rFonts w:cs="Arial"/>
                                <w:sz w:val="20"/>
                                <w:szCs w:val="20"/>
                              </w:rPr>
                              <w:t>/territories</w:t>
                            </w:r>
                            <w:r>
                              <w:rPr>
                                <w:rFonts w:cs="Arial"/>
                                <w:sz w:val="20"/>
                                <w:szCs w:val="20"/>
                              </w:rPr>
                              <w:t xml:space="preserve"> (with further development allowing for expansion to </w:t>
                            </w:r>
                            <w:r w:rsidR="00530D3C">
                              <w:rPr>
                                <w:rFonts w:cs="Arial"/>
                                <w:sz w:val="20"/>
                                <w:szCs w:val="20"/>
                              </w:rPr>
                              <w:t xml:space="preserve">at least </w:t>
                            </w:r>
                            <w:r>
                              <w:rPr>
                                <w:rFonts w:cs="Arial"/>
                                <w:sz w:val="20"/>
                                <w:szCs w:val="20"/>
                              </w:rPr>
                              <w:t>120 countries</w:t>
                            </w:r>
                            <w:r w:rsidR="007F4AFE">
                              <w:rPr>
                                <w:rFonts w:cs="Arial"/>
                                <w:sz w:val="20"/>
                                <w:szCs w:val="20"/>
                              </w:rPr>
                              <w:t>/territories</w:t>
                            </w:r>
                            <w:r>
                              <w:rPr>
                                <w:rFonts w:cs="Arial"/>
                                <w:sz w:val="20"/>
                                <w:szCs w:val="20"/>
                              </w:rPr>
                              <w:t>), and other countries grouped regionally into several ‘rest of world’ regions. Th</w:t>
                            </w:r>
                            <w:r w:rsidR="00CC5E03">
                              <w:rPr>
                                <w:rFonts w:cs="Arial"/>
                                <w:sz w:val="20"/>
                                <w:szCs w:val="20"/>
                              </w:rPr>
                              <w:t>e</w:t>
                            </w:r>
                            <w:r>
                              <w:rPr>
                                <w:rFonts w:cs="Arial"/>
                                <w:sz w:val="20"/>
                                <w:szCs w:val="20"/>
                              </w:rPr>
                              <w:t>s</w:t>
                            </w:r>
                            <w:r w:rsidR="00CC5E03">
                              <w:rPr>
                                <w:rFonts w:cs="Arial"/>
                                <w:sz w:val="20"/>
                                <w:szCs w:val="20"/>
                              </w:rPr>
                              <w:t>e</w:t>
                            </w:r>
                            <w:r>
                              <w:rPr>
                                <w:rFonts w:cs="Arial"/>
                                <w:sz w:val="20"/>
                                <w:szCs w:val="20"/>
                              </w:rPr>
                              <w:t xml:space="preserve"> data can be accessed directly from </w:t>
                            </w:r>
                            <w:hyperlink r:id="rId98" w:history="1">
                              <w:r>
                                <w:rPr>
                                  <w:rStyle w:val="Hyperlink"/>
                                  <w:rFonts w:cs="Arial"/>
                                  <w:sz w:val="20"/>
                                  <w:szCs w:val="20"/>
                                </w:rPr>
                                <w:t>https://commodityfootprints.earth/</w:t>
                              </w:r>
                            </w:hyperlink>
                            <w:r>
                              <w:rPr>
                                <w:rFonts w:cs="Arial"/>
                                <w:sz w:val="20"/>
                                <w:szCs w:val="20"/>
                              </w:rPr>
                              <w:t>.</w:t>
                            </w:r>
                          </w:p>
                          <w:p w14:paraId="55A915DA" w14:textId="631E970F" w:rsidR="00B33B9E" w:rsidRDefault="00B33B9E" w:rsidP="00DF6833">
                            <w:pPr>
                              <w:spacing w:after="100"/>
                              <w:rPr>
                                <w:rStyle w:val="Hyperlink"/>
                                <w:rFonts w:cs="Arial"/>
                                <w:sz w:val="20"/>
                                <w:szCs w:val="20"/>
                              </w:rPr>
                            </w:pPr>
                            <w:r>
                              <w:rPr>
                                <w:rFonts w:cs="Arial"/>
                                <w:sz w:val="20"/>
                                <w:szCs w:val="20"/>
                              </w:rPr>
                              <w:t xml:space="preserve">The data </w:t>
                            </w:r>
                            <w:r w:rsidR="00CC5E03">
                              <w:rPr>
                                <w:rFonts w:cs="Arial"/>
                                <w:sz w:val="20"/>
                                <w:szCs w:val="20"/>
                              </w:rPr>
                              <w:t>are</w:t>
                            </w:r>
                            <w:r>
                              <w:rPr>
                                <w:rFonts w:cs="Arial"/>
                                <w:sz w:val="20"/>
                                <w:szCs w:val="20"/>
                              </w:rPr>
                              <w:t xml:space="preserve"> already in use as a national indicator for the UK (UK Biodiversity Indicator A4: </w:t>
                            </w:r>
                            <w:hyperlink r:id="rId99" w:history="1">
                              <w:r>
                                <w:rPr>
                                  <w:rStyle w:val="Hyperlink"/>
                                  <w:rFonts w:cs="Arial"/>
                                  <w:sz w:val="20"/>
                                  <w:szCs w:val="20"/>
                                </w:rPr>
                                <w:t>https://jncc.gov.uk/our-work/ukbi-a4-global-biodiversity-impact/</w:t>
                              </w:r>
                            </w:hyperlink>
                            <w:r>
                              <w:rPr>
                                <w:rStyle w:val="Hyperlink"/>
                                <w:rFonts w:cs="Arial"/>
                                <w:sz w:val="20"/>
                                <w:szCs w:val="20"/>
                              </w:rPr>
                              <w:t>).</w:t>
                            </w:r>
                          </w:p>
                          <w:p w14:paraId="52B82EBA" w14:textId="209EECEB" w:rsidR="00B33B9E" w:rsidRPr="0061511C" w:rsidRDefault="0061511C" w:rsidP="00DF6833">
                            <w:pPr>
                              <w:autoSpaceDE w:val="0"/>
                              <w:autoSpaceDN w:val="0"/>
                              <w:adjustRightInd w:val="0"/>
                              <w:rPr>
                                <w:rFonts w:cs="Arial"/>
                                <w:i/>
                                <w:iCs/>
                                <w:sz w:val="18"/>
                                <w:szCs w:val="18"/>
                                <w:lang w:val="en-CA" w:eastAsia="en-GB"/>
                              </w:rPr>
                            </w:pPr>
                            <w:r w:rsidRPr="0061511C">
                              <w:rPr>
                                <w:rFonts w:cs="Arial"/>
                                <w:sz w:val="20"/>
                                <w:szCs w:val="20"/>
                              </w:rPr>
                              <w:t>Work</w:t>
                            </w:r>
                            <w:r>
                              <w:rPr>
                                <w:rFonts w:cs="Arial"/>
                                <w:sz w:val="20"/>
                                <w:szCs w:val="20"/>
                              </w:rPr>
                              <w:t xml:space="preserve"> to explore the downscaling of the indicator for potential reporting at subnational scale is also underway.</w:t>
                            </w:r>
                          </w:p>
                          <w:p w14:paraId="7EE569F0" w14:textId="77777777" w:rsidR="00B33B9E" w:rsidRPr="0061511C" w:rsidRDefault="00B33B9E" w:rsidP="00DF6833">
                            <w:pPr>
                              <w:rPr>
                                <w:rFonts w:ascii="Calibri Light" w:hAnsi="Calibri Light"/>
                                <w:i/>
                                <w:iCs/>
                                <w:sz w:val="18"/>
                                <w:szCs w:val="18"/>
                                <w:lang w:val="en-CA"/>
                              </w:rPr>
                            </w:pPr>
                          </w:p>
                          <w:p w14:paraId="421E0A42" w14:textId="77777777" w:rsidR="00B33B9E" w:rsidRDefault="00B33B9E" w:rsidP="00DF6833">
                            <w:pPr>
                              <w:rPr>
                                <w:i/>
                                <w:iCs/>
                                <w:sz w:val="18"/>
                                <w:szCs w:val="18"/>
                              </w:rPr>
                            </w:pPr>
                          </w:p>
                        </w:txbxContent>
                      </wps:txbx>
                      <wps:bodyPr rot="0" vert="horz" wrap="square" lIns="91440" tIns="45720" rIns="91440" bIns="45720" anchor="t" anchorCtr="0" upright="1">
                        <a:noAutofit/>
                      </wps:bodyPr>
                    </wps:wsp>
                  </a:graphicData>
                </a:graphic>
              </wp:inline>
            </w:drawing>
          </mc:Choice>
          <mc:Fallback>
            <w:pict>
              <v:shape w14:anchorId="69E6D672" id="Text Box 46" o:spid="_x0000_s1043" type="#_x0000_t202" style="width:456pt;height:1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">
                <v:textbox>
                  <w:txbxContent>
                    <w:p w14:paraId="16D3C7EA" w14:textId="68DB0D9E" w:rsidR="00B33B9E" w:rsidRDefault="00B33B9E" w:rsidP="00DF6833">
                      <w:pPr>
                        <w:spacing w:after="100"/>
                        <w:rPr>
                          <w:rFonts w:cs="Arial"/>
                          <w:sz w:val="20"/>
                          <w:szCs w:val="20"/>
                        </w:rPr>
                      </w:pPr>
                      <w:r>
                        <w:rPr>
                          <w:rFonts w:cs="Arial"/>
                          <w:sz w:val="20"/>
                          <w:szCs w:val="20"/>
                        </w:rPr>
                        <w:t>The global dataset is presented with national</w:t>
                      </w:r>
                      <w:r w:rsidR="00D979D2">
                        <w:rPr>
                          <w:rFonts w:cs="Arial"/>
                          <w:sz w:val="20"/>
                          <w:szCs w:val="20"/>
                        </w:rPr>
                        <w:t>/territorial</w:t>
                      </w:r>
                      <w:r>
                        <w:rPr>
                          <w:rFonts w:cs="Arial"/>
                          <w:sz w:val="20"/>
                          <w:szCs w:val="20"/>
                        </w:rPr>
                        <w:t xml:space="preserve"> disaggregation built in already for 44 countries</w:t>
                      </w:r>
                      <w:r w:rsidR="007F4AFE">
                        <w:rPr>
                          <w:rFonts w:cs="Arial"/>
                          <w:sz w:val="20"/>
                          <w:szCs w:val="20"/>
                        </w:rPr>
                        <w:t>/territories</w:t>
                      </w:r>
                      <w:r>
                        <w:rPr>
                          <w:rFonts w:cs="Arial"/>
                          <w:sz w:val="20"/>
                          <w:szCs w:val="20"/>
                        </w:rPr>
                        <w:t xml:space="preserve"> (with further development allowing for expansion to </w:t>
                      </w:r>
                      <w:r w:rsidR="00530D3C">
                        <w:rPr>
                          <w:rFonts w:cs="Arial"/>
                          <w:sz w:val="20"/>
                          <w:szCs w:val="20"/>
                        </w:rPr>
                        <w:t xml:space="preserve">at least </w:t>
                      </w:r>
                      <w:r>
                        <w:rPr>
                          <w:rFonts w:cs="Arial"/>
                          <w:sz w:val="20"/>
                          <w:szCs w:val="20"/>
                        </w:rPr>
                        <w:t>120 countries</w:t>
                      </w:r>
                      <w:r w:rsidR="007F4AFE">
                        <w:rPr>
                          <w:rFonts w:cs="Arial"/>
                          <w:sz w:val="20"/>
                          <w:szCs w:val="20"/>
                        </w:rPr>
                        <w:t>/territories</w:t>
                      </w:r>
                      <w:r>
                        <w:rPr>
                          <w:rFonts w:cs="Arial"/>
                          <w:sz w:val="20"/>
                          <w:szCs w:val="20"/>
                        </w:rPr>
                        <w:t>), and other countries grouped regionally into several ‘rest of world’ regions. Th</w:t>
                      </w:r>
                      <w:r w:rsidR="00CC5E03">
                        <w:rPr>
                          <w:rFonts w:cs="Arial"/>
                          <w:sz w:val="20"/>
                          <w:szCs w:val="20"/>
                        </w:rPr>
                        <w:t>e</w:t>
                      </w:r>
                      <w:r>
                        <w:rPr>
                          <w:rFonts w:cs="Arial"/>
                          <w:sz w:val="20"/>
                          <w:szCs w:val="20"/>
                        </w:rPr>
                        <w:t>s</w:t>
                      </w:r>
                      <w:r w:rsidR="00CC5E03">
                        <w:rPr>
                          <w:rFonts w:cs="Arial"/>
                          <w:sz w:val="20"/>
                          <w:szCs w:val="20"/>
                        </w:rPr>
                        <w:t>e</w:t>
                      </w:r>
                      <w:r>
                        <w:rPr>
                          <w:rFonts w:cs="Arial"/>
                          <w:sz w:val="20"/>
                          <w:szCs w:val="20"/>
                        </w:rPr>
                        <w:t xml:space="preserve"> data can be accessed directly from </w:t>
                      </w:r>
                      <w:hyperlink r:id="rId100" w:history="1">
                        <w:r>
                          <w:rPr>
                            <w:rStyle w:val="Hyperlink"/>
                            <w:rFonts w:cs="Arial"/>
                            <w:sz w:val="20"/>
                            <w:szCs w:val="20"/>
                          </w:rPr>
                          <w:t>https://commodityfootprints.earth/</w:t>
                        </w:r>
                      </w:hyperlink>
                      <w:r>
                        <w:rPr>
                          <w:rFonts w:cs="Arial"/>
                          <w:sz w:val="20"/>
                          <w:szCs w:val="20"/>
                        </w:rPr>
                        <w:t>.</w:t>
                      </w:r>
                    </w:p>
                    <w:p w14:paraId="55A915DA" w14:textId="631E970F" w:rsidR="00B33B9E" w:rsidRDefault="00B33B9E" w:rsidP="00DF6833">
                      <w:pPr>
                        <w:spacing w:after="100"/>
                        <w:rPr>
                          <w:rStyle w:val="Hyperlink"/>
                          <w:rFonts w:cs="Arial"/>
                          <w:sz w:val="20"/>
                          <w:szCs w:val="20"/>
                        </w:rPr>
                      </w:pPr>
                      <w:r>
                        <w:rPr>
                          <w:rFonts w:cs="Arial"/>
                          <w:sz w:val="20"/>
                          <w:szCs w:val="20"/>
                        </w:rPr>
                        <w:t xml:space="preserve">The data </w:t>
                      </w:r>
                      <w:r w:rsidR="00CC5E03">
                        <w:rPr>
                          <w:rFonts w:cs="Arial"/>
                          <w:sz w:val="20"/>
                          <w:szCs w:val="20"/>
                        </w:rPr>
                        <w:t>are</w:t>
                      </w:r>
                      <w:r>
                        <w:rPr>
                          <w:rFonts w:cs="Arial"/>
                          <w:sz w:val="20"/>
                          <w:szCs w:val="20"/>
                        </w:rPr>
                        <w:t xml:space="preserve"> already in use as a national indicator for the UK (UK Biodiversity Indicator A4: </w:t>
                      </w:r>
                      <w:hyperlink r:id="rId101" w:history="1">
                        <w:r>
                          <w:rPr>
                            <w:rStyle w:val="Hyperlink"/>
                            <w:rFonts w:cs="Arial"/>
                            <w:sz w:val="20"/>
                            <w:szCs w:val="20"/>
                          </w:rPr>
                          <w:t>https://jncc.gov.uk/our-work/ukbi-a4-global-biodiversity-impact/</w:t>
                        </w:r>
                      </w:hyperlink>
                      <w:r>
                        <w:rPr>
                          <w:rStyle w:val="Hyperlink"/>
                          <w:rFonts w:cs="Arial"/>
                          <w:sz w:val="20"/>
                          <w:szCs w:val="20"/>
                        </w:rPr>
                        <w:t>).</w:t>
                      </w:r>
                    </w:p>
                    <w:p w14:paraId="52B82EBA" w14:textId="209EECEB" w:rsidR="00B33B9E" w:rsidRPr="0061511C" w:rsidRDefault="0061511C" w:rsidP="00DF6833">
                      <w:pPr>
                        <w:autoSpaceDE w:val="0"/>
                        <w:autoSpaceDN w:val="0"/>
                        <w:adjustRightInd w:val="0"/>
                        <w:rPr>
                          <w:rFonts w:cs="Arial"/>
                          <w:i/>
                          <w:iCs/>
                          <w:sz w:val="18"/>
                          <w:szCs w:val="18"/>
                          <w:lang w:val="en-CA" w:eastAsia="en-GB"/>
                        </w:rPr>
                      </w:pPr>
                      <w:r w:rsidRPr="0061511C">
                        <w:rPr>
                          <w:rFonts w:cs="Arial"/>
                          <w:sz w:val="20"/>
                          <w:szCs w:val="20"/>
                        </w:rPr>
                        <w:t>Work</w:t>
                      </w:r>
                      <w:r>
                        <w:rPr>
                          <w:rFonts w:cs="Arial"/>
                          <w:sz w:val="20"/>
                          <w:szCs w:val="20"/>
                        </w:rPr>
                        <w:t xml:space="preserve"> to explore the downscaling of the indicator for potential reporting at subnational scale is also underway.</w:t>
                      </w:r>
                    </w:p>
                    <w:p w14:paraId="7EE569F0" w14:textId="77777777" w:rsidR="00B33B9E" w:rsidRPr="0061511C" w:rsidRDefault="00B33B9E" w:rsidP="00DF6833">
                      <w:pPr>
                        <w:rPr>
                          <w:rFonts w:ascii="Calibri Light" w:hAnsi="Calibri Light"/>
                          <w:i/>
                          <w:iCs/>
                          <w:sz w:val="18"/>
                          <w:szCs w:val="18"/>
                          <w:lang w:val="en-CA"/>
                        </w:rPr>
                      </w:pPr>
                    </w:p>
                    <w:p w14:paraId="421E0A42" w14:textId="77777777" w:rsidR="00B33B9E" w:rsidRDefault="00B33B9E" w:rsidP="00DF6833">
                      <w:pPr>
                        <w:rPr>
                          <w:i/>
                          <w:iCs/>
                          <w:sz w:val="18"/>
                          <w:szCs w:val="18"/>
                        </w:rPr>
                      </w:pPr>
                    </w:p>
                  </w:txbxContent>
                </v:textbox>
                <w10:anchorlock/>
              </v:shape>
            </w:pict>
          </mc:Fallback>
        </mc:AlternateContent>
      </w:r>
    </w:p>
    <w:p w14:paraId="361FF0EA" w14:textId="7777777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sz w:val="20"/>
          <w:szCs w:val="20"/>
          <w:lang w:val="en-CA" w:eastAsia="en-GB"/>
        </w:rPr>
        <w:t>6.c Sources of differences between global and national figures</w:t>
      </w:r>
    </w:p>
    <w:p w14:paraId="026A09EB" w14:textId="3B89A30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57BDBC9D" wp14:editId="7D6C3712">
                <wp:extent cx="5791200" cy="315595"/>
                <wp:effectExtent l="9525" t="9525" r="9525" b="825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15595"/>
                        </a:xfrm>
                        <a:prstGeom prst="rect">
                          <a:avLst/>
                        </a:prstGeom>
                        <a:solidFill>
                          <a:srgbClr val="FFFFFF"/>
                        </a:solidFill>
                        <a:ln w="9525">
                          <a:solidFill>
                            <a:srgbClr val="000000"/>
                          </a:solidFill>
                          <a:miter lim="800000"/>
                          <a:headEnd/>
                          <a:tailEnd/>
                        </a:ln>
                      </wps:spPr>
                      <wps:txbx>
                        <w:txbxContent>
                          <w:p w14:paraId="157C5960" w14:textId="77777777" w:rsidR="00B33B9E" w:rsidRDefault="00B33B9E" w:rsidP="00DF6833">
                            <w:pPr>
                              <w:rPr>
                                <w:rFonts w:cs="Arial"/>
                                <w:sz w:val="20"/>
                                <w:szCs w:val="20"/>
                              </w:rPr>
                            </w:pPr>
                            <w:r>
                              <w:rPr>
                                <w:rFonts w:cs="Arial"/>
                                <w:sz w:val="20"/>
                                <w:szCs w:val="20"/>
                              </w:rPr>
                              <w:t>N/A – the global total would be a sum of the national totals and the ‘rest of world’ region totals.</w:t>
                            </w:r>
                          </w:p>
                          <w:p w14:paraId="5E7D71B8"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57BDBC9D" id="Text Box 45" o:spid="_x0000_s1044" type="#_x0000_t202" style="width:456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">
                <v:textbox>
                  <w:txbxContent>
                    <w:p w14:paraId="157C5960" w14:textId="77777777" w:rsidR="00B33B9E" w:rsidRDefault="00B33B9E" w:rsidP="00DF6833">
                      <w:pPr>
                        <w:rPr>
                          <w:rFonts w:cs="Arial"/>
                          <w:sz w:val="20"/>
                          <w:szCs w:val="20"/>
                        </w:rPr>
                      </w:pPr>
                      <w:r>
                        <w:rPr>
                          <w:rFonts w:cs="Arial"/>
                          <w:sz w:val="20"/>
                          <w:szCs w:val="20"/>
                        </w:rPr>
                        <w:t>N/A – the global total would be a sum of the national totals and the ‘rest of world’ region totals.</w:t>
                      </w:r>
                    </w:p>
                    <w:p w14:paraId="5E7D71B8" w14:textId="77777777" w:rsidR="00B33B9E" w:rsidRDefault="00B33B9E" w:rsidP="00DF6833">
                      <w:pPr>
                        <w:rPr>
                          <w:rFonts w:cs="Arial"/>
                          <w:sz w:val="20"/>
                          <w:szCs w:val="20"/>
                        </w:rPr>
                      </w:pPr>
                    </w:p>
                  </w:txbxContent>
                </v:textbox>
                <w10:anchorlock/>
              </v:shape>
            </w:pict>
          </mc:Fallback>
        </mc:AlternateContent>
      </w:r>
    </w:p>
    <w:p w14:paraId="390B25BB" w14:textId="77777777" w:rsidR="00DF6833" w:rsidRDefault="00DF6833" w:rsidP="00DF6833">
      <w:pPr>
        <w:autoSpaceDE w:val="0"/>
        <w:autoSpaceDN w:val="0"/>
        <w:adjustRightInd w:val="0"/>
        <w:spacing w:after="100"/>
        <w:rPr>
          <w:rFonts w:eastAsia="Calibri" w:cs="Arial"/>
          <w:b/>
          <w:bCs/>
          <w:sz w:val="20"/>
          <w:szCs w:val="20"/>
          <w:lang w:val="en-CA" w:eastAsia="en-GB"/>
        </w:rPr>
      </w:pPr>
      <w:r>
        <w:rPr>
          <w:rFonts w:eastAsia="Calibri" w:cs="Arial"/>
          <w:b/>
          <w:bCs/>
          <w:sz w:val="20"/>
          <w:szCs w:val="20"/>
          <w:lang w:val="en-CA" w:eastAsia="en-GB"/>
        </w:rPr>
        <w:t>6.d Regional and global estimates &amp; data collection for global monitoring</w:t>
      </w:r>
    </w:p>
    <w:p w14:paraId="7BB35AF6" w14:textId="77777777" w:rsidR="00DF6833" w:rsidRDefault="00DF6833" w:rsidP="00DF6833">
      <w:pPr>
        <w:autoSpaceDE w:val="0"/>
        <w:autoSpaceDN w:val="0"/>
        <w:adjustRightInd w:val="0"/>
        <w:spacing w:after="100" w:line="256" w:lineRule="auto"/>
        <w:rPr>
          <w:rFonts w:eastAsia="Calibri" w:cs="Arial"/>
          <w:i/>
          <w:iCs/>
          <w:sz w:val="20"/>
          <w:szCs w:val="20"/>
          <w:lang w:val="en-CA" w:eastAsia="en-GB"/>
        </w:rPr>
      </w:pPr>
      <w:r>
        <w:rPr>
          <w:rFonts w:eastAsia="Calibri" w:cs="Arial"/>
          <w:i/>
          <w:iCs/>
          <w:sz w:val="20"/>
          <w:szCs w:val="20"/>
          <w:lang w:val="en-CA" w:eastAsia="en-GB"/>
        </w:rPr>
        <w:t>6.d.1 Description of the methodology</w:t>
      </w:r>
    </w:p>
    <w:p w14:paraId="2AB59305" w14:textId="484F2009" w:rsidR="00DF6833" w:rsidRDefault="00DF6833" w:rsidP="00DF6833">
      <w:pPr>
        <w:autoSpaceDE w:val="0"/>
        <w:autoSpaceDN w:val="0"/>
        <w:adjustRightInd w:val="0"/>
        <w:spacing w:after="100" w:line="256" w:lineRule="auto"/>
        <w:rPr>
          <w:rFonts w:eastAsia="Calibri" w:cs="Arial"/>
          <w:sz w:val="20"/>
          <w:szCs w:val="20"/>
          <w:lang w:val="en-CA" w:eastAsia="en-GB"/>
        </w:rPr>
      </w:pPr>
      <w:r>
        <w:rPr>
          <w:rFonts w:eastAsia="Calibri" w:cs="Arial"/>
          <w:b/>
          <w:bCs/>
          <w:noProof/>
          <w:sz w:val="20"/>
          <w:szCs w:val="20"/>
          <w:lang w:val="en-CA" w:eastAsia="en-GB"/>
        </w:rPr>
        <mc:AlternateContent>
          <mc:Choice Requires="wps">
            <w:drawing>
              <wp:inline distT="0" distB="0" distL="0" distR="0" wp14:anchorId="24F9ADC6" wp14:editId="234FD29A">
                <wp:extent cx="5791200" cy="428625"/>
                <wp:effectExtent l="9525" t="9525" r="9525" b="952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28625"/>
                        </a:xfrm>
                        <a:prstGeom prst="rect">
                          <a:avLst/>
                        </a:prstGeom>
                        <a:solidFill>
                          <a:srgbClr val="FFFFFF"/>
                        </a:solidFill>
                        <a:ln w="9525">
                          <a:solidFill>
                            <a:srgbClr val="000000"/>
                          </a:solidFill>
                          <a:miter lim="800000"/>
                          <a:headEnd/>
                          <a:tailEnd/>
                        </a:ln>
                      </wps:spPr>
                      <wps:txbx>
                        <w:txbxContent>
                          <w:p w14:paraId="0D808261" w14:textId="77777777" w:rsidR="00B33B9E" w:rsidRDefault="00B33B9E" w:rsidP="00DF6833">
                            <w:pPr>
                              <w:rPr>
                                <w:rFonts w:cs="Arial"/>
                                <w:sz w:val="20"/>
                                <w:szCs w:val="20"/>
                              </w:rPr>
                            </w:pPr>
                            <w:r>
                              <w:rPr>
                                <w:rFonts w:cs="Arial"/>
                                <w:sz w:val="20"/>
                                <w:szCs w:val="20"/>
                              </w:rPr>
                              <w:t>No weighting applied – the global total would simply be produced by summing the national totals and the ‘rest of world’ region totals.</w:t>
                            </w:r>
                          </w:p>
                          <w:p w14:paraId="1616713F"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4F9ADC6" id="Text Box 44" o:spid="_x0000_s1045" type="#_x0000_t202" style="width:456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zMGQIAADMEAAAOAAAAZHJzL2Uyb0RvYy54bWysU9tu2zAMfR+wfxD0vjgJkrYx4hRdugwD&#10;ugvQ7QMUWbaFyaJGKbGzrx8lu2l2wR6G6UEQRemQPDxc3/atYUeFXoMt+Gwy5UxZCaW2dcG/fN69&#10;uuH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">
                <v:textbox>
                  <w:txbxContent>
                    <w:p w14:paraId="0D808261" w14:textId="77777777" w:rsidR="00B33B9E" w:rsidRDefault="00B33B9E" w:rsidP="00DF6833">
                      <w:pPr>
                        <w:rPr>
                          <w:rFonts w:cs="Arial"/>
                          <w:sz w:val="20"/>
                          <w:szCs w:val="20"/>
                        </w:rPr>
                      </w:pPr>
                      <w:r>
                        <w:rPr>
                          <w:rFonts w:cs="Arial"/>
                          <w:sz w:val="20"/>
                          <w:szCs w:val="20"/>
                        </w:rPr>
                        <w:t>No weighting applied – the global total would simply be produced by summing the national totals and the ‘rest of world’ region totals.</w:t>
                      </w:r>
                    </w:p>
                    <w:p w14:paraId="1616713F" w14:textId="77777777" w:rsidR="00B33B9E" w:rsidRDefault="00B33B9E" w:rsidP="00DF6833">
                      <w:pPr>
                        <w:rPr>
                          <w:rFonts w:cs="Arial"/>
                          <w:sz w:val="20"/>
                          <w:szCs w:val="20"/>
                        </w:rPr>
                      </w:pPr>
                    </w:p>
                  </w:txbxContent>
                </v:textbox>
                <w10:anchorlock/>
              </v:shape>
            </w:pict>
          </mc:Fallback>
        </mc:AlternateContent>
      </w:r>
      <w:r>
        <w:rPr>
          <w:rFonts w:eastAsia="Calibri" w:cs="Arial"/>
          <w:i/>
          <w:iCs/>
          <w:sz w:val="20"/>
          <w:szCs w:val="20"/>
          <w:lang w:val="en-CA" w:eastAsia="en-GB"/>
        </w:rPr>
        <w:t xml:space="preserve">6.d.2 </w:t>
      </w:r>
      <w:r>
        <w:rPr>
          <w:rFonts w:eastAsia="Calibri" w:cs="Arial"/>
          <w:i/>
          <w:sz w:val="20"/>
          <w:szCs w:val="20"/>
          <w:lang w:val="en-CA" w:eastAsia="en-GB"/>
        </w:rPr>
        <w:t>Additional methodological details</w:t>
      </w:r>
    </w:p>
    <w:p w14:paraId="12D5DFD7" w14:textId="27527B49" w:rsidR="00DF6833" w:rsidRDefault="00DF6833" w:rsidP="00DF6833">
      <w:pPr>
        <w:autoSpaceDE w:val="0"/>
        <w:autoSpaceDN w:val="0"/>
        <w:adjustRightInd w:val="0"/>
        <w:spacing w:after="100" w:line="256" w:lineRule="auto"/>
        <w:rPr>
          <w:rFonts w:eastAsia="Calibri" w:cs="Arial"/>
          <w:i/>
          <w:i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198C5D7F" wp14:editId="351FFDA5">
                <wp:extent cx="5791200" cy="304800"/>
                <wp:effectExtent l="9525" t="9525" r="9525" b="952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800"/>
                        </a:xfrm>
                        <a:prstGeom prst="rect">
                          <a:avLst/>
                        </a:prstGeom>
                        <a:solidFill>
                          <a:srgbClr val="FFFFFF"/>
                        </a:solidFill>
                        <a:ln w="9525">
                          <a:solidFill>
                            <a:srgbClr val="000000"/>
                          </a:solidFill>
                          <a:miter lim="800000"/>
                          <a:headEnd/>
                          <a:tailEnd/>
                        </a:ln>
                      </wps:spPr>
                      <wps:txbx>
                        <w:txbxContent>
                          <w:p w14:paraId="76034597"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N/A</w:t>
                            </w:r>
                          </w:p>
                          <w:p w14:paraId="7691AB89" w14:textId="77777777" w:rsidR="00B33B9E" w:rsidRDefault="00B33B9E" w:rsidP="00DF6833">
                            <w:pPr>
                              <w:rPr>
                                <w:rFonts w:cs="Arial"/>
                                <w:sz w:val="20"/>
                                <w:szCs w:val="20"/>
                                <w:lang w:val="en-CA" w:eastAsia="en-GB"/>
                              </w:rPr>
                            </w:pPr>
                          </w:p>
                        </w:txbxContent>
                      </wps:txbx>
                      <wps:bodyPr rot="0" vert="horz" wrap="square" lIns="91440" tIns="45720" rIns="91440" bIns="45720" anchor="t" anchorCtr="0" upright="1">
                        <a:noAutofit/>
                      </wps:bodyPr>
                    </wps:wsp>
                  </a:graphicData>
                </a:graphic>
              </wp:inline>
            </w:drawing>
          </mc:Choice>
          <mc:Fallback>
            <w:pict>
              <v:shape w14:anchorId="198C5D7F" id="Text Box 43" o:spid="_x0000_s1046" type="#_x0000_t202" style="width:45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zGQIAADM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">
                <v:textbox>
                  <w:txbxContent>
                    <w:p w14:paraId="76034597"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N/A</w:t>
                      </w:r>
                    </w:p>
                    <w:p w14:paraId="7691AB89" w14:textId="77777777" w:rsidR="00B33B9E" w:rsidRDefault="00B33B9E" w:rsidP="00DF6833">
                      <w:pPr>
                        <w:rPr>
                          <w:rFonts w:cs="Arial"/>
                          <w:sz w:val="20"/>
                          <w:szCs w:val="20"/>
                          <w:lang w:val="en-CA" w:eastAsia="en-GB"/>
                        </w:rPr>
                      </w:pPr>
                    </w:p>
                  </w:txbxContent>
                </v:textbox>
                <w10:anchorlock/>
              </v:shape>
            </w:pict>
          </mc:Fallback>
        </mc:AlternateContent>
      </w:r>
      <w:r>
        <w:rPr>
          <w:rFonts w:eastAsia="Calibri" w:cs="Arial"/>
          <w:i/>
          <w:sz w:val="20"/>
          <w:szCs w:val="20"/>
          <w:lang w:val="en-CA" w:eastAsia="en-GB"/>
        </w:rPr>
        <w:t>6.d.3 Description of the mechanism for collecting data from countries</w:t>
      </w:r>
    </w:p>
    <w:p w14:paraId="31F8F759" w14:textId="5B009FFC" w:rsidR="00DF6833" w:rsidRDefault="00DF6833" w:rsidP="00DF6833">
      <w:pPr>
        <w:autoSpaceDE w:val="0"/>
        <w:autoSpaceDN w:val="0"/>
        <w:adjustRightInd w:val="0"/>
        <w:spacing w:after="100" w:line="256" w:lineRule="auto"/>
        <w:rPr>
          <w:rFonts w:eastAsia="Calibri" w:cs="Arial"/>
          <w:i/>
          <w:iCs/>
          <w:sz w:val="20"/>
          <w:szCs w:val="20"/>
          <w:lang w:val="en-CA" w:eastAsia="en-GB"/>
        </w:rPr>
      </w:pPr>
      <w:r>
        <w:rPr>
          <w:rFonts w:eastAsia="Calibri" w:cs="Arial"/>
          <w:b/>
          <w:bCs/>
          <w:noProof/>
          <w:sz w:val="20"/>
          <w:szCs w:val="20"/>
          <w:lang w:val="en-CA" w:eastAsia="en-GB"/>
        </w:rPr>
        <mc:AlternateContent>
          <mc:Choice Requires="wps">
            <w:drawing>
              <wp:inline distT="0" distB="0" distL="0" distR="0" wp14:anchorId="38EB9F70" wp14:editId="7CF4EBA2">
                <wp:extent cx="5791200" cy="304800"/>
                <wp:effectExtent l="9525" t="9525" r="9525" b="952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800"/>
                        </a:xfrm>
                        <a:prstGeom prst="rect">
                          <a:avLst/>
                        </a:prstGeom>
                        <a:solidFill>
                          <a:srgbClr val="FFFFFF"/>
                        </a:solidFill>
                        <a:ln w="9525">
                          <a:solidFill>
                            <a:srgbClr val="000000"/>
                          </a:solidFill>
                          <a:miter lim="800000"/>
                          <a:headEnd/>
                          <a:tailEnd/>
                        </a:ln>
                      </wps:spPr>
                      <wps:txbx>
                        <w:txbxContent>
                          <w:p w14:paraId="4D6EA65F"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N/A</w:t>
                            </w:r>
                          </w:p>
                          <w:p w14:paraId="28F1713D" w14:textId="77777777" w:rsidR="00B33B9E" w:rsidRDefault="00B33B9E" w:rsidP="00DF6833">
                            <w:pPr>
                              <w:rPr>
                                <w:rFonts w:cs="Arial"/>
                                <w:sz w:val="20"/>
                                <w:szCs w:val="20"/>
                                <w:lang w:val="en-CA" w:eastAsia="en-GB"/>
                              </w:rPr>
                            </w:pPr>
                          </w:p>
                        </w:txbxContent>
                      </wps:txbx>
                      <wps:bodyPr rot="0" vert="horz" wrap="square" lIns="91440" tIns="45720" rIns="91440" bIns="45720" anchor="t" anchorCtr="0" upright="1">
                        <a:noAutofit/>
                      </wps:bodyPr>
                    </wps:wsp>
                  </a:graphicData>
                </a:graphic>
              </wp:inline>
            </w:drawing>
          </mc:Choice>
          <mc:Fallback>
            <w:pict>
              <v:shape w14:anchorId="38EB9F70" id="Text Box 42" o:spid="_x0000_s1047" type="#_x0000_t202" style="width:45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9fGgIAADM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">
                <v:textbox>
                  <w:txbxContent>
                    <w:p w14:paraId="4D6EA65F"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N/A</w:t>
                      </w:r>
                    </w:p>
                    <w:p w14:paraId="28F1713D" w14:textId="77777777" w:rsidR="00B33B9E" w:rsidRDefault="00B33B9E" w:rsidP="00DF6833">
                      <w:pPr>
                        <w:rPr>
                          <w:rFonts w:cs="Arial"/>
                          <w:sz w:val="20"/>
                          <w:szCs w:val="20"/>
                          <w:lang w:val="en-CA" w:eastAsia="en-GB"/>
                        </w:rPr>
                      </w:pPr>
                    </w:p>
                  </w:txbxContent>
                </v:textbox>
                <w10:anchorlock/>
              </v:shape>
            </w:pict>
          </mc:Fallback>
        </mc:AlternateContent>
      </w:r>
    </w:p>
    <w:p w14:paraId="3735ECAC" w14:textId="77777777" w:rsidR="00DF6833" w:rsidRDefault="00DF6833" w:rsidP="00DF6833">
      <w:pPr>
        <w:autoSpaceDE w:val="0"/>
        <w:autoSpaceDN w:val="0"/>
        <w:adjustRightInd w:val="0"/>
        <w:spacing w:after="100" w:line="256" w:lineRule="auto"/>
        <w:rPr>
          <w:rFonts w:eastAsia="Calibri" w:cs="Arial"/>
          <w:sz w:val="20"/>
          <w:szCs w:val="20"/>
          <w:lang w:val="en-CA" w:eastAsia="en-GB"/>
        </w:rPr>
      </w:pPr>
    </w:p>
    <w:p w14:paraId="2AC54612" w14:textId="77777777" w:rsidR="00DF6833" w:rsidRDefault="00DF6833" w:rsidP="00DF6833">
      <w:pPr>
        <w:numPr>
          <w:ilvl w:val="0"/>
          <w:numId w:val="22"/>
        </w:numPr>
        <w:autoSpaceDE w:val="0"/>
        <w:autoSpaceDN w:val="0"/>
        <w:adjustRightInd w:val="0"/>
        <w:spacing w:after="100"/>
        <w:rPr>
          <w:rFonts w:eastAsia="Times New Roman" w:cs="Arial"/>
          <w:b/>
          <w:bCs/>
          <w:szCs w:val="22"/>
          <w:lang w:val="en-CA" w:eastAsia="en-GB"/>
        </w:rPr>
      </w:pPr>
      <w:r>
        <w:rPr>
          <w:rFonts w:eastAsia="Times New Roman" w:cs="Arial"/>
          <w:b/>
          <w:bCs/>
          <w:szCs w:val="22"/>
          <w:lang w:val="en-CA" w:eastAsia="en-GB"/>
        </w:rPr>
        <w:t>Other MEAs, processes and organisations</w:t>
      </w:r>
    </w:p>
    <w:p w14:paraId="6D1DF43B" w14:textId="697C858B" w:rsidR="00DF6833" w:rsidRDefault="00DF6833" w:rsidP="00DF6833">
      <w:pPr>
        <w:autoSpaceDE w:val="0"/>
        <w:autoSpaceDN w:val="0"/>
        <w:adjustRightInd w:val="0"/>
        <w:spacing w:after="100"/>
        <w:rPr>
          <w:rFonts w:eastAsia="Times New Roman" w:cs="Arial"/>
          <w:b/>
          <w:bCs/>
          <w:szCs w:val="22"/>
          <w:lang w:val="en-CA" w:eastAsia="en-GB"/>
        </w:rPr>
      </w:pPr>
      <w:r>
        <w:rPr>
          <w:rFonts w:eastAsia="Calibri" w:cs="Arial"/>
          <w:noProof/>
          <w:sz w:val="20"/>
          <w:szCs w:val="20"/>
          <w:lang w:val="en-CA" w:eastAsia="en-GB"/>
        </w:rPr>
        <mc:AlternateContent>
          <mc:Choice Requires="wps">
            <w:drawing>
              <wp:inline distT="0" distB="0" distL="0" distR="0" wp14:anchorId="42505E69" wp14:editId="1CAB0F74">
                <wp:extent cx="5791200" cy="800100"/>
                <wp:effectExtent l="9525" t="9525" r="9525" b="952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00100"/>
                        </a:xfrm>
                        <a:prstGeom prst="rect">
                          <a:avLst/>
                        </a:prstGeom>
                        <a:solidFill>
                          <a:srgbClr val="FFFFFF"/>
                        </a:solidFill>
                        <a:ln w="9525">
                          <a:solidFill>
                            <a:srgbClr val="000000"/>
                          </a:solidFill>
                          <a:miter lim="800000"/>
                          <a:headEnd/>
                          <a:tailEnd/>
                        </a:ln>
                      </wps:spPr>
                      <wps:txbx>
                        <w:txbxContent>
                          <w:p w14:paraId="51920C1F"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 xml:space="preserve">Data are collected by the Stockholm Environment Institute at the University of York and the Joint Nature Conservation Committee (a UK public body) from internationally published data sources as described in sections 5 a and b of this metadata sheet. National authorities can collect the analysed data directly from </w:t>
                            </w:r>
                            <w:hyperlink r:id="rId102" w:history="1">
                              <w:r>
                                <w:rPr>
                                  <w:rStyle w:val="Hyperlink"/>
                                  <w:rFonts w:cs="Arial"/>
                                  <w:sz w:val="20"/>
                                  <w:szCs w:val="20"/>
                                  <w:lang w:val="en-CA" w:eastAsia="en-GB"/>
                                </w:rPr>
                                <w:t>https://commodityfootprints.earth/</w:t>
                              </w:r>
                            </w:hyperlink>
                            <w:r>
                              <w:rPr>
                                <w:rFonts w:cs="Arial"/>
                                <w:sz w:val="20"/>
                                <w:szCs w:val="20"/>
                                <w:lang w:val="en-CA" w:eastAsia="en-GB"/>
                              </w:rPr>
                              <w:t xml:space="preserve"> </w:t>
                            </w:r>
                          </w:p>
                          <w:p w14:paraId="6AE7EEBB" w14:textId="77777777" w:rsidR="00B33B9E" w:rsidRDefault="00B33B9E" w:rsidP="00DF6833">
                            <w:pPr>
                              <w:rPr>
                                <w:rFonts w:cs="Arial"/>
                                <w:sz w:val="20"/>
                                <w:szCs w:val="20"/>
                                <w:lang w:val="en-CA" w:eastAsia="en-GB"/>
                              </w:rPr>
                            </w:pPr>
                          </w:p>
                        </w:txbxContent>
                      </wps:txbx>
                      <wps:bodyPr rot="0" vert="horz" wrap="square" lIns="91440" tIns="45720" rIns="91440" bIns="45720" anchor="t" anchorCtr="0" upright="1">
                        <a:noAutofit/>
                      </wps:bodyPr>
                    </wps:wsp>
                  </a:graphicData>
                </a:graphic>
              </wp:inline>
            </w:drawing>
          </mc:Choice>
          <mc:Fallback>
            <w:pict>
              <v:shape w14:anchorId="42505E69" id="Text Box 41" o:spid="_x0000_s1048" type="#_x0000_t202" style="width:456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">
                <v:textbox>
                  <w:txbxContent>
                    <w:p w14:paraId="51920C1F" w14:textId="77777777" w:rsidR="00B33B9E" w:rsidRDefault="00B33B9E" w:rsidP="00DF6833">
                      <w:pPr>
                        <w:autoSpaceDE w:val="0"/>
                        <w:autoSpaceDN w:val="0"/>
                        <w:adjustRightInd w:val="0"/>
                        <w:rPr>
                          <w:rFonts w:cs="Arial"/>
                          <w:sz w:val="20"/>
                          <w:szCs w:val="20"/>
                          <w:lang w:val="en-CA" w:eastAsia="en-GB"/>
                        </w:rPr>
                      </w:pPr>
                      <w:r>
                        <w:rPr>
                          <w:rFonts w:cs="Arial"/>
                          <w:sz w:val="20"/>
                          <w:szCs w:val="20"/>
                          <w:lang w:val="en-CA" w:eastAsia="en-GB"/>
                        </w:rPr>
                        <w:t xml:space="preserve">Data are collected by the Stockholm Environment Institute at the University of York and the Joint Nature Conservation Committee (a UK public body) from internationally published data sources as described in sections 5 a and b of this metadata sheet. National authorities can collect the analysed data directly from </w:t>
                      </w:r>
                      <w:hyperlink r:id="rId103" w:history="1">
                        <w:r>
                          <w:rPr>
                            <w:rStyle w:val="Hyperlink"/>
                            <w:rFonts w:cs="Arial"/>
                            <w:sz w:val="20"/>
                            <w:szCs w:val="20"/>
                            <w:lang w:val="en-CA" w:eastAsia="en-GB"/>
                          </w:rPr>
                          <w:t>https://commodityfootprints.earth/</w:t>
                        </w:r>
                      </w:hyperlink>
                      <w:r>
                        <w:rPr>
                          <w:rFonts w:cs="Arial"/>
                          <w:sz w:val="20"/>
                          <w:szCs w:val="20"/>
                          <w:lang w:val="en-CA" w:eastAsia="en-GB"/>
                        </w:rPr>
                        <w:t xml:space="preserve"> </w:t>
                      </w:r>
                    </w:p>
                    <w:p w14:paraId="6AE7EEBB" w14:textId="77777777" w:rsidR="00B33B9E" w:rsidRDefault="00B33B9E" w:rsidP="00DF6833">
                      <w:pPr>
                        <w:rPr>
                          <w:rFonts w:cs="Arial"/>
                          <w:sz w:val="20"/>
                          <w:szCs w:val="20"/>
                          <w:lang w:val="en-CA" w:eastAsia="en-GB"/>
                        </w:rPr>
                      </w:pPr>
                    </w:p>
                  </w:txbxContent>
                </v:textbox>
                <w10:anchorlock/>
              </v:shape>
            </w:pict>
          </mc:Fallback>
        </mc:AlternateContent>
      </w:r>
    </w:p>
    <w:p w14:paraId="312F7784" w14:textId="77777777" w:rsidR="00DF6833" w:rsidRDefault="00DF6833" w:rsidP="00DF6833">
      <w:pPr>
        <w:autoSpaceDE w:val="0"/>
        <w:autoSpaceDN w:val="0"/>
        <w:adjustRightInd w:val="0"/>
        <w:spacing w:after="100"/>
        <w:rPr>
          <w:rFonts w:eastAsia="Calibri" w:cs="Arial"/>
          <w:b/>
          <w:bCs/>
          <w:sz w:val="20"/>
          <w:szCs w:val="20"/>
        </w:rPr>
      </w:pPr>
      <w:r>
        <w:rPr>
          <w:rFonts w:eastAsia="Calibri" w:cs="Arial"/>
          <w:b/>
          <w:bCs/>
          <w:sz w:val="20"/>
          <w:szCs w:val="20"/>
        </w:rPr>
        <w:t>7.</w:t>
      </w:r>
      <w:proofErr w:type="spellStart"/>
      <w:r>
        <w:rPr>
          <w:rFonts w:eastAsia="Calibri" w:cs="Arial"/>
          <w:b/>
          <w:bCs/>
          <w:sz w:val="20"/>
          <w:szCs w:val="20"/>
        </w:rPr>
        <w:t>a</w:t>
      </w:r>
      <w:proofErr w:type="spellEnd"/>
      <w:r>
        <w:rPr>
          <w:rFonts w:eastAsia="Calibri" w:cs="Arial"/>
          <w:b/>
          <w:bCs/>
          <w:sz w:val="20"/>
          <w:szCs w:val="20"/>
        </w:rPr>
        <w:t xml:space="preserve"> Other MEA and processes</w:t>
      </w:r>
    </w:p>
    <w:p w14:paraId="0508D501" w14:textId="4A209395" w:rsidR="00DF6833" w:rsidRDefault="00DF6833" w:rsidP="00DF6833">
      <w:pPr>
        <w:autoSpaceDE w:val="0"/>
        <w:autoSpaceDN w:val="0"/>
        <w:adjustRightInd w:val="0"/>
        <w:spacing w:after="100"/>
        <w:rPr>
          <w:rFonts w:eastAsia="Calibri" w:cs="Arial"/>
          <w:b/>
          <w:bCs/>
          <w:sz w:val="20"/>
          <w:szCs w:val="20"/>
        </w:rPr>
      </w:pPr>
      <w:r>
        <w:rPr>
          <w:rFonts w:eastAsia="Calibri" w:cs="Arial"/>
          <w:b/>
          <w:bCs/>
          <w:noProof/>
          <w:sz w:val="20"/>
          <w:szCs w:val="20"/>
        </w:rPr>
        <mc:AlternateContent>
          <mc:Choice Requires="wps">
            <w:drawing>
              <wp:inline distT="0" distB="0" distL="0" distR="0" wp14:anchorId="2042AA01" wp14:editId="60C03E3D">
                <wp:extent cx="5705475" cy="364490"/>
                <wp:effectExtent l="9525" t="9525" r="9525" b="698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64490"/>
                        </a:xfrm>
                        <a:prstGeom prst="rect">
                          <a:avLst/>
                        </a:prstGeom>
                        <a:solidFill>
                          <a:srgbClr val="FFFFFF"/>
                        </a:solidFill>
                        <a:ln w="9525">
                          <a:solidFill>
                            <a:srgbClr val="000000"/>
                          </a:solidFill>
                          <a:miter lim="800000"/>
                          <a:headEnd/>
                          <a:tailEnd/>
                        </a:ln>
                      </wps:spPr>
                      <wps:txbx>
                        <w:txbxContent>
                          <w:p w14:paraId="5EBE643B" w14:textId="77777777" w:rsidR="00B33B9E" w:rsidRDefault="00B33B9E" w:rsidP="00DF6833">
                            <w:pPr>
                              <w:rPr>
                                <w:rFonts w:cs="Arial"/>
                                <w:i/>
                                <w:iCs/>
                                <w:sz w:val="16"/>
                                <w:szCs w:val="16"/>
                              </w:rPr>
                            </w:pPr>
                            <w:r>
                              <w:rPr>
                                <w:rFonts w:cs="Arial"/>
                                <w:sz w:val="20"/>
                                <w:szCs w:val="20"/>
                              </w:rPr>
                              <w:t xml:space="preserve">No </w:t>
                            </w:r>
                          </w:p>
                          <w:p w14:paraId="491825A4" w14:textId="77777777" w:rsidR="00B33B9E" w:rsidRDefault="00B33B9E" w:rsidP="00DF6833">
                            <w:pPr>
                              <w:rPr>
                                <w:rFonts w:cs="Arial"/>
                                <w:i/>
                                <w:iCs/>
                                <w:sz w:val="16"/>
                                <w:szCs w:val="16"/>
                              </w:rPr>
                            </w:pPr>
                          </w:p>
                        </w:txbxContent>
                      </wps:txbx>
                      <wps:bodyPr rot="0" vert="horz" wrap="square" lIns="91440" tIns="45720" rIns="91440" bIns="45720" anchor="t" anchorCtr="0" upright="1">
                        <a:noAutofit/>
                      </wps:bodyPr>
                    </wps:wsp>
                  </a:graphicData>
                </a:graphic>
              </wp:inline>
            </w:drawing>
          </mc:Choice>
          <mc:Fallback>
            <w:pict>
              <v:shape w14:anchorId="2042AA01" id="Text Box 40" o:spid="_x0000_s1049" type="#_x0000_t202" style="width:449.25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">
                <v:textbox>
                  <w:txbxContent>
                    <w:p w14:paraId="5EBE643B" w14:textId="77777777" w:rsidR="00B33B9E" w:rsidRDefault="00B33B9E" w:rsidP="00DF6833">
                      <w:pPr>
                        <w:rPr>
                          <w:rFonts w:cs="Arial"/>
                          <w:i/>
                          <w:iCs/>
                          <w:sz w:val="16"/>
                          <w:szCs w:val="16"/>
                        </w:rPr>
                      </w:pPr>
                      <w:r>
                        <w:rPr>
                          <w:rFonts w:cs="Arial"/>
                          <w:sz w:val="20"/>
                          <w:szCs w:val="20"/>
                        </w:rPr>
                        <w:t xml:space="preserve">No </w:t>
                      </w:r>
                    </w:p>
                    <w:p w14:paraId="491825A4" w14:textId="77777777" w:rsidR="00B33B9E" w:rsidRDefault="00B33B9E" w:rsidP="00DF6833">
                      <w:pPr>
                        <w:rPr>
                          <w:rFonts w:cs="Arial"/>
                          <w:i/>
                          <w:iCs/>
                          <w:sz w:val="16"/>
                          <w:szCs w:val="16"/>
                        </w:rPr>
                      </w:pPr>
                    </w:p>
                  </w:txbxContent>
                </v:textbox>
                <w10:anchorlock/>
              </v:shape>
            </w:pict>
          </mc:Fallback>
        </mc:AlternateContent>
      </w:r>
    </w:p>
    <w:p w14:paraId="3EE036DE" w14:textId="77777777" w:rsidR="00DF6833" w:rsidRDefault="00DF6833" w:rsidP="00DF6833">
      <w:pPr>
        <w:spacing w:after="100" w:line="256" w:lineRule="auto"/>
        <w:rPr>
          <w:rFonts w:eastAsia="Calibri" w:cs="Arial"/>
          <w:b/>
          <w:bCs/>
          <w:sz w:val="20"/>
          <w:szCs w:val="20"/>
        </w:rPr>
      </w:pPr>
      <w:r>
        <w:rPr>
          <w:rFonts w:eastAsia="Calibri" w:cs="Arial"/>
          <w:b/>
          <w:bCs/>
          <w:sz w:val="20"/>
          <w:szCs w:val="20"/>
        </w:rPr>
        <w:t>7.b</w:t>
      </w:r>
      <w:r>
        <w:rPr>
          <w:rFonts w:eastAsia="Calibri" w:cs="Arial"/>
          <w:sz w:val="20"/>
          <w:szCs w:val="20"/>
        </w:rPr>
        <w:t xml:space="preserve"> </w:t>
      </w:r>
      <w:r>
        <w:rPr>
          <w:rFonts w:eastAsia="Calibri" w:cs="Arial"/>
          <w:b/>
          <w:bCs/>
          <w:sz w:val="20"/>
          <w:szCs w:val="20"/>
        </w:rPr>
        <w:t>Biodiversity Indicator Partnership</w:t>
      </w:r>
    </w:p>
    <w:p w14:paraId="3AA5C2A2" w14:textId="65588F3B" w:rsidR="00DF6833" w:rsidRDefault="00DF6833" w:rsidP="00DF6833">
      <w:pPr>
        <w:spacing w:after="100" w:line="256" w:lineRule="auto"/>
        <w:rPr>
          <w:rFonts w:eastAsia="Calibri" w:cs="Arial"/>
          <w:sz w:val="20"/>
          <w:szCs w:val="20"/>
        </w:rPr>
      </w:pPr>
      <w:r>
        <w:rPr>
          <w:rFonts w:eastAsia="Times New Roman" w:cs="Arial"/>
          <w:b/>
          <w:bCs/>
          <w:noProof/>
          <w:szCs w:val="22"/>
          <w:lang w:val="en-CA" w:eastAsia="en-GB"/>
        </w:rPr>
        <mc:AlternateContent>
          <mc:Choice Requires="wps">
            <w:drawing>
              <wp:inline distT="0" distB="0" distL="0" distR="0" wp14:anchorId="3880A342" wp14:editId="77286FDE">
                <wp:extent cx="5705475" cy="353060"/>
                <wp:effectExtent l="9525" t="9525" r="9525" b="8890"/>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53060"/>
                        </a:xfrm>
                        <a:prstGeom prst="rect">
                          <a:avLst/>
                        </a:prstGeom>
                        <a:solidFill>
                          <a:srgbClr val="FFFFFF"/>
                        </a:solidFill>
                        <a:ln w="9525">
                          <a:solidFill>
                            <a:srgbClr val="000000"/>
                          </a:solidFill>
                          <a:miter lim="800000"/>
                          <a:headEnd/>
                          <a:tailEnd/>
                        </a:ln>
                      </wps:spPr>
                      <wps:txbx>
                        <w:txbxContent>
                          <w:p w14:paraId="3E68E83C" w14:textId="77777777" w:rsidR="00B33B9E" w:rsidRDefault="00B33B9E" w:rsidP="00DF6833">
                            <w:pPr>
                              <w:rPr>
                                <w:rFonts w:cs="Arial"/>
                                <w:sz w:val="20"/>
                                <w:szCs w:val="20"/>
                              </w:rPr>
                            </w:pPr>
                            <w:r>
                              <w:rPr>
                                <w:rFonts w:cs="Arial"/>
                                <w:sz w:val="20"/>
                                <w:szCs w:val="20"/>
                              </w:rPr>
                              <w:t>No</w:t>
                            </w:r>
                          </w:p>
                          <w:p w14:paraId="59A20F9A" w14:textId="77777777" w:rsidR="00B33B9E" w:rsidRDefault="00B33B9E" w:rsidP="00DF6833">
                            <w:pPr>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3880A342" id="Text Box 39" o:spid="_x0000_s1050" type="#_x0000_t202" style="width:449.25pt;height: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">
                <v:textbox>
                  <w:txbxContent>
                    <w:p w14:paraId="3E68E83C" w14:textId="77777777" w:rsidR="00B33B9E" w:rsidRDefault="00B33B9E" w:rsidP="00DF6833">
                      <w:pPr>
                        <w:rPr>
                          <w:rFonts w:cs="Arial"/>
                          <w:sz w:val="20"/>
                          <w:szCs w:val="20"/>
                        </w:rPr>
                      </w:pPr>
                      <w:r>
                        <w:rPr>
                          <w:rFonts w:cs="Arial"/>
                          <w:sz w:val="20"/>
                          <w:szCs w:val="20"/>
                        </w:rPr>
                        <w:t>No</w:t>
                      </w:r>
                    </w:p>
                    <w:p w14:paraId="59A20F9A" w14:textId="77777777" w:rsidR="00B33B9E" w:rsidRDefault="00B33B9E" w:rsidP="00DF6833">
                      <w:pPr>
                        <w:rPr>
                          <w:rFonts w:cs="Arial"/>
                          <w:sz w:val="20"/>
                          <w:szCs w:val="20"/>
                        </w:rPr>
                      </w:pPr>
                    </w:p>
                  </w:txbxContent>
                </v:textbox>
                <w10:anchorlock/>
              </v:shape>
            </w:pict>
          </mc:Fallback>
        </mc:AlternateContent>
      </w:r>
    </w:p>
    <w:p w14:paraId="22EEBF0E" w14:textId="7E005044" w:rsidR="00DF6833" w:rsidRDefault="00DF6833" w:rsidP="00DF6833">
      <w:pPr>
        <w:spacing w:after="100"/>
        <w:rPr>
          <w:rFonts w:eastAsia="Times New Roman" w:cs="Arial"/>
          <w:b/>
          <w:bCs/>
          <w:szCs w:val="22"/>
          <w:lang w:val="en-CA" w:eastAsia="en-GB"/>
        </w:rPr>
      </w:pPr>
    </w:p>
    <w:p w14:paraId="3C2442AB" w14:textId="77777777" w:rsidR="00DF6833" w:rsidRDefault="00DF6833" w:rsidP="00DF6833">
      <w:pPr>
        <w:numPr>
          <w:ilvl w:val="0"/>
          <w:numId w:val="22"/>
        </w:numPr>
        <w:autoSpaceDE w:val="0"/>
        <w:autoSpaceDN w:val="0"/>
        <w:adjustRightInd w:val="0"/>
        <w:spacing w:after="100"/>
        <w:rPr>
          <w:rFonts w:eastAsia="Times New Roman" w:cs="Arial"/>
          <w:b/>
          <w:bCs/>
          <w:szCs w:val="22"/>
          <w:lang w:val="en-CA" w:eastAsia="en-GB"/>
        </w:rPr>
      </w:pPr>
      <w:r>
        <w:rPr>
          <w:rFonts w:eastAsia="Times New Roman" w:cs="Arial"/>
          <w:b/>
          <w:bCs/>
          <w:szCs w:val="22"/>
          <w:lang w:val="en-CA" w:eastAsia="en-GB"/>
        </w:rPr>
        <w:t>Disaggregation</w:t>
      </w:r>
    </w:p>
    <w:p w14:paraId="256F279F" w14:textId="344FCF63" w:rsidR="00386392" w:rsidRDefault="00DF6833" w:rsidP="00DF6833">
      <w:pPr>
        <w:autoSpaceDE w:val="0"/>
        <w:autoSpaceDN w:val="0"/>
        <w:adjustRightInd w:val="0"/>
        <w:spacing w:after="100"/>
        <w:rPr>
          <w:rFonts w:eastAsia="Times New Roman" w:cs="Arial"/>
          <w:b/>
          <w:bCs/>
          <w:szCs w:val="22"/>
          <w:lang w:val="en-CA" w:eastAsia="en-GB"/>
        </w:rPr>
      </w:pPr>
      <w:r>
        <w:rPr>
          <w:rFonts w:eastAsia="Times New Roman" w:cs="Arial"/>
          <w:b/>
          <w:bCs/>
          <w:noProof/>
          <w:szCs w:val="22"/>
          <w:lang w:val="en-CA" w:eastAsia="en-GB"/>
        </w:rPr>
        <mc:AlternateContent>
          <mc:Choice Requires="wps">
            <w:drawing>
              <wp:inline distT="0" distB="0" distL="0" distR="0" wp14:anchorId="3A03EBFA" wp14:editId="28F71667">
                <wp:extent cx="5705475" cy="1331595"/>
                <wp:effectExtent l="0" t="0" r="28575" b="2095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31595"/>
                        </a:xfrm>
                        <a:prstGeom prst="rect">
                          <a:avLst/>
                        </a:prstGeom>
                        <a:solidFill>
                          <a:srgbClr val="FFFFFF"/>
                        </a:solidFill>
                        <a:ln w="9525">
                          <a:solidFill>
                            <a:srgbClr val="000000"/>
                          </a:solidFill>
                          <a:miter lim="800000"/>
                          <a:headEnd/>
                          <a:tailEnd/>
                        </a:ln>
                      </wps:spPr>
                      <wps:txbx>
                        <w:txbxContent>
                          <w:p w14:paraId="393D5D90" w14:textId="65A09BFC"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Geographic (consumption perspective): </w:t>
                            </w:r>
                            <w:r>
                              <w:rPr>
                                <w:rFonts w:eastAsia="Times New Roman" w:cs="Arial"/>
                                <w:sz w:val="20"/>
                                <w:szCs w:val="20"/>
                                <w:lang w:eastAsia="en-GB"/>
                              </w:rPr>
                              <w:t>44 countries</w:t>
                            </w:r>
                            <w:r w:rsidR="007F4AFE">
                              <w:rPr>
                                <w:rFonts w:eastAsia="Times New Roman" w:cs="Arial"/>
                                <w:sz w:val="20"/>
                                <w:szCs w:val="20"/>
                                <w:lang w:eastAsia="en-GB"/>
                              </w:rPr>
                              <w:t>/territories</w:t>
                            </w:r>
                            <w:r>
                              <w:rPr>
                                <w:rFonts w:eastAsia="Times New Roman" w:cs="Arial"/>
                                <w:sz w:val="20"/>
                                <w:szCs w:val="20"/>
                                <w:lang w:eastAsia="en-GB"/>
                              </w:rPr>
                              <w:t xml:space="preserve"> and 5 rest of world regions (with further development work planned to bring the total to </w:t>
                            </w:r>
                            <w:r w:rsidR="00530D3C">
                              <w:rPr>
                                <w:rFonts w:eastAsia="Times New Roman" w:cs="Arial"/>
                                <w:sz w:val="20"/>
                                <w:szCs w:val="20"/>
                                <w:lang w:eastAsia="en-GB"/>
                              </w:rPr>
                              <w:t xml:space="preserve">at least </w:t>
                            </w:r>
                            <w:r>
                              <w:rPr>
                                <w:rFonts w:eastAsia="Times New Roman" w:cs="Arial"/>
                                <w:sz w:val="20"/>
                                <w:szCs w:val="20"/>
                                <w:lang w:eastAsia="en-GB"/>
                              </w:rPr>
                              <w:t>120 countries</w:t>
                            </w:r>
                            <w:r w:rsidR="007F4AFE">
                              <w:rPr>
                                <w:rFonts w:eastAsia="Times New Roman" w:cs="Arial"/>
                                <w:sz w:val="20"/>
                                <w:szCs w:val="20"/>
                                <w:lang w:eastAsia="en-GB"/>
                              </w:rPr>
                              <w:t>/territories</w:t>
                            </w:r>
                            <w:r>
                              <w:rPr>
                                <w:rFonts w:eastAsia="Times New Roman" w:cs="Arial"/>
                                <w:sz w:val="20"/>
                                <w:szCs w:val="20"/>
                                <w:lang w:eastAsia="en-GB"/>
                              </w:rPr>
                              <w:t xml:space="preserve"> and 20 rest of world regions).</w:t>
                            </w:r>
                          </w:p>
                          <w:p w14:paraId="023B3642" w14:textId="10A0956B"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Geographic (production perspective): </w:t>
                            </w:r>
                            <w:r>
                              <w:rPr>
                                <w:rFonts w:eastAsia="Times New Roman" w:cs="Arial"/>
                                <w:sz w:val="20"/>
                                <w:szCs w:val="20"/>
                                <w:lang w:eastAsia="en-GB"/>
                              </w:rPr>
                              <w:t>197 countries</w:t>
                            </w:r>
                            <w:r w:rsidR="007F4AFE">
                              <w:rPr>
                                <w:rFonts w:eastAsia="Times New Roman" w:cs="Arial"/>
                                <w:sz w:val="20"/>
                                <w:szCs w:val="20"/>
                                <w:lang w:eastAsia="en-GB"/>
                              </w:rPr>
                              <w:t>/territories</w:t>
                            </w:r>
                            <w:r w:rsidR="00DD5A82">
                              <w:rPr>
                                <w:rFonts w:eastAsia="Times New Roman" w:cs="Arial"/>
                                <w:sz w:val="20"/>
                                <w:szCs w:val="20"/>
                                <w:lang w:eastAsia="en-GB"/>
                              </w:rPr>
                              <w:t xml:space="preserve"> for most metrics presented, although currently fewer for the deforestation metric.</w:t>
                            </w:r>
                          </w:p>
                          <w:p w14:paraId="349D2665" w14:textId="77777777"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Commodity breakdown: </w:t>
                            </w:r>
                            <w:r>
                              <w:rPr>
                                <w:rFonts w:eastAsia="Times New Roman" w:cs="Arial"/>
                                <w:sz w:val="20"/>
                                <w:szCs w:val="20"/>
                                <w:lang w:eastAsia="en-GB"/>
                              </w:rPr>
                              <w:t>162 commodities for the deforestation metric, 160 commodities for the biodiversity loss and scarcity weighted water use metrics.</w:t>
                            </w:r>
                          </w:p>
                          <w:p w14:paraId="0BD6AED0" w14:textId="77777777" w:rsidR="00B33B9E" w:rsidRDefault="00B33B9E" w:rsidP="00DF6833">
                            <w:pPr>
                              <w:rPr>
                                <w:rFonts w:ascii="Calibri Light" w:hAnsi="Calibri Light"/>
                                <w:i/>
                                <w:iCs/>
                                <w:sz w:val="18"/>
                                <w:szCs w:val="18"/>
                              </w:rPr>
                            </w:pPr>
                          </w:p>
                          <w:p w14:paraId="45FD1BEE" w14:textId="77777777" w:rsidR="00B33B9E" w:rsidRDefault="00B33B9E" w:rsidP="00DF6833">
                            <w:pPr>
                              <w:rPr>
                                <w:i/>
                                <w:iCs/>
                                <w:sz w:val="18"/>
                                <w:szCs w:val="18"/>
                              </w:rPr>
                            </w:pPr>
                          </w:p>
                        </w:txbxContent>
                      </wps:txbx>
                      <wps:bodyPr rot="0" vert="horz" wrap="square" lIns="91440" tIns="45720" rIns="91440" bIns="45720" anchor="t" anchorCtr="0" upright="1">
                        <a:noAutofit/>
                      </wps:bodyPr>
                    </wps:wsp>
                  </a:graphicData>
                </a:graphic>
              </wp:inline>
            </w:drawing>
          </mc:Choice>
          <mc:Fallback>
            <w:pict>
              <v:shape w14:anchorId="3A03EBFA" id="Text Box 38" o:spid="_x0000_s1051" type="#_x0000_t202" style="width:449.2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">
                <v:textbox>
                  <w:txbxContent>
                    <w:p w14:paraId="393D5D90" w14:textId="65A09BFC"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Geographic (consumption perspective): </w:t>
                      </w:r>
                      <w:r>
                        <w:rPr>
                          <w:rFonts w:eastAsia="Times New Roman" w:cs="Arial"/>
                          <w:sz w:val="20"/>
                          <w:szCs w:val="20"/>
                          <w:lang w:eastAsia="en-GB"/>
                        </w:rPr>
                        <w:t>44 countries</w:t>
                      </w:r>
                      <w:r w:rsidR="007F4AFE">
                        <w:rPr>
                          <w:rFonts w:eastAsia="Times New Roman" w:cs="Arial"/>
                          <w:sz w:val="20"/>
                          <w:szCs w:val="20"/>
                          <w:lang w:eastAsia="en-GB"/>
                        </w:rPr>
                        <w:t>/territories</w:t>
                      </w:r>
                      <w:r>
                        <w:rPr>
                          <w:rFonts w:eastAsia="Times New Roman" w:cs="Arial"/>
                          <w:sz w:val="20"/>
                          <w:szCs w:val="20"/>
                          <w:lang w:eastAsia="en-GB"/>
                        </w:rPr>
                        <w:t xml:space="preserve"> and 5 rest of world regions (with further development work planned to bring the total to </w:t>
                      </w:r>
                      <w:r w:rsidR="00530D3C">
                        <w:rPr>
                          <w:rFonts w:eastAsia="Times New Roman" w:cs="Arial"/>
                          <w:sz w:val="20"/>
                          <w:szCs w:val="20"/>
                          <w:lang w:eastAsia="en-GB"/>
                        </w:rPr>
                        <w:t xml:space="preserve">at least </w:t>
                      </w:r>
                      <w:r>
                        <w:rPr>
                          <w:rFonts w:eastAsia="Times New Roman" w:cs="Arial"/>
                          <w:sz w:val="20"/>
                          <w:szCs w:val="20"/>
                          <w:lang w:eastAsia="en-GB"/>
                        </w:rPr>
                        <w:t>120 countries</w:t>
                      </w:r>
                      <w:r w:rsidR="007F4AFE">
                        <w:rPr>
                          <w:rFonts w:eastAsia="Times New Roman" w:cs="Arial"/>
                          <w:sz w:val="20"/>
                          <w:szCs w:val="20"/>
                          <w:lang w:eastAsia="en-GB"/>
                        </w:rPr>
                        <w:t>/territories</w:t>
                      </w:r>
                      <w:r>
                        <w:rPr>
                          <w:rFonts w:eastAsia="Times New Roman" w:cs="Arial"/>
                          <w:sz w:val="20"/>
                          <w:szCs w:val="20"/>
                          <w:lang w:eastAsia="en-GB"/>
                        </w:rPr>
                        <w:t xml:space="preserve"> and 20 rest of world regions).</w:t>
                      </w:r>
                    </w:p>
                    <w:p w14:paraId="023B3642" w14:textId="10A0956B"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Geographic (production perspective): </w:t>
                      </w:r>
                      <w:r>
                        <w:rPr>
                          <w:rFonts w:eastAsia="Times New Roman" w:cs="Arial"/>
                          <w:sz w:val="20"/>
                          <w:szCs w:val="20"/>
                          <w:lang w:eastAsia="en-GB"/>
                        </w:rPr>
                        <w:t>197 countries</w:t>
                      </w:r>
                      <w:r w:rsidR="007F4AFE">
                        <w:rPr>
                          <w:rFonts w:eastAsia="Times New Roman" w:cs="Arial"/>
                          <w:sz w:val="20"/>
                          <w:szCs w:val="20"/>
                          <w:lang w:eastAsia="en-GB"/>
                        </w:rPr>
                        <w:t>/territories</w:t>
                      </w:r>
                      <w:r w:rsidR="00DD5A82">
                        <w:rPr>
                          <w:rFonts w:eastAsia="Times New Roman" w:cs="Arial"/>
                          <w:sz w:val="20"/>
                          <w:szCs w:val="20"/>
                          <w:lang w:eastAsia="en-GB"/>
                        </w:rPr>
                        <w:t xml:space="preserve"> for most metrics presented, although currently fewer for the deforestation metric.</w:t>
                      </w:r>
                    </w:p>
                    <w:p w14:paraId="349D2665" w14:textId="77777777" w:rsidR="00B33B9E" w:rsidRDefault="00B33B9E" w:rsidP="00DF6833">
                      <w:pPr>
                        <w:shd w:val="clear" w:color="auto" w:fill="FFFFFF"/>
                        <w:spacing w:after="100" w:line="256" w:lineRule="auto"/>
                        <w:jc w:val="both"/>
                        <w:rPr>
                          <w:rFonts w:eastAsia="Times New Roman" w:cs="Arial"/>
                          <w:sz w:val="20"/>
                          <w:szCs w:val="20"/>
                          <w:lang w:eastAsia="en-GB"/>
                        </w:rPr>
                      </w:pPr>
                      <w:r>
                        <w:rPr>
                          <w:rFonts w:eastAsia="Times New Roman" w:cs="Arial"/>
                          <w:b/>
                          <w:bCs/>
                          <w:sz w:val="20"/>
                          <w:szCs w:val="20"/>
                          <w:lang w:eastAsia="en-GB"/>
                        </w:rPr>
                        <w:t xml:space="preserve">Commodity breakdown: </w:t>
                      </w:r>
                      <w:r>
                        <w:rPr>
                          <w:rFonts w:eastAsia="Times New Roman" w:cs="Arial"/>
                          <w:sz w:val="20"/>
                          <w:szCs w:val="20"/>
                          <w:lang w:eastAsia="en-GB"/>
                        </w:rPr>
                        <w:t>162 commodities for the deforestation metric, 160 commodities for the biodiversity loss and scarcity weighted water use metrics.</w:t>
                      </w:r>
                    </w:p>
                    <w:p w14:paraId="0BD6AED0" w14:textId="77777777" w:rsidR="00B33B9E" w:rsidRDefault="00B33B9E" w:rsidP="00DF6833">
                      <w:pPr>
                        <w:rPr>
                          <w:rFonts w:ascii="Calibri Light" w:hAnsi="Calibri Light"/>
                          <w:i/>
                          <w:iCs/>
                          <w:sz w:val="18"/>
                          <w:szCs w:val="18"/>
                        </w:rPr>
                      </w:pPr>
                    </w:p>
                    <w:p w14:paraId="45FD1BEE" w14:textId="77777777" w:rsidR="00B33B9E" w:rsidRDefault="00B33B9E" w:rsidP="00DF6833">
                      <w:pPr>
                        <w:rPr>
                          <w:i/>
                          <w:iCs/>
                          <w:sz w:val="18"/>
                          <w:szCs w:val="18"/>
                        </w:rPr>
                      </w:pPr>
                    </w:p>
                  </w:txbxContent>
                </v:textbox>
                <w10:anchorlock/>
              </v:shape>
            </w:pict>
          </mc:Fallback>
        </mc:AlternateContent>
      </w:r>
    </w:p>
    <w:p w14:paraId="04BE8D1F" w14:textId="2C6FE43A" w:rsidR="00DF6833" w:rsidRPr="00D652C7" w:rsidRDefault="00DF6833" w:rsidP="00CE748E">
      <w:pPr>
        <w:pStyle w:val="ListParagraph"/>
        <w:numPr>
          <w:ilvl w:val="0"/>
          <w:numId w:val="23"/>
        </w:numPr>
        <w:spacing w:after="100" w:line="276" w:lineRule="auto"/>
        <w:rPr>
          <w:rFonts w:eastAsia="Times New Roman" w:cs="Arial"/>
          <w:b/>
          <w:bCs/>
          <w:szCs w:val="22"/>
          <w:lang w:val="en-AU"/>
        </w:rPr>
      </w:pPr>
      <w:r w:rsidRPr="00D652C7">
        <w:rPr>
          <w:rFonts w:cs="Arial"/>
          <w:b/>
          <w:bCs/>
        </w:rPr>
        <w:lastRenderedPageBreak/>
        <w:t>Related indicators</w:t>
      </w:r>
    </w:p>
    <w:p w14:paraId="5B935D2F" w14:textId="37377275" w:rsidR="00D652C7" w:rsidRDefault="00D652C7" w:rsidP="00D652C7">
      <w:pPr>
        <w:spacing w:after="100" w:line="276" w:lineRule="auto"/>
        <w:rPr>
          <w:rFonts w:eastAsia="Times New Roman" w:cs="Arial"/>
          <w:b/>
          <w:bCs/>
          <w:szCs w:val="22"/>
          <w:lang w:val="en-AU"/>
        </w:rPr>
      </w:pPr>
      <w:r>
        <w:rPr>
          <w:rFonts w:eastAsia="Times New Roman" w:cs="Arial"/>
          <w:b/>
          <w:bCs/>
          <w:noProof/>
          <w:szCs w:val="22"/>
          <w:lang w:val="en-CA" w:eastAsia="en-GB"/>
        </w:rPr>
        <mc:AlternateContent>
          <mc:Choice Requires="wps">
            <w:drawing>
              <wp:inline distT="0" distB="0" distL="0" distR="0" wp14:anchorId="2ED25CF9" wp14:editId="49FF8626">
                <wp:extent cx="6088380" cy="8572500"/>
                <wp:effectExtent l="0" t="0" r="26670" b="1905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8572500"/>
                        </a:xfrm>
                        <a:prstGeom prst="rect">
                          <a:avLst/>
                        </a:prstGeom>
                        <a:solidFill>
                          <a:srgbClr val="FFFFFF"/>
                        </a:solidFill>
                        <a:ln w="9525">
                          <a:solidFill>
                            <a:srgbClr val="000000"/>
                          </a:solidFill>
                          <a:miter lim="800000"/>
                          <a:headEnd/>
                          <a:tailEnd/>
                        </a:ln>
                      </wps:spPr>
                      <wps:txbx>
                        <w:txbxContent>
                          <w:p w14:paraId="2731FBBE" w14:textId="3A94F683" w:rsidR="008F5734" w:rsidRDefault="008F5734" w:rsidP="009F32E5">
                            <w:pPr>
                              <w:spacing w:after="100" w:line="252" w:lineRule="auto"/>
                              <w:rPr>
                                <w:rFonts w:cs="Arial"/>
                                <w:sz w:val="20"/>
                                <w:szCs w:val="20"/>
                              </w:rPr>
                            </w:pPr>
                            <w:r w:rsidRPr="008F5734">
                              <w:rPr>
                                <w:rFonts w:cs="Arial"/>
                                <w:sz w:val="20"/>
                                <w:szCs w:val="20"/>
                              </w:rPr>
                              <w:t xml:space="preserve">The Global Environmental Impacts of Consumption indicator is not the only indicator available relating to the sustainability of consumption. Other indicators that have been proposed as part of the CBD framework include the Material Footprint and the Ecological Footprint. There are two broad needs behind sustainable consumption indicators: estimating the impacts associated with consumption and informing action to try and manage these impacts. Whilst all three indicators meet the first of these needs, the Global Environmental Impacts of Consumption indicator is the only one that is also able to inform </w:t>
                            </w:r>
                            <w:r w:rsidR="004433B8">
                              <w:rPr>
                                <w:rFonts w:cs="Arial"/>
                                <w:sz w:val="20"/>
                                <w:szCs w:val="20"/>
                              </w:rPr>
                              <w:t xml:space="preserve">detailed </w:t>
                            </w:r>
                            <w:r w:rsidRPr="008F5734">
                              <w:rPr>
                                <w:rFonts w:cs="Arial"/>
                                <w:sz w:val="20"/>
                                <w:szCs w:val="20"/>
                              </w:rPr>
                              <w:t xml:space="preserve">action, through provision of a breakdown of total impacts by producer country/territory and by the commodity associated with the environmental risk. This specificity is critical to plotting a route to sustainable production and consumption, as it provides a tangible linkage to supply chain activities and traded commodities. This section outlines key differences between the three indicators. </w:t>
                            </w:r>
                          </w:p>
                          <w:p w14:paraId="73EC6F03" w14:textId="20E90A04" w:rsidR="009F32E5" w:rsidRPr="009F32E5" w:rsidRDefault="009F32E5" w:rsidP="009F32E5">
                            <w:pPr>
                              <w:spacing w:after="100" w:line="252" w:lineRule="auto"/>
                              <w:rPr>
                                <w:rFonts w:cs="Arial"/>
                                <w:i/>
                                <w:iCs/>
                                <w:sz w:val="20"/>
                                <w:szCs w:val="20"/>
                              </w:rPr>
                            </w:pPr>
                            <w:r w:rsidRPr="009F32E5">
                              <w:rPr>
                                <w:rFonts w:cs="Arial"/>
                                <w:i/>
                                <w:iCs/>
                                <w:sz w:val="20"/>
                                <w:szCs w:val="20"/>
                              </w:rPr>
                              <w:t xml:space="preserve">What is each indicator measuring? </w:t>
                            </w:r>
                          </w:p>
                          <w:p w14:paraId="4DB4EA42" w14:textId="627AA228" w:rsidR="009F32E5" w:rsidRP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estimates specific impact types such as biodiversity loss, scarcity-weighted water </w:t>
                            </w:r>
                            <w:r w:rsidRPr="009F32E5">
                              <w:rPr>
                                <w:rFonts w:cs="Arial"/>
                                <w:sz w:val="20"/>
                                <w:szCs w:val="20"/>
                              </w:rPr>
                              <w:t xml:space="preserve">use and deforestation </w:t>
                            </w:r>
                          </w:p>
                          <w:p w14:paraId="7AF475FC" w14:textId="6B6EB21C" w:rsidR="009F32E5" w:rsidRP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estimates the </w:t>
                            </w:r>
                            <w:r w:rsidRPr="00654995">
                              <w:rPr>
                                <w:rFonts w:cs="Arial"/>
                                <w:i/>
                                <w:iCs/>
                                <w:sz w:val="20"/>
                                <w:szCs w:val="20"/>
                              </w:rPr>
                              <w:t>volume</w:t>
                            </w:r>
                            <w:r w:rsidRPr="009F32E5">
                              <w:rPr>
                                <w:rFonts w:cs="Arial"/>
                                <w:sz w:val="20"/>
                                <w:szCs w:val="20"/>
                              </w:rPr>
                              <w:t xml:space="preserve"> of consumption, but does not estimate the </w:t>
                            </w:r>
                            <w:r w:rsidRPr="00654995">
                              <w:rPr>
                                <w:rFonts w:cs="Arial"/>
                                <w:i/>
                                <w:iCs/>
                                <w:sz w:val="20"/>
                                <w:szCs w:val="20"/>
                              </w:rPr>
                              <w:t>impacts</w:t>
                            </w:r>
                            <w:r w:rsidRPr="009F32E5">
                              <w:rPr>
                                <w:rFonts w:cs="Arial"/>
                                <w:sz w:val="20"/>
                                <w:szCs w:val="20"/>
                              </w:rPr>
                              <w:t xml:space="preserve"> this</w:t>
                            </w:r>
                            <w:r w:rsidR="00654995">
                              <w:rPr>
                                <w:rFonts w:cs="Arial"/>
                                <w:sz w:val="20"/>
                                <w:szCs w:val="20"/>
                              </w:rPr>
                              <w:t xml:space="preserve"> consumption</w:t>
                            </w:r>
                            <w:r w:rsidRPr="009F32E5">
                              <w:rPr>
                                <w:rFonts w:cs="Arial"/>
                                <w:sz w:val="20"/>
                                <w:szCs w:val="20"/>
                              </w:rPr>
                              <w:t xml:space="preserve"> is associated with (which may differ in type and severity depending on the type and location of </w:t>
                            </w:r>
                            <w:r w:rsidR="00654995">
                              <w:rPr>
                                <w:rFonts w:cs="Arial"/>
                                <w:sz w:val="20"/>
                                <w:szCs w:val="20"/>
                              </w:rPr>
                              <w:t xml:space="preserve">material </w:t>
                            </w:r>
                            <w:r w:rsidRPr="009F32E5">
                              <w:rPr>
                                <w:rFonts w:cs="Arial"/>
                                <w:sz w:val="20"/>
                                <w:szCs w:val="20"/>
                              </w:rPr>
                              <w:t xml:space="preserve">extraction) </w:t>
                            </w:r>
                          </w:p>
                          <w:p w14:paraId="319406A9" w14:textId="5968D951" w:rsid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estimates land use required to support consumption and regenerative potential</w:t>
                            </w:r>
                            <w:r w:rsidR="00654995">
                              <w:rPr>
                                <w:rFonts w:cs="Arial"/>
                                <w:sz w:val="20"/>
                                <w:szCs w:val="20"/>
                              </w:rPr>
                              <w:t xml:space="preserve"> </w:t>
                            </w:r>
                            <w:r w:rsidR="00654995" w:rsidRPr="00654995">
                              <w:rPr>
                                <w:rFonts w:cs="Arial"/>
                                <w:sz w:val="20"/>
                                <w:szCs w:val="20"/>
                              </w:rPr>
                              <w:t>("the demand on and supply of nature”)</w:t>
                            </w:r>
                          </w:p>
                          <w:p w14:paraId="761895FC" w14:textId="20FBACC0"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easy-to-communicate is each indicator? </w:t>
                            </w:r>
                          </w:p>
                          <w:p w14:paraId="0D92E5AE" w14:textId="2C9B7DB0" w:rsidR="009F32E5" w:rsidRP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data is provided on a free, practical, and easy-to-use interactive dashboard. The detail </w:t>
                            </w:r>
                            <w:r w:rsidR="008F5734">
                              <w:rPr>
                                <w:rFonts w:cs="Arial"/>
                                <w:sz w:val="20"/>
                                <w:szCs w:val="20"/>
                              </w:rPr>
                              <w:t>available</w:t>
                            </w:r>
                            <w:r w:rsidRPr="009F32E5">
                              <w:rPr>
                                <w:rFonts w:cs="Arial"/>
                                <w:sz w:val="20"/>
                                <w:szCs w:val="20"/>
                              </w:rPr>
                              <w:t xml:space="preserve"> provides the necessary </w:t>
                            </w:r>
                            <w:r w:rsidR="008F5734">
                              <w:rPr>
                                <w:rFonts w:cs="Arial"/>
                                <w:sz w:val="20"/>
                                <w:szCs w:val="20"/>
                              </w:rPr>
                              <w:t>information</w:t>
                            </w:r>
                            <w:r w:rsidRPr="009F32E5">
                              <w:rPr>
                                <w:rFonts w:cs="Arial"/>
                                <w:sz w:val="20"/>
                                <w:szCs w:val="20"/>
                              </w:rPr>
                              <w:t xml:space="preserve"> for those taking action to manage impacts. </w:t>
                            </w:r>
                          </w:p>
                          <w:p w14:paraId="2EDA1A31" w14:textId="45E45141" w:rsidR="009F32E5" w:rsidRP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w:t>
                            </w:r>
                            <w:r w:rsidR="004433B8">
                              <w:rPr>
                                <w:rFonts w:cs="Arial"/>
                                <w:sz w:val="20"/>
                                <w:szCs w:val="20"/>
                              </w:rPr>
                              <w:t>v</w:t>
                            </w:r>
                            <w:r w:rsidRPr="009F32E5">
                              <w:rPr>
                                <w:rFonts w:cs="Arial"/>
                                <w:sz w:val="20"/>
                                <w:szCs w:val="20"/>
                              </w:rPr>
                              <w:t xml:space="preserve">olume of consumption is a simple concept but does not give the user meaningful insight into the impacts this is associated with. </w:t>
                            </w:r>
                            <w:r w:rsidR="004433B8">
                              <w:rPr>
                                <w:rFonts w:cs="Arial"/>
                                <w:sz w:val="20"/>
                                <w:szCs w:val="20"/>
                              </w:rPr>
                              <w:t>Data provided as one of the Sustainable Development Goal indicators.</w:t>
                            </w:r>
                          </w:p>
                          <w:p w14:paraId="2EA6DAAC" w14:textId="14110F00" w:rsid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w:t>
                            </w:r>
                            <w:r w:rsidR="004433B8">
                              <w:rPr>
                                <w:rFonts w:cs="Arial"/>
                                <w:sz w:val="20"/>
                                <w:szCs w:val="20"/>
                              </w:rPr>
                              <w:t>S</w:t>
                            </w:r>
                            <w:r w:rsidR="008F5734">
                              <w:rPr>
                                <w:rFonts w:cs="Arial"/>
                                <w:sz w:val="20"/>
                                <w:szCs w:val="20"/>
                              </w:rPr>
                              <w:t>trong</w:t>
                            </w:r>
                            <w:r w:rsidRPr="009F32E5">
                              <w:rPr>
                                <w:rFonts w:cs="Arial"/>
                                <w:sz w:val="20"/>
                                <w:szCs w:val="20"/>
                              </w:rPr>
                              <w:t xml:space="preserve"> communication tool; calculates the number of earths it would take to support humanity’s demand compared to how much the planet is able to renew</w:t>
                            </w:r>
                            <w:r w:rsidR="00654995">
                              <w:rPr>
                                <w:rFonts w:cs="Arial"/>
                                <w:sz w:val="20"/>
                                <w:szCs w:val="20"/>
                              </w:rPr>
                              <w:t>, which is l</w:t>
                            </w:r>
                            <w:r w:rsidRPr="009F32E5">
                              <w:rPr>
                                <w:rFonts w:cs="Arial"/>
                                <w:sz w:val="20"/>
                                <w:szCs w:val="20"/>
                              </w:rPr>
                              <w:t>ikely to strongly identify with a broad audience.</w:t>
                            </w:r>
                            <w:r w:rsidR="004433B8">
                              <w:rPr>
                                <w:rFonts w:cs="Arial"/>
                                <w:sz w:val="20"/>
                                <w:szCs w:val="20"/>
                              </w:rPr>
                              <w:t xml:space="preserve"> Data is also provided on a free interactive dashboard.</w:t>
                            </w:r>
                          </w:p>
                          <w:p w14:paraId="4808FCA7" w14:textId="413D9D43"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can each indicator be used to inform action? </w:t>
                            </w:r>
                          </w:p>
                          <w:p w14:paraId="4E788F29" w14:textId="7DC8C83C" w:rsidR="009F32E5" w:rsidRPr="009F32E5" w:rsidRDefault="009F32E5" w:rsidP="009F32E5">
                            <w:pPr>
                              <w:pStyle w:val="ListParagraph"/>
                              <w:numPr>
                                <w:ilvl w:val="0"/>
                                <w:numId w:val="34"/>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w:t>
                            </w:r>
                            <w:r w:rsidR="00654995" w:rsidRPr="00654995">
                              <w:rPr>
                                <w:rFonts w:cs="Arial"/>
                                <w:sz w:val="20"/>
                                <w:szCs w:val="20"/>
                              </w:rPr>
                              <w:t>able to break down estimates of total consumption impacts in each consumer country/territory analysed, by how much of this impact takes place within each producer country/territory of the world, and how much of the impact is associated with each type of commodity. This could be used to inform policy levers such as negotiations as part of free trade agreements, and provision of investment spending towards innovation or implementation of sustainable solutions through aid. Such levers would be mutually beneficial, as any two trading partner countries will have an interest in ensuring that their supply from the other is resilient into the future and will not be disrupted due to environmental impacts or lost regenerative potential. The analytical framework used to generate the indicator can also be interrogated to understand the detail of supply chain/trade-linkages.</w:t>
                            </w:r>
                            <w:r w:rsidRPr="009F32E5">
                              <w:rPr>
                                <w:rFonts w:cs="Arial"/>
                                <w:sz w:val="20"/>
                                <w:szCs w:val="20"/>
                              </w:rPr>
                              <w:t xml:space="preserve"> </w:t>
                            </w:r>
                          </w:p>
                          <w:p w14:paraId="75D9FB0D" w14:textId="19D3881F" w:rsidR="009F32E5" w:rsidRPr="009F32E5" w:rsidRDefault="009F32E5" w:rsidP="009F32E5">
                            <w:pPr>
                              <w:pStyle w:val="ListParagraph"/>
                              <w:numPr>
                                <w:ilvl w:val="0"/>
                                <w:numId w:val="34"/>
                              </w:numPr>
                              <w:spacing w:after="100" w:line="252" w:lineRule="auto"/>
                              <w:rPr>
                                <w:rFonts w:cs="Arial"/>
                                <w:sz w:val="20"/>
                                <w:szCs w:val="20"/>
                              </w:rPr>
                            </w:pPr>
                            <w:r w:rsidRPr="009F32E5">
                              <w:rPr>
                                <w:rFonts w:cs="Arial"/>
                                <w:i/>
                                <w:iCs/>
                                <w:sz w:val="20"/>
                                <w:szCs w:val="20"/>
                              </w:rPr>
                              <w:t>Material Footprint and Ecological Footprint:</w:t>
                            </w:r>
                            <w:r w:rsidRPr="009F32E5">
                              <w:rPr>
                                <w:rFonts w:cs="Arial"/>
                                <w:sz w:val="20"/>
                                <w:szCs w:val="20"/>
                              </w:rPr>
                              <w:t xml:space="preserve"> Not possible to break the data down beyond a total for each consumer country</w:t>
                            </w:r>
                            <w:r w:rsidR="004433B8">
                              <w:rPr>
                                <w:rFonts w:cs="Arial"/>
                                <w:sz w:val="20"/>
                                <w:szCs w:val="20"/>
                              </w:rPr>
                              <w:t>. Can encourage action around consuming less overall, but not targeted action such as trade and aid.</w:t>
                            </w:r>
                          </w:p>
                          <w:p w14:paraId="4252922B" w14:textId="6A5BDFD5"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much of the economy does each indicator cover? </w:t>
                            </w:r>
                          </w:p>
                          <w:p w14:paraId="443AA90A" w14:textId="3DB36C61" w:rsidR="009F32E5" w:rsidRP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currently restricted to agricultural crop products (although the deforestation metric also includes cattle related commodities and timber). The current commodity scope allows for the detailed interrogation of impacts on a commodity-by-commodity basis, and further developments may allow for the addition of metals and minerals, marine and other sectors</w:t>
                            </w:r>
                            <w:r w:rsidR="008F5734">
                              <w:rPr>
                                <w:rFonts w:cs="Arial"/>
                                <w:sz w:val="20"/>
                                <w:szCs w:val="20"/>
                              </w:rPr>
                              <w:t>.</w:t>
                            </w:r>
                          </w:p>
                          <w:p w14:paraId="09A0EB26" w14:textId="6BC3430D" w:rsidR="009F32E5" w:rsidRP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covers agriculture, forestry, fisheries and infrastructure</w:t>
                            </w:r>
                            <w:r w:rsidR="00654995">
                              <w:rPr>
                                <w:rFonts w:cs="Arial"/>
                                <w:sz w:val="20"/>
                                <w:szCs w:val="20"/>
                              </w:rPr>
                              <w:t>.</w:t>
                            </w:r>
                          </w:p>
                          <w:p w14:paraId="338E17FA" w14:textId="3CF04B59" w:rsid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covers the whole economy</w:t>
                            </w:r>
                            <w:r w:rsidR="00654995">
                              <w:rPr>
                                <w:rFonts w:cs="Arial"/>
                                <w:sz w:val="20"/>
                                <w:szCs w:val="20"/>
                              </w:rPr>
                              <w:t>.</w:t>
                            </w:r>
                          </w:p>
                          <w:p w14:paraId="29AD17E6" w14:textId="769BD18D" w:rsidR="008F5734" w:rsidRPr="008F5734" w:rsidRDefault="008F5734" w:rsidP="008F5734">
                            <w:pPr>
                              <w:spacing w:after="100" w:line="252" w:lineRule="auto"/>
                              <w:rPr>
                                <w:rFonts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ED25CF9" id="Text Box 37" o:spid="_x0000_s1052" type="#_x0000_t202" style="width:479.4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">
                <v:textbox>
                  <w:txbxContent>
                    <w:p w14:paraId="2731FBBE" w14:textId="3A94F683" w:rsidR="008F5734" w:rsidRDefault="008F5734" w:rsidP="009F32E5">
                      <w:pPr>
                        <w:spacing w:after="100" w:line="252" w:lineRule="auto"/>
                        <w:rPr>
                          <w:rFonts w:cs="Arial"/>
                          <w:sz w:val="20"/>
                          <w:szCs w:val="20"/>
                        </w:rPr>
                      </w:pPr>
                      <w:r w:rsidRPr="008F5734">
                        <w:rPr>
                          <w:rFonts w:cs="Arial"/>
                          <w:sz w:val="20"/>
                          <w:szCs w:val="20"/>
                        </w:rPr>
                        <w:t xml:space="preserve">The Global Environmental Impacts of Consumption indicator is not the only indicator available relating to the sustainability of consumption. Other indicators that have been proposed as part of the CBD framework include the Material Footprint and the Ecological Footprint. There are two broad needs behind sustainable consumption indicators: estimating the impacts associated with consumption and informing action to try and manage these impacts. Whilst all three indicators meet the first of these needs, the Global Environmental Impacts of Consumption indicator is the only one that is also able to inform </w:t>
                      </w:r>
                      <w:r w:rsidR="004433B8">
                        <w:rPr>
                          <w:rFonts w:cs="Arial"/>
                          <w:sz w:val="20"/>
                          <w:szCs w:val="20"/>
                        </w:rPr>
                        <w:t xml:space="preserve">detailed </w:t>
                      </w:r>
                      <w:r w:rsidRPr="008F5734">
                        <w:rPr>
                          <w:rFonts w:cs="Arial"/>
                          <w:sz w:val="20"/>
                          <w:szCs w:val="20"/>
                        </w:rPr>
                        <w:t xml:space="preserve">action, through provision of a breakdown of total impacts by producer country/territory and by the commodity associated with the environmental risk. This specificity is critical to plotting a route to sustainable production and consumption, as it provides a tangible linkage to supply chain activities and traded commodities. This section outlines key differences between the three indicators. </w:t>
                      </w:r>
                    </w:p>
                    <w:p w14:paraId="73EC6F03" w14:textId="20E90A04" w:rsidR="009F32E5" w:rsidRPr="009F32E5" w:rsidRDefault="009F32E5" w:rsidP="009F32E5">
                      <w:pPr>
                        <w:spacing w:after="100" w:line="252" w:lineRule="auto"/>
                        <w:rPr>
                          <w:rFonts w:cs="Arial"/>
                          <w:i/>
                          <w:iCs/>
                          <w:sz w:val="20"/>
                          <w:szCs w:val="20"/>
                        </w:rPr>
                      </w:pPr>
                      <w:r w:rsidRPr="009F32E5">
                        <w:rPr>
                          <w:rFonts w:cs="Arial"/>
                          <w:i/>
                          <w:iCs/>
                          <w:sz w:val="20"/>
                          <w:szCs w:val="20"/>
                        </w:rPr>
                        <w:t xml:space="preserve">What is each indicator measuring? </w:t>
                      </w:r>
                    </w:p>
                    <w:p w14:paraId="4DB4EA42" w14:textId="627AA228" w:rsidR="009F32E5" w:rsidRP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estimates specific impact types such as biodiversity loss, scarcity-weighted water </w:t>
                      </w:r>
                      <w:r w:rsidRPr="009F32E5">
                        <w:rPr>
                          <w:rFonts w:cs="Arial"/>
                          <w:sz w:val="20"/>
                          <w:szCs w:val="20"/>
                        </w:rPr>
                        <w:t xml:space="preserve">use and deforestation </w:t>
                      </w:r>
                    </w:p>
                    <w:p w14:paraId="7AF475FC" w14:textId="6B6EB21C" w:rsidR="009F32E5" w:rsidRP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estimates the </w:t>
                      </w:r>
                      <w:r w:rsidRPr="00654995">
                        <w:rPr>
                          <w:rFonts w:cs="Arial"/>
                          <w:i/>
                          <w:iCs/>
                          <w:sz w:val="20"/>
                          <w:szCs w:val="20"/>
                        </w:rPr>
                        <w:t>volume</w:t>
                      </w:r>
                      <w:r w:rsidRPr="009F32E5">
                        <w:rPr>
                          <w:rFonts w:cs="Arial"/>
                          <w:sz w:val="20"/>
                          <w:szCs w:val="20"/>
                        </w:rPr>
                        <w:t xml:space="preserve"> of consumption, but does not estimate the </w:t>
                      </w:r>
                      <w:r w:rsidRPr="00654995">
                        <w:rPr>
                          <w:rFonts w:cs="Arial"/>
                          <w:i/>
                          <w:iCs/>
                          <w:sz w:val="20"/>
                          <w:szCs w:val="20"/>
                        </w:rPr>
                        <w:t>impacts</w:t>
                      </w:r>
                      <w:r w:rsidRPr="009F32E5">
                        <w:rPr>
                          <w:rFonts w:cs="Arial"/>
                          <w:sz w:val="20"/>
                          <w:szCs w:val="20"/>
                        </w:rPr>
                        <w:t xml:space="preserve"> this</w:t>
                      </w:r>
                      <w:r w:rsidR="00654995">
                        <w:rPr>
                          <w:rFonts w:cs="Arial"/>
                          <w:sz w:val="20"/>
                          <w:szCs w:val="20"/>
                        </w:rPr>
                        <w:t xml:space="preserve"> consumption</w:t>
                      </w:r>
                      <w:r w:rsidRPr="009F32E5">
                        <w:rPr>
                          <w:rFonts w:cs="Arial"/>
                          <w:sz w:val="20"/>
                          <w:szCs w:val="20"/>
                        </w:rPr>
                        <w:t xml:space="preserve"> is associated with (which may differ in type and severity depending on the type and location of </w:t>
                      </w:r>
                      <w:r w:rsidR="00654995">
                        <w:rPr>
                          <w:rFonts w:cs="Arial"/>
                          <w:sz w:val="20"/>
                          <w:szCs w:val="20"/>
                        </w:rPr>
                        <w:t xml:space="preserve">material </w:t>
                      </w:r>
                      <w:r w:rsidRPr="009F32E5">
                        <w:rPr>
                          <w:rFonts w:cs="Arial"/>
                          <w:sz w:val="20"/>
                          <w:szCs w:val="20"/>
                        </w:rPr>
                        <w:t xml:space="preserve">extraction) </w:t>
                      </w:r>
                    </w:p>
                    <w:p w14:paraId="319406A9" w14:textId="5968D951" w:rsidR="009F32E5" w:rsidRDefault="009F32E5" w:rsidP="009F32E5">
                      <w:pPr>
                        <w:pStyle w:val="ListParagraph"/>
                        <w:numPr>
                          <w:ilvl w:val="0"/>
                          <w:numId w:val="32"/>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estimates land use required to support consumption and regenerative potential</w:t>
                      </w:r>
                      <w:r w:rsidR="00654995">
                        <w:rPr>
                          <w:rFonts w:cs="Arial"/>
                          <w:sz w:val="20"/>
                          <w:szCs w:val="20"/>
                        </w:rPr>
                        <w:t xml:space="preserve"> </w:t>
                      </w:r>
                      <w:r w:rsidR="00654995" w:rsidRPr="00654995">
                        <w:rPr>
                          <w:rFonts w:cs="Arial"/>
                          <w:sz w:val="20"/>
                          <w:szCs w:val="20"/>
                        </w:rPr>
                        <w:t>("the demand on and supply of nature”)</w:t>
                      </w:r>
                    </w:p>
                    <w:p w14:paraId="761895FC" w14:textId="20FBACC0"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easy-to-communicate is each indicator? </w:t>
                      </w:r>
                    </w:p>
                    <w:p w14:paraId="0D92E5AE" w14:textId="2C9B7DB0" w:rsidR="009F32E5" w:rsidRP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data is provided on a free, practical, and easy-to-use interactive dashboard. The detail </w:t>
                      </w:r>
                      <w:r w:rsidR="008F5734">
                        <w:rPr>
                          <w:rFonts w:cs="Arial"/>
                          <w:sz w:val="20"/>
                          <w:szCs w:val="20"/>
                        </w:rPr>
                        <w:t>available</w:t>
                      </w:r>
                      <w:r w:rsidRPr="009F32E5">
                        <w:rPr>
                          <w:rFonts w:cs="Arial"/>
                          <w:sz w:val="20"/>
                          <w:szCs w:val="20"/>
                        </w:rPr>
                        <w:t xml:space="preserve"> provides the necessary </w:t>
                      </w:r>
                      <w:r w:rsidR="008F5734">
                        <w:rPr>
                          <w:rFonts w:cs="Arial"/>
                          <w:sz w:val="20"/>
                          <w:szCs w:val="20"/>
                        </w:rPr>
                        <w:t>information</w:t>
                      </w:r>
                      <w:r w:rsidRPr="009F32E5">
                        <w:rPr>
                          <w:rFonts w:cs="Arial"/>
                          <w:sz w:val="20"/>
                          <w:szCs w:val="20"/>
                        </w:rPr>
                        <w:t xml:space="preserve"> for those taking action to manage impacts. </w:t>
                      </w:r>
                    </w:p>
                    <w:p w14:paraId="2EDA1A31" w14:textId="45E45141" w:rsidR="009F32E5" w:rsidRP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w:t>
                      </w:r>
                      <w:r w:rsidR="004433B8">
                        <w:rPr>
                          <w:rFonts w:cs="Arial"/>
                          <w:sz w:val="20"/>
                          <w:szCs w:val="20"/>
                        </w:rPr>
                        <w:t>v</w:t>
                      </w:r>
                      <w:r w:rsidRPr="009F32E5">
                        <w:rPr>
                          <w:rFonts w:cs="Arial"/>
                          <w:sz w:val="20"/>
                          <w:szCs w:val="20"/>
                        </w:rPr>
                        <w:t xml:space="preserve">olume of consumption is a simple concept but does not give the user meaningful insight into the impacts this is associated with. </w:t>
                      </w:r>
                      <w:r w:rsidR="004433B8">
                        <w:rPr>
                          <w:rFonts w:cs="Arial"/>
                          <w:sz w:val="20"/>
                          <w:szCs w:val="20"/>
                        </w:rPr>
                        <w:t>Data provided as one of the Sustainable Development Goal indicators.</w:t>
                      </w:r>
                    </w:p>
                    <w:p w14:paraId="2EA6DAAC" w14:textId="14110F00" w:rsidR="009F32E5" w:rsidRDefault="009F32E5" w:rsidP="009F32E5">
                      <w:pPr>
                        <w:pStyle w:val="ListParagraph"/>
                        <w:numPr>
                          <w:ilvl w:val="0"/>
                          <w:numId w:val="33"/>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w:t>
                      </w:r>
                      <w:r w:rsidR="004433B8">
                        <w:rPr>
                          <w:rFonts w:cs="Arial"/>
                          <w:sz w:val="20"/>
                          <w:szCs w:val="20"/>
                        </w:rPr>
                        <w:t>S</w:t>
                      </w:r>
                      <w:r w:rsidR="008F5734">
                        <w:rPr>
                          <w:rFonts w:cs="Arial"/>
                          <w:sz w:val="20"/>
                          <w:szCs w:val="20"/>
                        </w:rPr>
                        <w:t>trong</w:t>
                      </w:r>
                      <w:r w:rsidRPr="009F32E5">
                        <w:rPr>
                          <w:rFonts w:cs="Arial"/>
                          <w:sz w:val="20"/>
                          <w:szCs w:val="20"/>
                        </w:rPr>
                        <w:t xml:space="preserve"> communication tool; calculates the number of earths it would take to support humanity’s demand compared to how much the planet is able to renew</w:t>
                      </w:r>
                      <w:r w:rsidR="00654995">
                        <w:rPr>
                          <w:rFonts w:cs="Arial"/>
                          <w:sz w:val="20"/>
                          <w:szCs w:val="20"/>
                        </w:rPr>
                        <w:t>, which is l</w:t>
                      </w:r>
                      <w:r w:rsidRPr="009F32E5">
                        <w:rPr>
                          <w:rFonts w:cs="Arial"/>
                          <w:sz w:val="20"/>
                          <w:szCs w:val="20"/>
                        </w:rPr>
                        <w:t>ikely to strongly identify with a broad audience.</w:t>
                      </w:r>
                      <w:r w:rsidR="004433B8">
                        <w:rPr>
                          <w:rFonts w:cs="Arial"/>
                          <w:sz w:val="20"/>
                          <w:szCs w:val="20"/>
                        </w:rPr>
                        <w:t xml:space="preserve"> Data is also provided on a free interactive dashboard.</w:t>
                      </w:r>
                    </w:p>
                    <w:p w14:paraId="4808FCA7" w14:textId="413D9D43"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can each indicator be used to inform action? </w:t>
                      </w:r>
                    </w:p>
                    <w:p w14:paraId="4E788F29" w14:textId="7DC8C83C" w:rsidR="009F32E5" w:rsidRPr="009F32E5" w:rsidRDefault="009F32E5" w:rsidP="009F32E5">
                      <w:pPr>
                        <w:pStyle w:val="ListParagraph"/>
                        <w:numPr>
                          <w:ilvl w:val="0"/>
                          <w:numId w:val="34"/>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w:t>
                      </w:r>
                      <w:r w:rsidR="00654995" w:rsidRPr="00654995">
                        <w:rPr>
                          <w:rFonts w:cs="Arial"/>
                          <w:sz w:val="20"/>
                          <w:szCs w:val="20"/>
                        </w:rPr>
                        <w:t>able to break down estimates of total consumption impacts in each consumer country/territory analysed, by how much of this impact takes place within each producer country/territory of the world, and how much of the impact is associated with each type of commodity. This could be used to inform policy levers such as negotiations as part of free trade agreements, and provision of investment spending towards innovation or implementation of sustainable solutions through aid. Such levers would be mutually beneficial, as any two trading partner countries will have an interest in ensuring that their supply from the other is resilient into the future and will not be disrupted due to environmental impacts or lost regenerative potential. The analytical framework used to generate the indicator can also be interrogated to understand the detail of supply chain/trade-linkages.</w:t>
                      </w:r>
                      <w:r w:rsidRPr="009F32E5">
                        <w:rPr>
                          <w:rFonts w:cs="Arial"/>
                          <w:sz w:val="20"/>
                          <w:szCs w:val="20"/>
                        </w:rPr>
                        <w:t xml:space="preserve"> </w:t>
                      </w:r>
                    </w:p>
                    <w:p w14:paraId="75D9FB0D" w14:textId="19D3881F" w:rsidR="009F32E5" w:rsidRPr="009F32E5" w:rsidRDefault="009F32E5" w:rsidP="009F32E5">
                      <w:pPr>
                        <w:pStyle w:val="ListParagraph"/>
                        <w:numPr>
                          <w:ilvl w:val="0"/>
                          <w:numId w:val="34"/>
                        </w:numPr>
                        <w:spacing w:after="100" w:line="252" w:lineRule="auto"/>
                        <w:rPr>
                          <w:rFonts w:cs="Arial"/>
                          <w:sz w:val="20"/>
                          <w:szCs w:val="20"/>
                        </w:rPr>
                      </w:pPr>
                      <w:r w:rsidRPr="009F32E5">
                        <w:rPr>
                          <w:rFonts w:cs="Arial"/>
                          <w:i/>
                          <w:iCs/>
                          <w:sz w:val="20"/>
                          <w:szCs w:val="20"/>
                        </w:rPr>
                        <w:t>Material Footprint and Ecological Footprint:</w:t>
                      </w:r>
                      <w:r w:rsidRPr="009F32E5">
                        <w:rPr>
                          <w:rFonts w:cs="Arial"/>
                          <w:sz w:val="20"/>
                          <w:szCs w:val="20"/>
                        </w:rPr>
                        <w:t xml:space="preserve"> Not possible to break the data down beyond a total for each consumer country</w:t>
                      </w:r>
                      <w:r w:rsidR="004433B8">
                        <w:rPr>
                          <w:rFonts w:cs="Arial"/>
                          <w:sz w:val="20"/>
                          <w:szCs w:val="20"/>
                        </w:rPr>
                        <w:t>. Can encourage action around consuming less overall, but not targeted action such as trade and aid.</w:t>
                      </w:r>
                    </w:p>
                    <w:p w14:paraId="4252922B" w14:textId="6A5BDFD5" w:rsidR="009F32E5" w:rsidRPr="009F32E5" w:rsidRDefault="009F32E5" w:rsidP="009F32E5">
                      <w:pPr>
                        <w:spacing w:after="100" w:line="252" w:lineRule="auto"/>
                        <w:rPr>
                          <w:rFonts w:cs="Arial"/>
                          <w:i/>
                          <w:iCs/>
                          <w:sz w:val="20"/>
                          <w:szCs w:val="20"/>
                        </w:rPr>
                      </w:pPr>
                      <w:r w:rsidRPr="009F32E5">
                        <w:rPr>
                          <w:rFonts w:cs="Arial"/>
                          <w:i/>
                          <w:iCs/>
                          <w:sz w:val="20"/>
                          <w:szCs w:val="20"/>
                        </w:rPr>
                        <w:t xml:space="preserve">How much of the economy does each indicator cover? </w:t>
                      </w:r>
                    </w:p>
                    <w:p w14:paraId="443AA90A" w14:textId="3DB36C61" w:rsidR="009F32E5" w:rsidRP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Global Environmental Impacts of Consumption indicator:</w:t>
                      </w:r>
                      <w:r w:rsidRPr="009F32E5">
                        <w:rPr>
                          <w:rFonts w:cs="Arial"/>
                          <w:sz w:val="20"/>
                          <w:szCs w:val="20"/>
                        </w:rPr>
                        <w:t xml:space="preserve"> currently restricted to agricultural crop products (although the deforestation metric also includes cattle related commodities and timber). The current commodity scope allows for the detailed interrogation of impacts on a commodity-by-commodity basis, and further developments may allow for the addition of metals and minerals, marine and other sectors</w:t>
                      </w:r>
                      <w:r w:rsidR="008F5734">
                        <w:rPr>
                          <w:rFonts w:cs="Arial"/>
                          <w:sz w:val="20"/>
                          <w:szCs w:val="20"/>
                        </w:rPr>
                        <w:t>.</w:t>
                      </w:r>
                    </w:p>
                    <w:p w14:paraId="09A0EB26" w14:textId="6BC3430D" w:rsidR="009F32E5" w:rsidRP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Ecological Footprint:</w:t>
                      </w:r>
                      <w:r w:rsidRPr="009F32E5">
                        <w:rPr>
                          <w:rFonts w:cs="Arial"/>
                          <w:sz w:val="20"/>
                          <w:szCs w:val="20"/>
                        </w:rPr>
                        <w:t xml:space="preserve"> covers agriculture, forestry, fisheries and infrastructure</w:t>
                      </w:r>
                      <w:r w:rsidR="00654995">
                        <w:rPr>
                          <w:rFonts w:cs="Arial"/>
                          <w:sz w:val="20"/>
                          <w:szCs w:val="20"/>
                        </w:rPr>
                        <w:t>.</w:t>
                      </w:r>
                    </w:p>
                    <w:p w14:paraId="338E17FA" w14:textId="3CF04B59" w:rsidR="009F32E5" w:rsidRDefault="009F32E5" w:rsidP="009F32E5">
                      <w:pPr>
                        <w:pStyle w:val="ListParagraph"/>
                        <w:numPr>
                          <w:ilvl w:val="0"/>
                          <w:numId w:val="35"/>
                        </w:numPr>
                        <w:spacing w:after="100" w:line="252" w:lineRule="auto"/>
                        <w:rPr>
                          <w:rFonts w:cs="Arial"/>
                          <w:sz w:val="20"/>
                          <w:szCs w:val="20"/>
                        </w:rPr>
                      </w:pPr>
                      <w:r w:rsidRPr="009F32E5">
                        <w:rPr>
                          <w:rFonts w:cs="Arial"/>
                          <w:i/>
                          <w:iCs/>
                          <w:sz w:val="20"/>
                          <w:szCs w:val="20"/>
                        </w:rPr>
                        <w:t>Material Footprint:</w:t>
                      </w:r>
                      <w:r w:rsidRPr="009F32E5">
                        <w:rPr>
                          <w:rFonts w:cs="Arial"/>
                          <w:sz w:val="20"/>
                          <w:szCs w:val="20"/>
                        </w:rPr>
                        <w:t xml:space="preserve"> covers the whole economy</w:t>
                      </w:r>
                      <w:r w:rsidR="00654995">
                        <w:rPr>
                          <w:rFonts w:cs="Arial"/>
                          <w:sz w:val="20"/>
                          <w:szCs w:val="20"/>
                        </w:rPr>
                        <w:t>.</w:t>
                      </w:r>
                    </w:p>
                    <w:p w14:paraId="29AD17E6" w14:textId="769BD18D" w:rsidR="008F5734" w:rsidRPr="008F5734" w:rsidRDefault="008F5734" w:rsidP="008F5734">
                      <w:pPr>
                        <w:spacing w:after="100" w:line="252" w:lineRule="auto"/>
                        <w:rPr>
                          <w:rFonts w:cs="Arial"/>
                          <w:sz w:val="20"/>
                          <w:szCs w:val="20"/>
                        </w:rPr>
                      </w:pPr>
                    </w:p>
                  </w:txbxContent>
                </v:textbox>
                <w10:anchorlock/>
              </v:shape>
            </w:pict>
          </mc:Fallback>
        </mc:AlternateContent>
      </w:r>
    </w:p>
    <w:p w14:paraId="0261B250" w14:textId="2416171F" w:rsidR="00654995" w:rsidRDefault="00654995" w:rsidP="00D652C7">
      <w:pPr>
        <w:spacing w:after="100" w:line="276" w:lineRule="auto"/>
        <w:rPr>
          <w:rFonts w:eastAsia="Times New Roman" w:cs="Arial"/>
          <w:b/>
          <w:bCs/>
          <w:szCs w:val="22"/>
          <w:lang w:val="en-AU"/>
        </w:rPr>
      </w:pPr>
      <w:r>
        <w:rPr>
          <w:rFonts w:eastAsia="Times New Roman" w:cs="Arial"/>
          <w:b/>
          <w:bCs/>
          <w:szCs w:val="22"/>
          <w:lang w:val="en-AU"/>
        </w:rPr>
        <w:lastRenderedPageBreak/>
        <w:t>9. Related indicators (continued)</w:t>
      </w:r>
    </w:p>
    <w:p w14:paraId="652EC0F4" w14:textId="01B11AE7" w:rsidR="008F5734" w:rsidRPr="00D652C7" w:rsidRDefault="008F5734" w:rsidP="00D652C7">
      <w:pPr>
        <w:spacing w:after="100" w:line="276" w:lineRule="auto"/>
        <w:rPr>
          <w:rFonts w:eastAsia="Times New Roman" w:cs="Arial"/>
          <w:b/>
          <w:bCs/>
          <w:szCs w:val="22"/>
          <w:lang w:val="en-AU"/>
        </w:rPr>
      </w:pPr>
      <w:r>
        <w:rPr>
          <w:rFonts w:eastAsia="Calibri" w:cs="Arial"/>
          <w:b/>
          <w:bCs/>
          <w:noProof/>
          <w:sz w:val="20"/>
          <w:szCs w:val="20"/>
        </w:rPr>
        <mc:AlternateContent>
          <mc:Choice Requires="wps">
            <w:drawing>
              <wp:inline distT="0" distB="0" distL="0" distR="0" wp14:anchorId="3B150994" wp14:editId="78259EB7">
                <wp:extent cx="5731510" cy="4724400"/>
                <wp:effectExtent l="0" t="0" r="2159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724400"/>
                        </a:xfrm>
                        <a:prstGeom prst="rect">
                          <a:avLst/>
                        </a:prstGeom>
                        <a:solidFill>
                          <a:srgbClr val="FFFFFF"/>
                        </a:solidFill>
                        <a:ln w="9525">
                          <a:solidFill>
                            <a:srgbClr val="000000"/>
                          </a:solidFill>
                          <a:miter lim="800000"/>
                          <a:headEnd/>
                          <a:tailEnd/>
                        </a:ln>
                      </wps:spPr>
                      <wps:txbx>
                        <w:txbxContent>
                          <w:p w14:paraId="72145F5C" w14:textId="4B5F1200" w:rsidR="00654995" w:rsidRPr="00654995" w:rsidRDefault="00654995" w:rsidP="00654995">
                            <w:pPr>
                              <w:rPr>
                                <w:i/>
                                <w:iCs/>
                                <w:sz w:val="20"/>
                                <w:szCs w:val="20"/>
                              </w:rPr>
                            </w:pPr>
                            <w:r w:rsidRPr="00654995">
                              <w:rPr>
                                <w:i/>
                                <w:iCs/>
                                <w:sz w:val="20"/>
                                <w:szCs w:val="20"/>
                              </w:rPr>
                              <w:t xml:space="preserve">How is trade accounted for in each indicator? </w:t>
                            </w:r>
                          </w:p>
                          <w:p w14:paraId="19425921" w14:textId="77777777" w:rsidR="00654995" w:rsidRPr="00654995" w:rsidRDefault="00654995" w:rsidP="00654995">
                            <w:pPr>
                              <w:rPr>
                                <w:sz w:val="20"/>
                                <w:szCs w:val="20"/>
                              </w:rPr>
                            </w:pPr>
                          </w:p>
                          <w:p w14:paraId="6B3363BB" w14:textId="23C6F8E7" w:rsidR="00654995" w:rsidRPr="00654995" w:rsidRDefault="00654995" w:rsidP="00654995">
                            <w:pPr>
                              <w:pStyle w:val="ListParagraph"/>
                              <w:numPr>
                                <w:ilvl w:val="0"/>
                                <w:numId w:val="36"/>
                              </w:numPr>
                              <w:rPr>
                                <w:sz w:val="20"/>
                                <w:szCs w:val="20"/>
                              </w:rPr>
                            </w:pPr>
                            <w:r w:rsidRPr="00654995">
                              <w:rPr>
                                <w:i/>
                                <w:iCs/>
                                <w:sz w:val="20"/>
                                <w:szCs w:val="20"/>
                              </w:rPr>
                              <w:t>Global Environmental Impacts of Consumption indicator:</w:t>
                            </w:r>
                            <w:r w:rsidRPr="00654995">
                              <w:rPr>
                                <w:sz w:val="20"/>
                                <w:szCs w:val="20"/>
                              </w:rPr>
                              <w:t xml:space="preserve"> uses a modified version of MRIO to model global trade flows, which includes additional physical production and trade data. As well as enabling the data to be broken down by producer country as described in the previous paragraph, this improves the accuracy of the indicator given that the impacts it assesses, such as biodiversity loss, vary considerably across geographies. Estimating production location in this manner is essential to effectively link consumption to the impact datasets </w:t>
                            </w:r>
                          </w:p>
                          <w:p w14:paraId="06C32B42" w14:textId="34A22480" w:rsidR="00654995" w:rsidRPr="00654995" w:rsidRDefault="00654995" w:rsidP="00654995">
                            <w:pPr>
                              <w:pStyle w:val="ListParagraph"/>
                              <w:numPr>
                                <w:ilvl w:val="0"/>
                                <w:numId w:val="36"/>
                              </w:numPr>
                              <w:rPr>
                                <w:sz w:val="20"/>
                                <w:szCs w:val="20"/>
                              </w:rPr>
                            </w:pPr>
                            <w:r w:rsidRPr="00654995">
                              <w:rPr>
                                <w:i/>
                                <w:iCs/>
                                <w:sz w:val="20"/>
                                <w:szCs w:val="20"/>
                              </w:rPr>
                              <w:t>Material Footprint:</w:t>
                            </w:r>
                            <w:r w:rsidRPr="00654995">
                              <w:rPr>
                                <w:sz w:val="20"/>
                                <w:szCs w:val="20"/>
                              </w:rPr>
                              <w:t xml:space="preserve"> also based on MRIO, but not the modified version that includes additional physical production data (so trade is estimated at a coarser spatial resolution) </w:t>
                            </w:r>
                          </w:p>
                          <w:p w14:paraId="3342BEBD" w14:textId="4F22678C" w:rsidR="008F5734" w:rsidRDefault="00654995" w:rsidP="00654995">
                            <w:pPr>
                              <w:pStyle w:val="ListParagraph"/>
                              <w:numPr>
                                <w:ilvl w:val="0"/>
                                <w:numId w:val="36"/>
                              </w:numPr>
                              <w:rPr>
                                <w:sz w:val="20"/>
                                <w:szCs w:val="20"/>
                              </w:rPr>
                            </w:pPr>
                            <w:r w:rsidRPr="00654995">
                              <w:rPr>
                                <w:i/>
                                <w:iCs/>
                                <w:sz w:val="20"/>
                                <w:szCs w:val="20"/>
                              </w:rPr>
                              <w:t>Ecological Footprint:</w:t>
                            </w:r>
                            <w:r w:rsidRPr="00654995">
                              <w:rPr>
                                <w:sz w:val="20"/>
                                <w:szCs w:val="20"/>
                              </w:rPr>
                              <w:t xml:space="preserve"> simply subtracts total exports from total imports plus total production</w:t>
                            </w:r>
                            <w:r w:rsidR="00FC5D3C">
                              <w:rPr>
                                <w:sz w:val="20"/>
                                <w:szCs w:val="20"/>
                              </w:rPr>
                              <w:t xml:space="preserve"> (although more complex paid-for versions are also available)</w:t>
                            </w:r>
                          </w:p>
                          <w:p w14:paraId="45BE8551" w14:textId="34587CC6" w:rsidR="00654995" w:rsidRDefault="00654995" w:rsidP="00654995">
                            <w:pPr>
                              <w:rPr>
                                <w:sz w:val="20"/>
                                <w:szCs w:val="20"/>
                              </w:rPr>
                            </w:pPr>
                          </w:p>
                          <w:p w14:paraId="41B7839C" w14:textId="1899E5DA" w:rsidR="005234FE" w:rsidRDefault="005234FE" w:rsidP="00654995">
                            <w:pPr>
                              <w:rPr>
                                <w:sz w:val="20"/>
                                <w:szCs w:val="20"/>
                              </w:rPr>
                            </w:pPr>
                            <w:r w:rsidRPr="00401C47">
                              <w:rPr>
                                <w:sz w:val="20"/>
                                <w:szCs w:val="20"/>
                              </w:rPr>
                              <w:t xml:space="preserve">What limitations </w:t>
                            </w:r>
                            <w:r w:rsidR="00401C47" w:rsidRPr="00401C47">
                              <w:rPr>
                                <w:sz w:val="20"/>
                                <w:szCs w:val="20"/>
                              </w:rPr>
                              <w:t>are common to all three</w:t>
                            </w:r>
                            <w:r w:rsidRPr="00401C47">
                              <w:rPr>
                                <w:sz w:val="20"/>
                                <w:szCs w:val="20"/>
                              </w:rPr>
                              <w:t xml:space="preserve"> indicator</w:t>
                            </w:r>
                            <w:r w:rsidR="00401C47" w:rsidRPr="00401C47">
                              <w:rPr>
                                <w:i/>
                                <w:iCs/>
                                <w:sz w:val="20"/>
                                <w:szCs w:val="20"/>
                              </w:rPr>
                              <w:t>s</w:t>
                            </w:r>
                            <w:r w:rsidRPr="00401C47">
                              <w:rPr>
                                <w:sz w:val="20"/>
                                <w:szCs w:val="20"/>
                              </w:rPr>
                              <w:t>?</w:t>
                            </w:r>
                          </w:p>
                          <w:p w14:paraId="6313948A" w14:textId="77777777" w:rsidR="00401C47" w:rsidRPr="00401C47" w:rsidRDefault="00401C47" w:rsidP="00654995">
                            <w:pPr>
                              <w:rPr>
                                <w:sz w:val="20"/>
                                <w:szCs w:val="20"/>
                              </w:rPr>
                            </w:pPr>
                          </w:p>
                          <w:p w14:paraId="3C0ABF5A" w14:textId="4E31DB06" w:rsidR="005234FE" w:rsidRPr="00401C47" w:rsidRDefault="00401C47" w:rsidP="00401C47">
                            <w:pPr>
                              <w:pStyle w:val="ListParagraph"/>
                              <w:numPr>
                                <w:ilvl w:val="0"/>
                                <w:numId w:val="39"/>
                              </w:numPr>
                              <w:rPr>
                                <w:sz w:val="20"/>
                                <w:szCs w:val="22"/>
                              </w:rPr>
                            </w:pPr>
                            <w:r>
                              <w:rPr>
                                <w:sz w:val="20"/>
                                <w:szCs w:val="22"/>
                              </w:rPr>
                              <w:t>Data tracing exact supply chains at a global scale are not publicly available. Any indicator relating to the sustainability of consumption is therefore reliant on modelling and assumptions.</w:t>
                            </w:r>
                          </w:p>
                          <w:p w14:paraId="69AC6053" w14:textId="388AEB03" w:rsidR="00401C47" w:rsidRPr="00401C47" w:rsidRDefault="00FC7BAB" w:rsidP="00401C47">
                            <w:pPr>
                              <w:pStyle w:val="ListParagraph"/>
                              <w:numPr>
                                <w:ilvl w:val="0"/>
                                <w:numId w:val="39"/>
                              </w:numPr>
                            </w:pPr>
                            <w:r>
                              <w:rPr>
                                <w:sz w:val="20"/>
                                <w:szCs w:val="22"/>
                              </w:rPr>
                              <w:t>All three indicators have a data lag, with the most recent data available currently 2017 for the Global Environmental Impacts of Consumption indicator (due to update to 2018 in October 2022), 2018 for the Ecological Footprint as reported on their Open Data Platform, and 2017 for the Material Footprint as reported on the SDG website.</w:t>
                            </w:r>
                          </w:p>
                          <w:p w14:paraId="26934437" w14:textId="77777777" w:rsidR="005234FE" w:rsidRDefault="005234FE" w:rsidP="00654995">
                            <w:pPr>
                              <w:rPr>
                                <w:sz w:val="20"/>
                                <w:szCs w:val="20"/>
                              </w:rPr>
                            </w:pPr>
                          </w:p>
                          <w:p w14:paraId="1FD51A17" w14:textId="2A5D6EE1" w:rsidR="00654995" w:rsidRDefault="00654995" w:rsidP="00654995">
                            <w:pPr>
                              <w:rPr>
                                <w:i/>
                                <w:iCs/>
                                <w:sz w:val="20"/>
                                <w:szCs w:val="20"/>
                              </w:rPr>
                            </w:pPr>
                            <w:r w:rsidRPr="00654995">
                              <w:rPr>
                                <w:i/>
                                <w:iCs/>
                                <w:sz w:val="20"/>
                                <w:szCs w:val="20"/>
                              </w:rPr>
                              <w:t xml:space="preserve">Conclusions </w:t>
                            </w:r>
                          </w:p>
                          <w:p w14:paraId="5D73882D" w14:textId="77777777" w:rsidR="00336788" w:rsidRPr="00654995" w:rsidRDefault="00336788" w:rsidP="00654995">
                            <w:pPr>
                              <w:rPr>
                                <w:sz w:val="20"/>
                                <w:szCs w:val="20"/>
                              </w:rPr>
                            </w:pPr>
                          </w:p>
                          <w:p w14:paraId="74F8A0F4" w14:textId="4D56A3AB" w:rsidR="00654995" w:rsidRPr="00654995" w:rsidRDefault="00654995" w:rsidP="00654995">
                            <w:pPr>
                              <w:rPr>
                                <w:sz w:val="20"/>
                                <w:szCs w:val="20"/>
                              </w:rPr>
                            </w:pPr>
                            <w:r w:rsidRPr="00654995">
                              <w:rPr>
                                <w:sz w:val="20"/>
                                <w:szCs w:val="20"/>
                              </w:rPr>
                              <w:t>Overall, the Global Environmental Impacts of Consumption indicator may be of most use in applications relating to informing actions that governments can take to reduce the impacts associated with their country’s consumption and ensure resource security, and the Ecological Footprint may be of most use in applications relating to communication with the public to illustrate the scale of consumption as a problem.</w:t>
                            </w:r>
                          </w:p>
                        </w:txbxContent>
                      </wps:txbx>
                      <wps:bodyPr rot="0" vert="horz" wrap="square" lIns="91440" tIns="45720" rIns="91440" bIns="45720" anchor="t" anchorCtr="0" upright="1">
                        <a:noAutofit/>
                      </wps:bodyPr>
                    </wps:wsp>
                  </a:graphicData>
                </a:graphic>
              </wp:inline>
            </w:drawing>
          </mc:Choice>
          <mc:Fallback>
            <w:pict>
              <v:shape w14:anchorId="3B150994" id="Text Box 1" o:spid="_x0000_s1053" type="#_x0000_t202" style="width:451.3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">
                <v:textbox>
                  <w:txbxContent>
                    <w:p w14:paraId="72145F5C" w14:textId="4B5F1200" w:rsidR="00654995" w:rsidRPr="00654995" w:rsidRDefault="00654995" w:rsidP="00654995">
                      <w:pPr>
                        <w:rPr>
                          <w:i/>
                          <w:iCs/>
                          <w:sz w:val="20"/>
                          <w:szCs w:val="20"/>
                        </w:rPr>
                      </w:pPr>
                      <w:r w:rsidRPr="00654995">
                        <w:rPr>
                          <w:i/>
                          <w:iCs/>
                          <w:sz w:val="20"/>
                          <w:szCs w:val="20"/>
                        </w:rPr>
                        <w:t xml:space="preserve">How is trade accounted for in each indicator? </w:t>
                      </w:r>
                    </w:p>
                    <w:p w14:paraId="19425921" w14:textId="77777777" w:rsidR="00654995" w:rsidRPr="00654995" w:rsidRDefault="00654995" w:rsidP="00654995">
                      <w:pPr>
                        <w:rPr>
                          <w:sz w:val="20"/>
                          <w:szCs w:val="20"/>
                        </w:rPr>
                      </w:pPr>
                    </w:p>
                    <w:p w14:paraId="6B3363BB" w14:textId="23C6F8E7" w:rsidR="00654995" w:rsidRPr="00654995" w:rsidRDefault="00654995" w:rsidP="00654995">
                      <w:pPr>
                        <w:pStyle w:val="ListParagraph"/>
                        <w:numPr>
                          <w:ilvl w:val="0"/>
                          <w:numId w:val="36"/>
                        </w:numPr>
                        <w:rPr>
                          <w:sz w:val="20"/>
                          <w:szCs w:val="20"/>
                        </w:rPr>
                      </w:pPr>
                      <w:r w:rsidRPr="00654995">
                        <w:rPr>
                          <w:i/>
                          <w:iCs/>
                          <w:sz w:val="20"/>
                          <w:szCs w:val="20"/>
                        </w:rPr>
                        <w:t>Global Environmental Impacts of Consumption indicator:</w:t>
                      </w:r>
                      <w:r w:rsidRPr="00654995">
                        <w:rPr>
                          <w:sz w:val="20"/>
                          <w:szCs w:val="20"/>
                        </w:rPr>
                        <w:t xml:space="preserve"> uses a modified version of MRIO to model global trade flows, which includes additional physical production and trade data. As well as enabling the data to be broken down by producer country as described in the previous paragraph, this improves the accuracy of the indicator given that the impacts it assesses, such as biodiversity loss, vary considerably across geographies. Estimating production location in this manner is essential to effectively link consumption to the impact datasets </w:t>
                      </w:r>
                    </w:p>
                    <w:p w14:paraId="06C32B42" w14:textId="34A22480" w:rsidR="00654995" w:rsidRPr="00654995" w:rsidRDefault="00654995" w:rsidP="00654995">
                      <w:pPr>
                        <w:pStyle w:val="ListParagraph"/>
                        <w:numPr>
                          <w:ilvl w:val="0"/>
                          <w:numId w:val="36"/>
                        </w:numPr>
                        <w:rPr>
                          <w:sz w:val="20"/>
                          <w:szCs w:val="20"/>
                        </w:rPr>
                      </w:pPr>
                      <w:r w:rsidRPr="00654995">
                        <w:rPr>
                          <w:i/>
                          <w:iCs/>
                          <w:sz w:val="20"/>
                          <w:szCs w:val="20"/>
                        </w:rPr>
                        <w:t>Material Footprint:</w:t>
                      </w:r>
                      <w:r w:rsidRPr="00654995">
                        <w:rPr>
                          <w:sz w:val="20"/>
                          <w:szCs w:val="20"/>
                        </w:rPr>
                        <w:t xml:space="preserve"> also based on MRIO, but not the modified version that includes additional physical production data (so trade is estimated at a coarser spatial resolution) </w:t>
                      </w:r>
                    </w:p>
                    <w:p w14:paraId="3342BEBD" w14:textId="4F22678C" w:rsidR="008F5734" w:rsidRDefault="00654995" w:rsidP="00654995">
                      <w:pPr>
                        <w:pStyle w:val="ListParagraph"/>
                        <w:numPr>
                          <w:ilvl w:val="0"/>
                          <w:numId w:val="36"/>
                        </w:numPr>
                        <w:rPr>
                          <w:sz w:val="20"/>
                          <w:szCs w:val="20"/>
                        </w:rPr>
                      </w:pPr>
                      <w:r w:rsidRPr="00654995">
                        <w:rPr>
                          <w:i/>
                          <w:iCs/>
                          <w:sz w:val="20"/>
                          <w:szCs w:val="20"/>
                        </w:rPr>
                        <w:t>Ecological Footprint:</w:t>
                      </w:r>
                      <w:r w:rsidRPr="00654995">
                        <w:rPr>
                          <w:sz w:val="20"/>
                          <w:szCs w:val="20"/>
                        </w:rPr>
                        <w:t xml:space="preserve"> simply subtracts total exports from total imports plus total production</w:t>
                      </w:r>
                      <w:r w:rsidR="00FC5D3C">
                        <w:rPr>
                          <w:sz w:val="20"/>
                          <w:szCs w:val="20"/>
                        </w:rPr>
                        <w:t xml:space="preserve"> (although more complex paid-for versions are also available)</w:t>
                      </w:r>
                    </w:p>
                    <w:p w14:paraId="45BE8551" w14:textId="34587CC6" w:rsidR="00654995" w:rsidRDefault="00654995" w:rsidP="00654995">
                      <w:pPr>
                        <w:rPr>
                          <w:sz w:val="20"/>
                          <w:szCs w:val="20"/>
                        </w:rPr>
                      </w:pPr>
                    </w:p>
                    <w:p w14:paraId="41B7839C" w14:textId="1899E5DA" w:rsidR="005234FE" w:rsidRDefault="005234FE" w:rsidP="00654995">
                      <w:pPr>
                        <w:rPr>
                          <w:sz w:val="20"/>
                          <w:szCs w:val="20"/>
                        </w:rPr>
                      </w:pPr>
                      <w:r w:rsidRPr="00401C47">
                        <w:rPr>
                          <w:sz w:val="20"/>
                          <w:szCs w:val="20"/>
                        </w:rPr>
                        <w:t xml:space="preserve">What limitations </w:t>
                      </w:r>
                      <w:r w:rsidR="00401C47" w:rsidRPr="00401C47">
                        <w:rPr>
                          <w:sz w:val="20"/>
                          <w:szCs w:val="20"/>
                        </w:rPr>
                        <w:t>are common to all three</w:t>
                      </w:r>
                      <w:r w:rsidRPr="00401C47">
                        <w:rPr>
                          <w:sz w:val="20"/>
                          <w:szCs w:val="20"/>
                        </w:rPr>
                        <w:t xml:space="preserve"> indicator</w:t>
                      </w:r>
                      <w:r w:rsidR="00401C47" w:rsidRPr="00401C47">
                        <w:rPr>
                          <w:i/>
                          <w:iCs/>
                          <w:sz w:val="20"/>
                          <w:szCs w:val="20"/>
                        </w:rPr>
                        <w:t>s</w:t>
                      </w:r>
                      <w:r w:rsidRPr="00401C47">
                        <w:rPr>
                          <w:sz w:val="20"/>
                          <w:szCs w:val="20"/>
                        </w:rPr>
                        <w:t>?</w:t>
                      </w:r>
                    </w:p>
                    <w:p w14:paraId="6313948A" w14:textId="77777777" w:rsidR="00401C47" w:rsidRPr="00401C47" w:rsidRDefault="00401C47" w:rsidP="00654995">
                      <w:pPr>
                        <w:rPr>
                          <w:sz w:val="20"/>
                          <w:szCs w:val="20"/>
                        </w:rPr>
                      </w:pPr>
                    </w:p>
                    <w:p w14:paraId="3C0ABF5A" w14:textId="4E31DB06" w:rsidR="005234FE" w:rsidRPr="00401C47" w:rsidRDefault="00401C47" w:rsidP="00401C47">
                      <w:pPr>
                        <w:pStyle w:val="ListParagraph"/>
                        <w:numPr>
                          <w:ilvl w:val="0"/>
                          <w:numId w:val="39"/>
                        </w:numPr>
                        <w:rPr>
                          <w:sz w:val="20"/>
                          <w:szCs w:val="22"/>
                        </w:rPr>
                      </w:pPr>
                      <w:r>
                        <w:rPr>
                          <w:sz w:val="20"/>
                          <w:szCs w:val="22"/>
                        </w:rPr>
                        <w:t>Data tracing exact supply chains at a global scale are not publicly available. Any indicator relating to the sustainability of consumption is therefore reliant on modelling and assumptions.</w:t>
                      </w:r>
                    </w:p>
                    <w:p w14:paraId="69AC6053" w14:textId="388AEB03" w:rsidR="00401C47" w:rsidRPr="00401C47" w:rsidRDefault="00FC7BAB" w:rsidP="00401C47">
                      <w:pPr>
                        <w:pStyle w:val="ListParagraph"/>
                        <w:numPr>
                          <w:ilvl w:val="0"/>
                          <w:numId w:val="39"/>
                        </w:numPr>
                      </w:pPr>
                      <w:r>
                        <w:rPr>
                          <w:sz w:val="20"/>
                          <w:szCs w:val="22"/>
                        </w:rPr>
                        <w:t>All three indicators have a data lag, with the most recent data available currently 2017 for the Global Environmental Impacts of Consumption indicator (due to update to 2018 in October 2022), 2018 for the Ecological Footprint as reported on their Open Data Platform, and 2017 for the Material Footprint as reported on the SDG website.</w:t>
                      </w:r>
                    </w:p>
                    <w:p w14:paraId="26934437" w14:textId="77777777" w:rsidR="005234FE" w:rsidRDefault="005234FE" w:rsidP="00654995">
                      <w:pPr>
                        <w:rPr>
                          <w:sz w:val="20"/>
                          <w:szCs w:val="20"/>
                        </w:rPr>
                      </w:pPr>
                    </w:p>
                    <w:p w14:paraId="1FD51A17" w14:textId="2A5D6EE1" w:rsidR="00654995" w:rsidRDefault="00654995" w:rsidP="00654995">
                      <w:pPr>
                        <w:rPr>
                          <w:i/>
                          <w:iCs/>
                          <w:sz w:val="20"/>
                          <w:szCs w:val="20"/>
                        </w:rPr>
                      </w:pPr>
                      <w:r w:rsidRPr="00654995">
                        <w:rPr>
                          <w:i/>
                          <w:iCs/>
                          <w:sz w:val="20"/>
                          <w:szCs w:val="20"/>
                        </w:rPr>
                        <w:t xml:space="preserve">Conclusions </w:t>
                      </w:r>
                    </w:p>
                    <w:p w14:paraId="5D73882D" w14:textId="77777777" w:rsidR="00336788" w:rsidRPr="00654995" w:rsidRDefault="00336788" w:rsidP="00654995">
                      <w:pPr>
                        <w:rPr>
                          <w:sz w:val="20"/>
                          <w:szCs w:val="20"/>
                        </w:rPr>
                      </w:pPr>
                    </w:p>
                    <w:p w14:paraId="74F8A0F4" w14:textId="4D56A3AB" w:rsidR="00654995" w:rsidRPr="00654995" w:rsidRDefault="00654995" w:rsidP="00654995">
                      <w:pPr>
                        <w:rPr>
                          <w:sz w:val="20"/>
                          <w:szCs w:val="20"/>
                        </w:rPr>
                      </w:pPr>
                      <w:r w:rsidRPr="00654995">
                        <w:rPr>
                          <w:sz w:val="20"/>
                          <w:szCs w:val="20"/>
                        </w:rPr>
                        <w:t>Overall, the Global Environmental Impacts of Consumption indicator may be of most use in applications relating to informing actions that governments can take to reduce the impacts associated with their country’s consumption and ensure resource security, and the Ecological Footprint may be of most use in applications relating to communication with the public to illustrate the scale of consumption as a problem.</w:t>
                      </w:r>
                    </w:p>
                  </w:txbxContent>
                </v:textbox>
                <w10:anchorlock/>
              </v:shape>
            </w:pict>
          </mc:Fallback>
        </mc:AlternateContent>
      </w:r>
    </w:p>
    <w:p w14:paraId="1D389A5B" w14:textId="77777777" w:rsidR="00DF6833" w:rsidRDefault="00DF6833" w:rsidP="00DF6833">
      <w:pPr>
        <w:numPr>
          <w:ilvl w:val="0"/>
          <w:numId w:val="23"/>
        </w:numPr>
        <w:spacing w:after="100"/>
        <w:rPr>
          <w:rFonts w:eastAsia="Times New Roman" w:cs="Arial"/>
          <w:b/>
          <w:bCs/>
          <w:szCs w:val="22"/>
          <w:lang w:val="en-AU"/>
        </w:rPr>
      </w:pPr>
      <w:r>
        <w:rPr>
          <w:rFonts w:eastAsia="Times New Roman" w:cs="Arial"/>
          <w:b/>
          <w:bCs/>
          <w:szCs w:val="22"/>
          <w:lang w:val="en-AU"/>
        </w:rPr>
        <w:t>Data reporter</w:t>
      </w:r>
    </w:p>
    <w:p w14:paraId="1F866276" w14:textId="77777777" w:rsidR="00DF6833" w:rsidRDefault="00DF6833" w:rsidP="00DF6833">
      <w:pPr>
        <w:spacing w:after="100"/>
        <w:rPr>
          <w:rFonts w:eastAsia="Calibri" w:cs="Arial"/>
          <w:sz w:val="20"/>
          <w:szCs w:val="20"/>
        </w:rPr>
      </w:pPr>
      <w:r>
        <w:rPr>
          <w:rFonts w:eastAsia="Calibri" w:cs="Arial"/>
          <w:b/>
          <w:bCs/>
          <w:sz w:val="20"/>
          <w:szCs w:val="20"/>
        </w:rPr>
        <w:t>10.</w:t>
      </w:r>
      <w:proofErr w:type="spellStart"/>
      <w:r>
        <w:rPr>
          <w:rFonts w:eastAsia="Calibri" w:cs="Arial"/>
          <w:b/>
          <w:bCs/>
          <w:sz w:val="20"/>
          <w:szCs w:val="20"/>
        </w:rPr>
        <w:t>a</w:t>
      </w:r>
      <w:proofErr w:type="spellEnd"/>
      <w:r>
        <w:rPr>
          <w:rFonts w:eastAsia="Calibri" w:cs="Arial"/>
          <w:b/>
          <w:bCs/>
          <w:sz w:val="20"/>
          <w:szCs w:val="20"/>
        </w:rPr>
        <w:t xml:space="preserve"> Organisation </w:t>
      </w:r>
    </w:p>
    <w:p w14:paraId="017C14B3" w14:textId="6318A0D3" w:rsidR="00DF6833" w:rsidRDefault="00DF6833" w:rsidP="00DF6833">
      <w:pPr>
        <w:spacing w:after="100"/>
        <w:rPr>
          <w:rFonts w:eastAsia="Calibri" w:cs="Arial"/>
          <w:sz w:val="20"/>
          <w:szCs w:val="20"/>
        </w:rPr>
      </w:pPr>
      <w:r>
        <w:rPr>
          <w:rFonts w:eastAsia="Calibri" w:cs="Arial"/>
          <w:b/>
          <w:bCs/>
          <w:noProof/>
          <w:sz w:val="20"/>
          <w:szCs w:val="20"/>
        </w:rPr>
        <mc:AlternateContent>
          <mc:Choice Requires="wps">
            <w:drawing>
              <wp:inline distT="0" distB="0" distL="0" distR="0" wp14:anchorId="372842E0" wp14:editId="08273493">
                <wp:extent cx="5753100" cy="376555"/>
                <wp:effectExtent l="9525" t="9525" r="9525" b="1397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76555"/>
                        </a:xfrm>
                        <a:prstGeom prst="rect">
                          <a:avLst/>
                        </a:prstGeom>
                        <a:solidFill>
                          <a:srgbClr val="FFFFFF"/>
                        </a:solidFill>
                        <a:ln w="9525">
                          <a:solidFill>
                            <a:srgbClr val="000000"/>
                          </a:solidFill>
                          <a:miter lim="800000"/>
                          <a:headEnd/>
                          <a:tailEnd/>
                        </a:ln>
                      </wps:spPr>
                      <wps:txbx>
                        <w:txbxContent>
                          <w:p w14:paraId="5FA7D2BA" w14:textId="77777777" w:rsidR="00B33B9E" w:rsidRDefault="00B33B9E" w:rsidP="00DF6833">
                            <w:pPr>
                              <w:rPr>
                                <w:sz w:val="20"/>
                                <w:szCs w:val="20"/>
                              </w:rPr>
                            </w:pPr>
                            <w:r>
                              <w:rPr>
                                <w:sz w:val="20"/>
                                <w:szCs w:val="20"/>
                              </w:rPr>
                              <w:t>Joint Nature Conservation Committee and Stockholm Environment Institute (University of York)</w:t>
                            </w:r>
                          </w:p>
                        </w:txbxContent>
                      </wps:txbx>
                      <wps:bodyPr rot="0" vert="horz" wrap="square" lIns="91440" tIns="45720" rIns="91440" bIns="45720" anchor="t" anchorCtr="0" upright="1">
                        <a:noAutofit/>
                      </wps:bodyPr>
                    </wps:wsp>
                  </a:graphicData>
                </a:graphic>
              </wp:inline>
            </w:drawing>
          </mc:Choice>
          <mc:Fallback>
            <w:pict>
              <v:shape w14:anchorId="372842E0" id="Text Box 36" o:spid="_x0000_s1054" type="#_x0000_t202" style="width:453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XQHAIAADMEAAAOAAAAZHJzL2Uyb0RvYy54bWysU9uO2yAQfa/Uf0C8N3ay8SZrxVlts01V&#10;aXuRtv0AjLGNihkKJHb69R2wN5veXqrygBgGzsycObO5HTpFjsI6Cbqg81lKidAcKqmbgn75vH+1&#10;p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">
                <v:textbox>
                  <w:txbxContent>
                    <w:p w14:paraId="5FA7D2BA" w14:textId="77777777" w:rsidR="00B33B9E" w:rsidRDefault="00B33B9E" w:rsidP="00DF6833">
                      <w:pPr>
                        <w:rPr>
                          <w:sz w:val="20"/>
                          <w:szCs w:val="20"/>
                        </w:rPr>
                      </w:pPr>
                      <w:r>
                        <w:rPr>
                          <w:sz w:val="20"/>
                          <w:szCs w:val="20"/>
                        </w:rPr>
                        <w:t>Joint Nature Conservation Committee and Stockholm Environment Institute (University of York)</w:t>
                      </w:r>
                    </w:p>
                  </w:txbxContent>
                </v:textbox>
                <w10:anchorlock/>
              </v:shape>
            </w:pict>
          </mc:Fallback>
        </mc:AlternateContent>
      </w:r>
    </w:p>
    <w:p w14:paraId="1032C39D" w14:textId="77777777" w:rsidR="00DF6833" w:rsidRDefault="00DF6833" w:rsidP="00DF6833">
      <w:pPr>
        <w:spacing w:after="100"/>
        <w:rPr>
          <w:rFonts w:eastAsia="Calibri" w:cs="Arial"/>
          <w:b/>
          <w:bCs/>
          <w:sz w:val="20"/>
          <w:szCs w:val="20"/>
        </w:rPr>
      </w:pPr>
      <w:r>
        <w:rPr>
          <w:rFonts w:eastAsia="Calibri" w:cs="Arial"/>
          <w:b/>
          <w:bCs/>
          <w:sz w:val="20"/>
          <w:szCs w:val="20"/>
        </w:rPr>
        <w:t>10.b Contact person(s)</w:t>
      </w:r>
    </w:p>
    <w:p w14:paraId="06871470" w14:textId="2C20EAFC" w:rsidR="00DF6833" w:rsidRDefault="00DF6833" w:rsidP="00DF6833">
      <w:pPr>
        <w:spacing w:after="100"/>
        <w:rPr>
          <w:rFonts w:eastAsia="Calibri" w:cs="Arial"/>
          <w:sz w:val="20"/>
          <w:szCs w:val="20"/>
        </w:rPr>
      </w:pPr>
      <w:r>
        <w:rPr>
          <w:rFonts w:eastAsia="Calibri" w:cs="Arial"/>
          <w:b/>
          <w:bCs/>
          <w:noProof/>
          <w:sz w:val="20"/>
          <w:szCs w:val="20"/>
        </w:rPr>
        <mc:AlternateContent>
          <mc:Choice Requires="wps">
            <w:drawing>
              <wp:inline distT="0" distB="0" distL="0" distR="0" wp14:anchorId="1E9A53C2" wp14:editId="19B76817">
                <wp:extent cx="5753100" cy="526415"/>
                <wp:effectExtent l="9525" t="9525" r="9525" b="6985"/>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26415"/>
                        </a:xfrm>
                        <a:prstGeom prst="rect">
                          <a:avLst/>
                        </a:prstGeom>
                        <a:solidFill>
                          <a:srgbClr val="FFFFFF"/>
                        </a:solidFill>
                        <a:ln w="9525">
                          <a:solidFill>
                            <a:srgbClr val="000000"/>
                          </a:solidFill>
                          <a:miter lim="800000"/>
                          <a:headEnd/>
                          <a:tailEnd/>
                        </a:ln>
                      </wps:spPr>
                      <wps:txbx>
                        <w:txbxContent>
                          <w:p w14:paraId="444C244E" w14:textId="77777777" w:rsidR="00B33B9E" w:rsidRDefault="00B33B9E" w:rsidP="00DF6833">
                            <w:pPr>
                              <w:spacing w:after="100"/>
                              <w:rPr>
                                <w:rFonts w:cs="Arial"/>
                                <w:sz w:val="20"/>
                                <w:szCs w:val="22"/>
                              </w:rPr>
                            </w:pPr>
                            <w:r>
                              <w:rPr>
                                <w:rFonts w:cs="Arial"/>
                                <w:sz w:val="20"/>
                                <w:szCs w:val="22"/>
                              </w:rPr>
                              <w:t xml:space="preserve">Chris West and Simon Croft: </w:t>
                            </w:r>
                            <w:hyperlink r:id="rId104" w:history="1">
                              <w:r>
                                <w:rPr>
                                  <w:rStyle w:val="Hyperlink"/>
                                  <w:rFonts w:cs="Arial"/>
                                  <w:sz w:val="20"/>
                                  <w:szCs w:val="22"/>
                                </w:rPr>
                                <w:t>info@commodityfootprints.earth</w:t>
                              </w:r>
                            </w:hyperlink>
                          </w:p>
                          <w:p w14:paraId="38198C0B" w14:textId="3D1B4642" w:rsidR="00B33B9E" w:rsidRDefault="00B33B9E" w:rsidP="00DF6833">
                            <w:pPr>
                              <w:spacing w:after="100"/>
                              <w:rPr>
                                <w:rFonts w:cs="Arial"/>
                                <w:sz w:val="20"/>
                                <w:szCs w:val="22"/>
                              </w:rPr>
                            </w:pPr>
                            <w:r>
                              <w:rPr>
                                <w:rFonts w:cs="Arial"/>
                                <w:sz w:val="20"/>
                                <w:szCs w:val="22"/>
                              </w:rPr>
                              <w:t xml:space="preserve">Maddie Harris: </w:t>
                            </w:r>
                            <w:hyperlink r:id="rId105" w:history="1">
                              <w:r>
                                <w:rPr>
                                  <w:rStyle w:val="Hyperlink"/>
                                  <w:rFonts w:cs="Arial"/>
                                  <w:sz w:val="20"/>
                                  <w:szCs w:val="22"/>
                                </w:rPr>
                                <w:t>ukglobalimpacts@jncc.gov.uk</w:t>
                              </w:r>
                            </w:hyperlink>
                            <w:r>
                              <w:rPr>
                                <w:rFonts w:cs="Arial"/>
                                <w:sz w:val="20"/>
                                <w:szCs w:val="22"/>
                              </w:rPr>
                              <w:t xml:space="preserve"> </w:t>
                            </w:r>
                          </w:p>
                          <w:p w14:paraId="471E5551" w14:textId="77777777" w:rsidR="00B33B9E" w:rsidRDefault="00B33B9E" w:rsidP="00DF6833">
                            <w:pPr>
                              <w:rPr>
                                <w:rFonts w:ascii="Calibri Light" w:hAnsi="Calibri Light"/>
                                <w:sz w:val="24"/>
                                <w:szCs w:val="28"/>
                              </w:rPr>
                            </w:pPr>
                            <w:r>
                              <w:t xml:space="preserve"> </w:t>
                            </w:r>
                          </w:p>
                          <w:p w14:paraId="71BBDDAA" w14:textId="77777777" w:rsidR="00B33B9E" w:rsidRDefault="00B33B9E" w:rsidP="00DF6833"/>
                        </w:txbxContent>
                      </wps:txbx>
                      <wps:bodyPr rot="0" vert="horz" wrap="square" lIns="91440" tIns="45720" rIns="91440" bIns="45720" anchor="t" anchorCtr="0" upright="1">
                        <a:noAutofit/>
                      </wps:bodyPr>
                    </wps:wsp>
                  </a:graphicData>
                </a:graphic>
              </wp:inline>
            </w:drawing>
          </mc:Choice>
          <mc:Fallback>
            <w:pict>
              <v:shape w14:anchorId="1E9A53C2" id="Text Box 35" o:spid="_x0000_s1055" type="#_x0000_t202" style="width:453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tnHAIAADM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">
                <v:textbox>
                  <w:txbxContent>
                    <w:p w14:paraId="444C244E" w14:textId="77777777" w:rsidR="00B33B9E" w:rsidRDefault="00B33B9E" w:rsidP="00DF6833">
                      <w:pPr>
                        <w:spacing w:after="100"/>
                        <w:rPr>
                          <w:rFonts w:cs="Arial"/>
                          <w:sz w:val="20"/>
                          <w:szCs w:val="22"/>
                        </w:rPr>
                      </w:pPr>
                      <w:r>
                        <w:rPr>
                          <w:rFonts w:cs="Arial"/>
                          <w:sz w:val="20"/>
                          <w:szCs w:val="22"/>
                        </w:rPr>
                        <w:t xml:space="preserve">Chris West and Simon Croft: </w:t>
                      </w:r>
                      <w:hyperlink r:id="rId106" w:history="1">
                        <w:r>
                          <w:rPr>
                            <w:rStyle w:val="Hyperlink"/>
                            <w:rFonts w:cs="Arial"/>
                            <w:sz w:val="20"/>
                            <w:szCs w:val="22"/>
                          </w:rPr>
                          <w:t>info@commodityfootprints.earth</w:t>
                        </w:r>
                      </w:hyperlink>
                    </w:p>
                    <w:p w14:paraId="38198C0B" w14:textId="3D1B4642" w:rsidR="00B33B9E" w:rsidRDefault="00B33B9E" w:rsidP="00DF6833">
                      <w:pPr>
                        <w:spacing w:after="100"/>
                        <w:rPr>
                          <w:rFonts w:cs="Arial"/>
                          <w:sz w:val="20"/>
                          <w:szCs w:val="22"/>
                        </w:rPr>
                      </w:pPr>
                      <w:r>
                        <w:rPr>
                          <w:rFonts w:cs="Arial"/>
                          <w:sz w:val="20"/>
                          <w:szCs w:val="22"/>
                        </w:rPr>
                        <w:t xml:space="preserve">Maddie Harris: </w:t>
                      </w:r>
                      <w:hyperlink r:id="rId107" w:history="1">
                        <w:r>
                          <w:rPr>
                            <w:rStyle w:val="Hyperlink"/>
                            <w:rFonts w:cs="Arial"/>
                            <w:sz w:val="20"/>
                            <w:szCs w:val="22"/>
                          </w:rPr>
                          <w:t>ukglobalimpacts@jncc.gov.uk</w:t>
                        </w:r>
                      </w:hyperlink>
                      <w:r>
                        <w:rPr>
                          <w:rFonts w:cs="Arial"/>
                          <w:sz w:val="20"/>
                          <w:szCs w:val="22"/>
                        </w:rPr>
                        <w:t xml:space="preserve"> </w:t>
                      </w:r>
                    </w:p>
                    <w:p w14:paraId="471E5551" w14:textId="77777777" w:rsidR="00B33B9E" w:rsidRDefault="00B33B9E" w:rsidP="00DF6833">
                      <w:pPr>
                        <w:rPr>
                          <w:rFonts w:ascii="Calibri Light" w:hAnsi="Calibri Light"/>
                          <w:sz w:val="24"/>
                          <w:szCs w:val="28"/>
                        </w:rPr>
                      </w:pPr>
                      <w:r>
                        <w:t xml:space="preserve"> </w:t>
                      </w:r>
                    </w:p>
                    <w:p w14:paraId="71BBDDAA" w14:textId="77777777" w:rsidR="00B33B9E" w:rsidRDefault="00B33B9E" w:rsidP="00DF6833"/>
                  </w:txbxContent>
                </v:textbox>
                <w10:anchorlock/>
              </v:shape>
            </w:pict>
          </mc:Fallback>
        </mc:AlternateContent>
      </w:r>
    </w:p>
    <w:p w14:paraId="0727C6B9" w14:textId="0F8869C8" w:rsidR="00DF6833" w:rsidRDefault="00DF6833" w:rsidP="00DF6833">
      <w:pPr>
        <w:spacing w:after="200"/>
        <w:rPr>
          <w:rFonts w:eastAsia="Times New Roman" w:cs="Arial"/>
          <w:b/>
          <w:bCs/>
          <w:szCs w:val="22"/>
          <w:lang w:val="en-CA" w:eastAsia="en-GB"/>
        </w:rPr>
      </w:pPr>
    </w:p>
    <w:p w14:paraId="7F4EC7EA" w14:textId="0C5846EF" w:rsidR="00654995" w:rsidRDefault="00654995" w:rsidP="00DF6833">
      <w:pPr>
        <w:spacing w:after="200"/>
        <w:rPr>
          <w:rFonts w:eastAsia="Times New Roman" w:cs="Arial"/>
          <w:b/>
          <w:bCs/>
          <w:szCs w:val="22"/>
          <w:lang w:val="en-CA" w:eastAsia="en-GB"/>
        </w:rPr>
      </w:pPr>
    </w:p>
    <w:p w14:paraId="31A5FA18" w14:textId="47783832" w:rsidR="00654995" w:rsidRDefault="00654995" w:rsidP="00DF6833">
      <w:pPr>
        <w:spacing w:after="200"/>
        <w:rPr>
          <w:rFonts w:eastAsia="Times New Roman" w:cs="Arial"/>
          <w:b/>
          <w:bCs/>
          <w:szCs w:val="22"/>
          <w:lang w:val="en-CA" w:eastAsia="en-GB"/>
        </w:rPr>
      </w:pPr>
    </w:p>
    <w:p w14:paraId="6A10A8F5" w14:textId="1C2EB432" w:rsidR="00654995" w:rsidRDefault="00654995" w:rsidP="00DF6833">
      <w:pPr>
        <w:spacing w:after="200"/>
        <w:rPr>
          <w:rFonts w:eastAsia="Times New Roman" w:cs="Arial"/>
          <w:b/>
          <w:bCs/>
          <w:szCs w:val="22"/>
          <w:lang w:val="en-CA" w:eastAsia="en-GB"/>
        </w:rPr>
      </w:pPr>
    </w:p>
    <w:p w14:paraId="46C398F0" w14:textId="58CF008F" w:rsidR="00654995" w:rsidRDefault="00654995" w:rsidP="00DF6833">
      <w:pPr>
        <w:spacing w:after="200"/>
        <w:rPr>
          <w:rFonts w:eastAsia="Times New Roman" w:cs="Arial"/>
          <w:b/>
          <w:bCs/>
          <w:szCs w:val="22"/>
          <w:lang w:val="en-CA" w:eastAsia="en-GB"/>
        </w:rPr>
      </w:pPr>
    </w:p>
    <w:p w14:paraId="185551D5" w14:textId="1C3110BA" w:rsidR="00654995" w:rsidRDefault="00654995" w:rsidP="00DF6833">
      <w:pPr>
        <w:spacing w:after="200"/>
        <w:rPr>
          <w:rFonts w:eastAsia="Times New Roman" w:cs="Arial"/>
          <w:b/>
          <w:bCs/>
          <w:szCs w:val="22"/>
          <w:lang w:val="en-CA" w:eastAsia="en-GB"/>
        </w:rPr>
      </w:pPr>
    </w:p>
    <w:p w14:paraId="02A34389" w14:textId="77777777" w:rsidR="00654995" w:rsidRDefault="00654995" w:rsidP="00DF6833">
      <w:pPr>
        <w:spacing w:after="200"/>
        <w:rPr>
          <w:rFonts w:eastAsia="Times New Roman" w:cs="Arial"/>
          <w:b/>
          <w:bCs/>
          <w:szCs w:val="22"/>
          <w:lang w:val="en-CA" w:eastAsia="en-GB"/>
        </w:rPr>
      </w:pPr>
    </w:p>
    <w:p w14:paraId="1BFF619E" w14:textId="77777777" w:rsidR="00DF6833" w:rsidRDefault="00DF6833" w:rsidP="00DF6833">
      <w:pPr>
        <w:numPr>
          <w:ilvl w:val="0"/>
          <w:numId w:val="23"/>
        </w:numPr>
        <w:autoSpaceDE w:val="0"/>
        <w:autoSpaceDN w:val="0"/>
        <w:adjustRightInd w:val="0"/>
        <w:spacing w:after="100"/>
        <w:rPr>
          <w:rFonts w:eastAsia="Times New Roman" w:cs="Arial"/>
          <w:b/>
          <w:bCs/>
          <w:szCs w:val="22"/>
          <w:lang w:val="en-CA" w:eastAsia="en-GB"/>
        </w:rPr>
      </w:pPr>
      <w:r>
        <w:rPr>
          <w:rFonts w:eastAsia="Times New Roman" w:cs="Arial"/>
          <w:b/>
          <w:bCs/>
          <w:szCs w:val="22"/>
          <w:lang w:val="en-CA" w:eastAsia="en-GB"/>
        </w:rPr>
        <w:lastRenderedPageBreak/>
        <w:t>References</w:t>
      </w:r>
    </w:p>
    <w:p w14:paraId="2F50A149" w14:textId="13F3A2C3" w:rsidR="00DF6833" w:rsidRDefault="00DF6833" w:rsidP="00DF6833">
      <w:pPr>
        <w:spacing w:after="100"/>
        <w:rPr>
          <w:rFonts w:eastAsia="Times New Roman" w:cs="Arial"/>
          <w:b/>
          <w:bCs/>
          <w:szCs w:val="22"/>
          <w:lang w:val="en-CA" w:eastAsia="en-GB"/>
        </w:rPr>
      </w:pPr>
      <w:r>
        <w:rPr>
          <w:rFonts w:eastAsia="Times New Roman" w:cs="Arial"/>
          <w:b/>
          <w:bCs/>
          <w:noProof/>
          <w:szCs w:val="22"/>
          <w:lang w:val="en-CA" w:eastAsia="en-GB"/>
        </w:rPr>
        <mc:AlternateContent>
          <mc:Choice Requires="wps">
            <w:drawing>
              <wp:inline distT="0" distB="0" distL="0" distR="0" wp14:anchorId="218BFECA" wp14:editId="3089078E">
                <wp:extent cx="5762625" cy="4924425"/>
                <wp:effectExtent l="9525" t="9525" r="9525" b="952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924425"/>
                        </a:xfrm>
                        <a:prstGeom prst="rect">
                          <a:avLst/>
                        </a:prstGeom>
                        <a:solidFill>
                          <a:srgbClr val="FFFFFF"/>
                        </a:solidFill>
                        <a:ln w="9525">
                          <a:solidFill>
                            <a:srgbClr val="000000"/>
                          </a:solidFill>
                          <a:miter lim="800000"/>
                          <a:headEnd/>
                          <a:tailEnd/>
                        </a:ln>
                      </wps:spPr>
                      <wps:txbx>
                        <w:txbxContent>
                          <w:p w14:paraId="4F33A969"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Dataset: </w:t>
                            </w:r>
                            <w:hyperlink r:id="rId108" w:history="1">
                              <w:r>
                                <w:rPr>
                                  <w:rStyle w:val="Hyperlink"/>
                                  <w:rFonts w:cs="Arial"/>
                                  <w:sz w:val="20"/>
                                  <w:szCs w:val="20"/>
                                </w:rPr>
                                <w:t>https://commodityfootprints.earth/</w:t>
                              </w:r>
                            </w:hyperlink>
                            <w:r>
                              <w:rPr>
                                <w:rFonts w:cs="Arial"/>
                                <w:sz w:val="20"/>
                                <w:szCs w:val="20"/>
                              </w:rPr>
                              <w:t xml:space="preserve"> </w:t>
                            </w:r>
                          </w:p>
                          <w:p w14:paraId="0BF6F54B"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Technical documentation:</w:t>
                            </w:r>
                            <w:r>
                              <w:rPr>
                                <w:rFonts w:cs="Arial"/>
                                <w:sz w:val="20"/>
                                <w:szCs w:val="20"/>
                              </w:rPr>
                              <w:t xml:space="preserve"> Croft, S., West, C., Harris, M., Green, J., Molotoks, A., Harris, V. &amp; Way, L. 2021. Technical documentation for an experimental statistic estimating the global environmental impacts of UK consumption. JNCC Report No. 695, JNCC, Peterborough, ISSN 0963-8091. Available at: </w:t>
                            </w:r>
                            <w:hyperlink r:id="rId109" w:history="1">
                              <w:r>
                                <w:rPr>
                                  <w:rStyle w:val="Hyperlink"/>
                                  <w:rFonts w:cs="Arial"/>
                                  <w:sz w:val="20"/>
                                  <w:szCs w:val="20"/>
                                </w:rPr>
                                <w:t>https://hub.jncc.gov.uk/assets/91efc19d-f675-426f-9333-ed0195cc729d</w:t>
                              </w:r>
                            </w:hyperlink>
                          </w:p>
                          <w:p w14:paraId="1C2CF10D"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methodological approach:</w:t>
                            </w:r>
                            <w:r>
                              <w:rPr>
                                <w:rFonts w:cs="Arial"/>
                                <w:sz w:val="20"/>
                                <w:szCs w:val="20"/>
                              </w:rPr>
                              <w:t xml:space="preserve"> Croft, S.A., West, C.D. &amp; Green, J.M. 2018. Capturing the heterogeneity of sub-national production in global trade flows. J. Cleaner Prod., 203, pp.1106-1118, Available at: </w:t>
                            </w:r>
                            <w:hyperlink r:id="rId110" w:history="1">
                              <w:r>
                                <w:rPr>
                                  <w:rStyle w:val="Hyperlink"/>
                                  <w:rFonts w:cs="Arial"/>
                                  <w:sz w:val="20"/>
                                  <w:szCs w:val="20"/>
                                </w:rPr>
                                <w:t>https://doi.org/10.1016/j.jclepro.2018.08.267</w:t>
                              </w:r>
                            </w:hyperlink>
                            <w:r>
                              <w:rPr>
                                <w:rFonts w:cs="Arial"/>
                                <w:sz w:val="20"/>
                                <w:szCs w:val="20"/>
                              </w:rPr>
                              <w:t xml:space="preserve"> </w:t>
                            </w:r>
                          </w:p>
                          <w:p w14:paraId="0328390C"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economic data:</w:t>
                            </w:r>
                            <w:r>
                              <w:rPr>
                                <w:rFonts w:cs="Arial"/>
                                <w:sz w:val="20"/>
                                <w:szCs w:val="20"/>
                              </w:rPr>
                              <w:t xml:space="preserve"> </w:t>
                            </w:r>
                            <w:hyperlink r:id="rId111" w:history="1">
                              <w:r>
                                <w:rPr>
                                  <w:rStyle w:val="Hyperlink"/>
                                  <w:rFonts w:cs="Arial"/>
                                  <w:sz w:val="20"/>
                                  <w:szCs w:val="20"/>
                                </w:rPr>
                                <w:t>https://www.exiobase.eu/</w:t>
                              </w:r>
                            </w:hyperlink>
                            <w:r>
                              <w:rPr>
                                <w:rFonts w:cs="Arial"/>
                                <w:sz w:val="20"/>
                                <w:szCs w:val="20"/>
                              </w:rPr>
                              <w:t xml:space="preserve"> Stadler, K. </w:t>
                            </w:r>
                            <w:r w:rsidRPr="00506684">
                              <w:rPr>
                                <w:rFonts w:cs="Arial"/>
                                <w:i/>
                                <w:iCs/>
                                <w:sz w:val="20"/>
                                <w:szCs w:val="20"/>
                              </w:rPr>
                              <w:t>et al</w:t>
                            </w:r>
                            <w:r>
                              <w:rPr>
                                <w:rFonts w:cs="Arial"/>
                                <w:sz w:val="20"/>
                                <w:szCs w:val="20"/>
                              </w:rPr>
                              <w:t xml:space="preserve">., 2018. EXIOBASE 3: Developing a Time Series of Detailed Environmentally Extended Multi-Regional Input-Output Tables. Journal of Industrial Ecology 22, 502-515, doi:10.1111/jiec.12715 Available at: </w:t>
                            </w:r>
                            <w:hyperlink r:id="rId112" w:history="1">
                              <w:r>
                                <w:rPr>
                                  <w:rStyle w:val="Hyperlink"/>
                                  <w:rFonts w:cs="Arial"/>
                                  <w:sz w:val="20"/>
                                  <w:szCs w:val="20"/>
                                </w:rPr>
                                <w:t>https://onlinelibrary.wiley.com/doi/full/10.1111/jiec.12715</w:t>
                              </w:r>
                            </w:hyperlink>
                            <w:r>
                              <w:rPr>
                                <w:rFonts w:cs="Arial"/>
                                <w:sz w:val="20"/>
                                <w:szCs w:val="20"/>
                              </w:rPr>
                              <w:t xml:space="preserve"> </w:t>
                            </w:r>
                          </w:p>
                          <w:p w14:paraId="3921331D"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production data:</w:t>
                            </w:r>
                            <w:r>
                              <w:rPr>
                                <w:rFonts w:cs="Arial"/>
                                <w:sz w:val="20"/>
                                <w:szCs w:val="20"/>
                              </w:rPr>
                              <w:t xml:space="preserve"> Food and Agriculture Organisation of the United Nations. FAOSTAT Statistical Database. Available at: </w:t>
                            </w:r>
                            <w:hyperlink r:id="rId113" w:history="1">
                              <w:r>
                                <w:rPr>
                                  <w:rStyle w:val="Hyperlink"/>
                                  <w:rFonts w:cs="Arial"/>
                                  <w:sz w:val="20"/>
                                  <w:szCs w:val="20"/>
                                </w:rPr>
                                <w:t>https://www.fao.org/faostat/en/</w:t>
                              </w:r>
                            </w:hyperlink>
                          </w:p>
                          <w:p w14:paraId="49B2AA64" w14:textId="6E1BDB90"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Underlying deforestation data: </w:t>
                            </w:r>
                            <w:r>
                              <w:rPr>
                                <w:rFonts w:cs="Arial"/>
                                <w:sz w:val="20"/>
                                <w:szCs w:val="20"/>
                              </w:rPr>
                              <w:t xml:space="preserve">Pendrill, F., Persson, M.U. &amp; Kastner, T. (2020). Deforestation risk embodied in production and consumption of agricultural and forestry commodities 2005-2017 (1.0) [Data set]. Zenodo. </w:t>
                            </w:r>
                            <w:hyperlink r:id="rId114" w:history="1">
                              <w:r>
                                <w:rPr>
                                  <w:rStyle w:val="Hyperlink"/>
                                  <w:rFonts w:cs="Arial"/>
                                  <w:sz w:val="20"/>
                                  <w:szCs w:val="20"/>
                                </w:rPr>
                                <w:t>https://doi.org/10.5281/zenodo.4250532</w:t>
                              </w:r>
                            </w:hyperlink>
                            <w:r w:rsidR="009561A1">
                              <w:rPr>
                                <w:rStyle w:val="Hyperlink"/>
                                <w:rFonts w:cs="Arial"/>
                                <w:sz w:val="20"/>
                                <w:szCs w:val="20"/>
                              </w:rPr>
                              <w:t xml:space="preserve"> - due to change for the 2022 update to: </w:t>
                            </w:r>
                            <w:r w:rsidR="009561A1" w:rsidRPr="009561A1">
                              <w:rPr>
                                <w:rStyle w:val="Hyperlink"/>
                                <w:rFonts w:cs="Arial"/>
                                <w:sz w:val="20"/>
                                <w:szCs w:val="20"/>
                              </w:rPr>
                              <w:t xml:space="preserve">Pendrill, F., Persson, U. Martin, Kastner, T., Wood, R., 2022. Deforestation risk embodied in production and consumption of agricultural and forestry commodities 2005-2018 (1.1) [Data set]. Zenodo. https://zenodo.org/record/5886600 </w:t>
                            </w:r>
                          </w:p>
                          <w:p w14:paraId="663F9A6A"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Underlying biodiversity data: </w:t>
                            </w:r>
                            <w:r>
                              <w:rPr>
                                <w:rFonts w:cs="Arial"/>
                                <w:sz w:val="20"/>
                                <w:szCs w:val="20"/>
                              </w:rPr>
                              <w:t xml:space="preserve">Chaudhary, A. &amp; Kastner, T. 2016. Land use biodiversity impacts embodied in international food trade, Global Environmental Change 38:195-204. Available at: </w:t>
                            </w:r>
                            <w:hyperlink r:id="rId115" w:history="1">
                              <w:r>
                                <w:rPr>
                                  <w:rStyle w:val="Hyperlink"/>
                                  <w:rFonts w:cs="Arial"/>
                                  <w:sz w:val="20"/>
                                  <w:szCs w:val="20"/>
                                </w:rPr>
                                <w:t>https://www.sciencedirect.com/science/article/abs/pii/S0959378016300346</w:t>
                              </w:r>
                            </w:hyperlink>
                            <w:r>
                              <w:rPr>
                                <w:rFonts w:cs="Arial"/>
                                <w:sz w:val="20"/>
                                <w:szCs w:val="20"/>
                              </w:rPr>
                              <w:t xml:space="preserve"> </w:t>
                            </w:r>
                          </w:p>
                          <w:p w14:paraId="3113B76A"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water scarcity data:</w:t>
                            </w:r>
                            <w:r>
                              <w:rPr>
                                <w:rFonts w:cs="Arial"/>
                                <w:sz w:val="20"/>
                                <w:szCs w:val="20"/>
                              </w:rPr>
                              <w:t xml:space="preserve"> Boulay, A.M., Bare, J., Benini, L., Berger, M., Lathuillière, M.J., Manzardo, A., Margni, M., Motoshita, M., Núñez, M., Pastor, A.V. &amp; Ridoutt, B. 2018. The WULCA consensus characterization model for water scarcity footprints: assessing impacts of water consumption based on available water remaining (AWARE). The International Journal of Life Cycle Assessment, 23(2), pp.368-378. Available at: </w:t>
                            </w:r>
                            <w:hyperlink r:id="rId116" w:history="1">
                              <w:r>
                                <w:rPr>
                                  <w:rStyle w:val="Hyperlink"/>
                                  <w:rFonts w:cs="Arial"/>
                                  <w:sz w:val="20"/>
                                  <w:szCs w:val="20"/>
                                </w:rPr>
                                <w:t>https://link.springer.com/article/10.1007/s11367-017-1333-8</w:t>
                              </w:r>
                            </w:hyperlink>
                            <w:r>
                              <w:rPr>
                                <w:rFonts w:cs="Arial"/>
                                <w:sz w:val="20"/>
                                <w:szCs w:val="20"/>
                              </w:rPr>
                              <w:t xml:space="preserve"> </w:t>
                            </w:r>
                          </w:p>
                          <w:p w14:paraId="5C702E5B" w14:textId="77777777" w:rsidR="00B33B9E" w:rsidRDefault="00B33B9E" w:rsidP="00DF6833">
                            <w:pPr>
                              <w:spacing w:after="100" w:line="252" w:lineRule="auto"/>
                              <w:rPr>
                                <w:rFonts w:cs="Arial"/>
                                <w:sz w:val="20"/>
                                <w:szCs w:val="20"/>
                              </w:rPr>
                            </w:pPr>
                            <w:r>
                              <w:rPr>
                                <w:rFonts w:cs="Arial"/>
                                <w:sz w:val="20"/>
                                <w:szCs w:val="20"/>
                              </w:rPr>
                              <w:t>Additional references to underlying data are provided within the technical documentation.</w:t>
                            </w:r>
                          </w:p>
                        </w:txbxContent>
                      </wps:txbx>
                      <wps:bodyPr rot="0" vert="horz" wrap="square" lIns="91440" tIns="45720" rIns="91440" bIns="45720" anchor="t" anchorCtr="0" upright="1">
                        <a:noAutofit/>
                      </wps:bodyPr>
                    </wps:wsp>
                  </a:graphicData>
                </a:graphic>
              </wp:inline>
            </w:drawing>
          </mc:Choice>
          <mc:Fallback>
            <w:pict>
              <v:shape w14:anchorId="218BFECA" id="Text Box 34" o:spid="_x0000_s1056" type="#_x0000_t202" style="width:453.75pt;height:3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">
                <v:textbox>
                  <w:txbxContent>
                    <w:p w14:paraId="4F33A969"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Dataset: </w:t>
                      </w:r>
                      <w:hyperlink r:id="rId117" w:history="1">
                        <w:r>
                          <w:rPr>
                            <w:rStyle w:val="Hyperlink"/>
                            <w:rFonts w:cs="Arial"/>
                            <w:sz w:val="20"/>
                            <w:szCs w:val="20"/>
                          </w:rPr>
                          <w:t>https://commodityfootprints.earth/</w:t>
                        </w:r>
                      </w:hyperlink>
                      <w:r>
                        <w:rPr>
                          <w:rFonts w:cs="Arial"/>
                          <w:sz w:val="20"/>
                          <w:szCs w:val="20"/>
                        </w:rPr>
                        <w:t xml:space="preserve"> </w:t>
                      </w:r>
                    </w:p>
                    <w:p w14:paraId="0BF6F54B"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Technical documentation:</w:t>
                      </w:r>
                      <w:r>
                        <w:rPr>
                          <w:rFonts w:cs="Arial"/>
                          <w:sz w:val="20"/>
                          <w:szCs w:val="20"/>
                        </w:rPr>
                        <w:t xml:space="preserve"> Croft, S., West, C., Harris, M., Green, J., Molotoks, A., Harris, V. &amp; Way, L. 2021. Technical documentation for an experimental statistic estimating the global environmental impacts of UK consumption. JNCC Report No. 695, JNCC, Peterborough, ISSN 0963-8091. Available at: </w:t>
                      </w:r>
                      <w:hyperlink r:id="rId118" w:history="1">
                        <w:r>
                          <w:rPr>
                            <w:rStyle w:val="Hyperlink"/>
                            <w:rFonts w:cs="Arial"/>
                            <w:sz w:val="20"/>
                            <w:szCs w:val="20"/>
                          </w:rPr>
                          <w:t>https://hub.jncc.gov.uk/assets/91efc19d-f675-426f-9333-ed0195cc729d</w:t>
                        </w:r>
                      </w:hyperlink>
                    </w:p>
                    <w:p w14:paraId="1C2CF10D"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methodological approach:</w:t>
                      </w:r>
                      <w:r>
                        <w:rPr>
                          <w:rFonts w:cs="Arial"/>
                          <w:sz w:val="20"/>
                          <w:szCs w:val="20"/>
                        </w:rPr>
                        <w:t xml:space="preserve"> Croft, S.A., West, C.D. &amp; Green, J.M. 2018. Capturing the heterogeneity of sub-national production in global trade flows. J. Cleaner Prod., 203, pp.1106-1118, Available at: </w:t>
                      </w:r>
                      <w:hyperlink r:id="rId119" w:history="1">
                        <w:r>
                          <w:rPr>
                            <w:rStyle w:val="Hyperlink"/>
                            <w:rFonts w:cs="Arial"/>
                            <w:sz w:val="20"/>
                            <w:szCs w:val="20"/>
                          </w:rPr>
                          <w:t>https://doi.org/10.1016/j.jclepro.2018.08.267</w:t>
                        </w:r>
                      </w:hyperlink>
                      <w:r>
                        <w:rPr>
                          <w:rFonts w:cs="Arial"/>
                          <w:sz w:val="20"/>
                          <w:szCs w:val="20"/>
                        </w:rPr>
                        <w:t xml:space="preserve"> </w:t>
                      </w:r>
                    </w:p>
                    <w:p w14:paraId="0328390C"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economic data:</w:t>
                      </w:r>
                      <w:r>
                        <w:rPr>
                          <w:rFonts w:cs="Arial"/>
                          <w:sz w:val="20"/>
                          <w:szCs w:val="20"/>
                        </w:rPr>
                        <w:t xml:space="preserve"> </w:t>
                      </w:r>
                      <w:hyperlink r:id="rId120" w:history="1">
                        <w:r>
                          <w:rPr>
                            <w:rStyle w:val="Hyperlink"/>
                            <w:rFonts w:cs="Arial"/>
                            <w:sz w:val="20"/>
                            <w:szCs w:val="20"/>
                          </w:rPr>
                          <w:t>https://www.exiobase.eu/</w:t>
                        </w:r>
                      </w:hyperlink>
                      <w:r>
                        <w:rPr>
                          <w:rFonts w:cs="Arial"/>
                          <w:sz w:val="20"/>
                          <w:szCs w:val="20"/>
                        </w:rPr>
                        <w:t xml:space="preserve"> Stadler, K. </w:t>
                      </w:r>
                      <w:r w:rsidRPr="00506684">
                        <w:rPr>
                          <w:rFonts w:cs="Arial"/>
                          <w:i/>
                          <w:iCs/>
                          <w:sz w:val="20"/>
                          <w:szCs w:val="20"/>
                        </w:rPr>
                        <w:t>et al</w:t>
                      </w:r>
                      <w:r>
                        <w:rPr>
                          <w:rFonts w:cs="Arial"/>
                          <w:sz w:val="20"/>
                          <w:szCs w:val="20"/>
                        </w:rPr>
                        <w:t xml:space="preserve">., 2018. EXIOBASE 3: Developing a Time Series of Detailed Environmentally Extended Multi-Regional Input-Output Tables. Journal of Industrial Ecology 22, 502-515, doi:10.1111/jiec.12715 Available at: </w:t>
                      </w:r>
                      <w:hyperlink r:id="rId121" w:history="1">
                        <w:r>
                          <w:rPr>
                            <w:rStyle w:val="Hyperlink"/>
                            <w:rFonts w:cs="Arial"/>
                            <w:sz w:val="20"/>
                            <w:szCs w:val="20"/>
                          </w:rPr>
                          <w:t>https://onlinelibrary.wiley.com/doi/full/10.1111/jiec.12715</w:t>
                        </w:r>
                      </w:hyperlink>
                      <w:r>
                        <w:rPr>
                          <w:rFonts w:cs="Arial"/>
                          <w:sz w:val="20"/>
                          <w:szCs w:val="20"/>
                        </w:rPr>
                        <w:t xml:space="preserve"> </w:t>
                      </w:r>
                    </w:p>
                    <w:p w14:paraId="3921331D"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production data:</w:t>
                      </w:r>
                      <w:r>
                        <w:rPr>
                          <w:rFonts w:cs="Arial"/>
                          <w:sz w:val="20"/>
                          <w:szCs w:val="20"/>
                        </w:rPr>
                        <w:t xml:space="preserve"> Food and Agriculture Organisation of the United Nations. FAOSTAT Statistical Database. Available at: </w:t>
                      </w:r>
                      <w:hyperlink r:id="rId122" w:history="1">
                        <w:r>
                          <w:rPr>
                            <w:rStyle w:val="Hyperlink"/>
                            <w:rFonts w:cs="Arial"/>
                            <w:sz w:val="20"/>
                            <w:szCs w:val="20"/>
                          </w:rPr>
                          <w:t>https://www.fao.org/faostat/en/</w:t>
                        </w:r>
                      </w:hyperlink>
                    </w:p>
                    <w:p w14:paraId="49B2AA64" w14:textId="6E1BDB90"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Underlying deforestation data: </w:t>
                      </w:r>
                      <w:r>
                        <w:rPr>
                          <w:rFonts w:cs="Arial"/>
                          <w:sz w:val="20"/>
                          <w:szCs w:val="20"/>
                        </w:rPr>
                        <w:t xml:space="preserve">Pendrill, F., Persson, M.U. &amp; Kastner, T. (2020). Deforestation risk embodied in production and consumption of agricultural and forestry commodities 2005-2017 (1.0) [Data set]. Zenodo. </w:t>
                      </w:r>
                      <w:hyperlink r:id="rId123" w:history="1">
                        <w:r>
                          <w:rPr>
                            <w:rStyle w:val="Hyperlink"/>
                            <w:rFonts w:cs="Arial"/>
                            <w:sz w:val="20"/>
                            <w:szCs w:val="20"/>
                          </w:rPr>
                          <w:t>https://doi.org/10.5281/zenodo.4250532</w:t>
                        </w:r>
                      </w:hyperlink>
                      <w:r w:rsidR="009561A1">
                        <w:rPr>
                          <w:rStyle w:val="Hyperlink"/>
                          <w:rFonts w:cs="Arial"/>
                          <w:sz w:val="20"/>
                          <w:szCs w:val="20"/>
                        </w:rPr>
                        <w:t xml:space="preserve"> - due to change for the 2022 update to: </w:t>
                      </w:r>
                      <w:r w:rsidR="009561A1" w:rsidRPr="009561A1">
                        <w:rPr>
                          <w:rStyle w:val="Hyperlink"/>
                          <w:rFonts w:cs="Arial"/>
                          <w:sz w:val="20"/>
                          <w:szCs w:val="20"/>
                        </w:rPr>
                        <w:t xml:space="preserve">Pendrill, F., Persson, U. Martin, Kastner, T., Wood, R., 2022. Deforestation risk embodied in production and consumption of agricultural and forestry commodities 2005-2018 (1.1) [Data set]. Zenodo. https://zenodo.org/record/5886600 </w:t>
                      </w:r>
                    </w:p>
                    <w:p w14:paraId="663F9A6A"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 xml:space="preserve">Underlying biodiversity data: </w:t>
                      </w:r>
                      <w:r>
                        <w:rPr>
                          <w:rFonts w:cs="Arial"/>
                          <w:sz w:val="20"/>
                          <w:szCs w:val="20"/>
                        </w:rPr>
                        <w:t xml:space="preserve">Chaudhary, A. &amp; Kastner, T. 2016. Land use biodiversity impacts embodied in international food trade, Global Environmental Change 38:195-204. Available at: </w:t>
                      </w:r>
                      <w:hyperlink r:id="rId124" w:history="1">
                        <w:r>
                          <w:rPr>
                            <w:rStyle w:val="Hyperlink"/>
                            <w:rFonts w:cs="Arial"/>
                            <w:sz w:val="20"/>
                            <w:szCs w:val="20"/>
                          </w:rPr>
                          <w:t>https://www.sciencedirect.com/science/article/abs/pii/S0959378016300346</w:t>
                        </w:r>
                      </w:hyperlink>
                      <w:r>
                        <w:rPr>
                          <w:rFonts w:cs="Arial"/>
                          <w:sz w:val="20"/>
                          <w:szCs w:val="20"/>
                        </w:rPr>
                        <w:t xml:space="preserve"> </w:t>
                      </w:r>
                    </w:p>
                    <w:p w14:paraId="3113B76A" w14:textId="77777777" w:rsidR="00B33B9E" w:rsidRDefault="00B33B9E" w:rsidP="00DF6833">
                      <w:pPr>
                        <w:pStyle w:val="ListParagraph"/>
                        <w:numPr>
                          <w:ilvl w:val="0"/>
                          <w:numId w:val="25"/>
                        </w:numPr>
                        <w:spacing w:after="100" w:line="252" w:lineRule="auto"/>
                        <w:rPr>
                          <w:rFonts w:cs="Arial"/>
                          <w:sz w:val="20"/>
                          <w:szCs w:val="20"/>
                        </w:rPr>
                      </w:pPr>
                      <w:r>
                        <w:rPr>
                          <w:rFonts w:cs="Arial"/>
                          <w:b/>
                          <w:bCs/>
                          <w:sz w:val="20"/>
                          <w:szCs w:val="20"/>
                        </w:rPr>
                        <w:t>Underlying water scarcity data:</w:t>
                      </w:r>
                      <w:r>
                        <w:rPr>
                          <w:rFonts w:cs="Arial"/>
                          <w:sz w:val="20"/>
                          <w:szCs w:val="20"/>
                        </w:rPr>
                        <w:t xml:space="preserve"> Boulay, A.M., Bare, J., Benini, L., Berger, M., Lathuillière, M.J., Manzardo, A., Margni, M., Motoshita, M., Núñez, M., Pastor, A.V. &amp; Ridoutt, B. 2018. The WULCA consensus characterization model for water scarcity footprints: assessing impacts of water consumption based on available water remaining (AWARE). The International Journal of Life Cycle Assessment, 23(2), pp.368-378. Available at: </w:t>
                      </w:r>
                      <w:hyperlink r:id="rId125" w:history="1">
                        <w:r>
                          <w:rPr>
                            <w:rStyle w:val="Hyperlink"/>
                            <w:rFonts w:cs="Arial"/>
                            <w:sz w:val="20"/>
                            <w:szCs w:val="20"/>
                          </w:rPr>
                          <w:t>https://link.springer.com/article/10.1007/s11367-017-1333-8</w:t>
                        </w:r>
                      </w:hyperlink>
                      <w:r>
                        <w:rPr>
                          <w:rFonts w:cs="Arial"/>
                          <w:sz w:val="20"/>
                          <w:szCs w:val="20"/>
                        </w:rPr>
                        <w:t xml:space="preserve"> </w:t>
                      </w:r>
                    </w:p>
                    <w:p w14:paraId="5C702E5B" w14:textId="77777777" w:rsidR="00B33B9E" w:rsidRDefault="00B33B9E" w:rsidP="00DF6833">
                      <w:pPr>
                        <w:spacing w:after="100" w:line="252" w:lineRule="auto"/>
                        <w:rPr>
                          <w:rFonts w:cs="Arial"/>
                          <w:sz w:val="20"/>
                          <w:szCs w:val="20"/>
                        </w:rPr>
                      </w:pPr>
                      <w:r>
                        <w:rPr>
                          <w:rFonts w:cs="Arial"/>
                          <w:sz w:val="20"/>
                          <w:szCs w:val="20"/>
                        </w:rPr>
                        <w:t>Additional references to underlying data are provided within the technical documentation.</w:t>
                      </w:r>
                    </w:p>
                  </w:txbxContent>
                </v:textbox>
                <w10:anchorlock/>
              </v:shape>
            </w:pict>
          </mc:Fallback>
        </mc:AlternateContent>
      </w:r>
    </w:p>
    <w:p w14:paraId="142DD12C" w14:textId="17EA04A0" w:rsidR="00DF6833" w:rsidRPr="005414E5" w:rsidRDefault="00DF6833" w:rsidP="005414E5">
      <w:pPr>
        <w:spacing w:after="200"/>
        <w:rPr>
          <w:rFonts w:eastAsia="Times New Roman" w:cs="Arial"/>
          <w:b/>
          <w:bCs/>
          <w:szCs w:val="22"/>
          <w:lang w:val="en-CA" w:eastAsia="en-GB"/>
        </w:rPr>
      </w:pPr>
    </w:p>
    <w:sectPr w:rsidR="00DF6833" w:rsidRPr="005414E5" w:rsidSect="00230957">
      <w:headerReference w:type="default" r:id="rId126"/>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CD9C" w14:textId="77777777" w:rsidR="00BB4436" w:rsidRDefault="00BB4436" w:rsidP="00A225AE">
      <w:r>
        <w:separator/>
      </w:r>
    </w:p>
  </w:endnote>
  <w:endnote w:type="continuationSeparator" w:id="0">
    <w:p w14:paraId="72FBD280" w14:textId="77777777" w:rsidR="00BB4436" w:rsidRDefault="00BB4436" w:rsidP="00A2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B547" w14:textId="77777777" w:rsidR="00BB4436" w:rsidRDefault="00BB4436" w:rsidP="00A225AE">
      <w:r>
        <w:separator/>
      </w:r>
    </w:p>
  </w:footnote>
  <w:footnote w:type="continuationSeparator" w:id="0">
    <w:p w14:paraId="50B3C1B3" w14:textId="77777777" w:rsidR="00BB4436" w:rsidRDefault="00BB4436" w:rsidP="00A225AE">
      <w:r>
        <w:continuationSeparator/>
      </w:r>
    </w:p>
  </w:footnote>
  <w:footnote w:id="1">
    <w:p w14:paraId="26430228" w14:textId="300BC5D8" w:rsidR="0073549C" w:rsidRPr="006B0A23" w:rsidRDefault="0073549C">
      <w:pPr>
        <w:pStyle w:val="FootnoteText"/>
        <w:rPr>
          <w:rFonts w:ascii="Times New Roman" w:hAnsi="Times New Roman" w:cs="Times New Roman"/>
        </w:rPr>
      </w:pPr>
      <w:r w:rsidRPr="006B0A23">
        <w:rPr>
          <w:rStyle w:val="FootnoteReference"/>
          <w:rFonts w:ascii="Times New Roman" w:hAnsi="Times New Roman" w:cs="Times New Roman"/>
        </w:rPr>
        <w:footnoteRef/>
      </w:r>
      <w:r w:rsidRPr="006B0A23">
        <w:rPr>
          <w:rFonts w:ascii="Times New Roman" w:hAnsi="Times New Roman" w:cs="Times New Roman"/>
        </w:rPr>
        <w:t xml:space="preserve"> </w:t>
      </w:r>
      <w:hyperlink r:id="rId1" w:history="1">
        <w:r w:rsidRPr="006B0A23">
          <w:rPr>
            <w:rStyle w:val="Hyperlink"/>
            <w:rFonts w:ascii="Times New Roman" w:hAnsi="Times New Roman" w:cs="Times New Roman"/>
          </w:rPr>
          <w:t>CBD/WG2020/3/3</w:t>
        </w:r>
      </w:hyperlink>
    </w:p>
  </w:footnote>
  <w:footnote w:id="2">
    <w:p w14:paraId="7EEDC03A" w14:textId="695CFC93" w:rsidR="006B0A23" w:rsidRDefault="006B0A23" w:rsidP="006B0A23">
      <w:pPr>
        <w:pStyle w:val="FootnoteText"/>
      </w:pPr>
      <w:r w:rsidRPr="006B0A23">
        <w:rPr>
          <w:rStyle w:val="FootnoteReference"/>
          <w:rFonts w:ascii="Times New Roman" w:hAnsi="Times New Roman" w:cs="Times New Roman"/>
        </w:rPr>
        <w:footnoteRef/>
      </w:r>
      <w:r w:rsidRPr="006B0A23">
        <w:rPr>
          <w:rFonts w:ascii="Times New Roman" w:hAnsi="Times New Roman" w:cs="Times New Roman"/>
        </w:rPr>
        <w:t xml:space="preserve"> </w:t>
      </w:r>
      <w:hyperlink r:id="rId2" w:history="1">
        <w:r w:rsidR="00C85AFE" w:rsidRPr="00C85AFE">
          <w:rPr>
            <w:rStyle w:val="Hyperlink"/>
            <w:rFonts w:ascii="Times New Roman" w:hAnsi="Times New Roman" w:cs="Times New Roman"/>
          </w:rPr>
          <w:t>CBD/ID/OM/2022/1/2</w:t>
        </w:r>
      </w:hyperlink>
      <w:r w:rsidR="00C85AFE">
        <w:rPr>
          <w:rFonts w:ascii="Times New Roman" w:hAnsi="Times New Roman" w:cs="Times New Roman"/>
        </w:rPr>
        <w:t xml:space="preserve">: </w:t>
      </w:r>
      <w:r w:rsidRPr="006B0A23">
        <w:rPr>
          <w:rFonts w:ascii="Times New Roman" w:hAnsi="Times New Roman" w:cs="Times New Roman"/>
        </w:rPr>
        <w:t>Report of the expert workshop on the monitoring framework for the</w:t>
      </w:r>
      <w:r>
        <w:rPr>
          <w:rFonts w:ascii="Times New Roman" w:hAnsi="Times New Roman" w:cs="Times New Roman"/>
        </w:rPr>
        <w:t xml:space="preserve"> </w:t>
      </w:r>
      <w:r w:rsidRPr="006B0A23">
        <w:rPr>
          <w:rFonts w:ascii="Times New Roman" w:hAnsi="Times New Roman" w:cs="Times New Roman"/>
        </w:rPr>
        <w:t>Post-2020 Global Biodiversity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lang w:val="fr-FR"/>
      </w:rPr>
      <w:alias w:val="Subject"/>
      <w:tag w:val=""/>
      <w:id w:val="-1598158302"/>
      <w:placeholder>
        <w:docPart w:val="E6E99C668ACA4FF6BBE6E003BF2362C9"/>
      </w:placeholder>
      <w:dataBinding w:prefixMappings="xmlns:ns0='http://purl.org/dc/elements/1.1/' xmlns:ns1='http://schemas.openxmlformats.org/package/2006/metadata/core-properties' " w:xpath="/ns1:coreProperties[1]/ns0:subject[1]" w:storeItemID="{6C3C8BC8-F283-45AE-878A-BAB7291924A1}"/>
      <w:text/>
    </w:sdtPr>
    <w:sdtEndPr/>
    <w:sdtContent>
      <w:p w14:paraId="670596F8" w14:textId="53C6611D" w:rsidR="00B33B9E" w:rsidRPr="00A225AE" w:rsidRDefault="00B33B9E" w:rsidP="00A225AE">
        <w:pPr>
          <w:tabs>
            <w:tab w:val="center" w:pos="4320"/>
            <w:tab w:val="right" w:pos="8640"/>
          </w:tabs>
          <w:ind w:right="5719"/>
          <w:rPr>
            <w:rFonts w:ascii="Times New Roman" w:eastAsia="Times New Roman" w:hAnsi="Times New Roman" w:cs="Times New Roman"/>
            <w:lang w:val="fr-FR"/>
          </w:rPr>
        </w:pPr>
        <w:r>
          <w:rPr>
            <w:rFonts w:ascii="Times New Roman" w:eastAsia="Times New Roman" w:hAnsi="Times New Roman" w:cs="Times New Roman"/>
            <w:lang w:val="fr-FR"/>
          </w:rPr>
          <w:t>CBD/COP/15/INF/xx</w:t>
        </w:r>
      </w:p>
    </w:sdtContent>
  </w:sdt>
  <w:p w14:paraId="5C7D8EE5" w14:textId="34F53E44" w:rsidR="00B33B9E" w:rsidRPr="00A225AE" w:rsidRDefault="00B33B9E" w:rsidP="00A225AE">
    <w:pPr>
      <w:tabs>
        <w:tab w:val="center" w:pos="4320"/>
        <w:tab w:val="right" w:pos="8640"/>
      </w:tabs>
      <w:ind w:right="5719"/>
      <w:rPr>
        <w:rFonts w:ascii="Times New Roman" w:eastAsia="Times New Roman" w:hAnsi="Times New Roman" w:cs="Times New Roman"/>
        <w:lang w:val="fr-FR"/>
      </w:rPr>
    </w:pPr>
    <w:r w:rsidRPr="00A225AE">
      <w:rPr>
        <w:rFonts w:ascii="Times New Roman" w:eastAsia="Times New Roman" w:hAnsi="Times New Roman" w:cs="Times New Roman"/>
        <w:lang w:val="fr-FR"/>
      </w:rPr>
      <w:t xml:space="preserve">Page </w:t>
    </w:r>
    <w:r w:rsidRPr="00A225AE">
      <w:rPr>
        <w:rFonts w:ascii="Times New Roman" w:eastAsia="Times New Roman" w:hAnsi="Times New Roman" w:cs="Times New Roman"/>
      </w:rPr>
      <w:fldChar w:fldCharType="begin"/>
    </w:r>
    <w:r w:rsidRPr="00A225AE">
      <w:rPr>
        <w:rFonts w:ascii="Times New Roman" w:eastAsia="Times New Roman" w:hAnsi="Times New Roman" w:cs="Times New Roman"/>
        <w:lang w:val="fr-FR"/>
      </w:rPr>
      <w:instrText xml:space="preserve"> PAGE   \* MERGEFORMAT </w:instrText>
    </w:r>
    <w:r w:rsidRPr="00A225AE">
      <w:rPr>
        <w:rFonts w:ascii="Times New Roman" w:eastAsia="Times New Roman" w:hAnsi="Times New Roman" w:cs="Times New Roman"/>
      </w:rPr>
      <w:fldChar w:fldCharType="separate"/>
    </w:r>
    <w:r w:rsidRPr="00A225AE">
      <w:rPr>
        <w:rFonts w:ascii="Times New Roman" w:eastAsia="Times New Roman" w:hAnsi="Times New Roman" w:cs="Times New Roman"/>
      </w:rPr>
      <w:t>2</w:t>
    </w:r>
    <w:r w:rsidRPr="00A225AE">
      <w:rPr>
        <w:rFonts w:ascii="Times New Roman" w:eastAsia="Times New Roman" w:hAnsi="Times New Roman" w:cs="Times New Roman"/>
        <w:noProof/>
      </w:rPr>
      <w:fldChar w:fldCharType="end"/>
    </w:r>
  </w:p>
  <w:p w14:paraId="451BCE96" w14:textId="437924D5" w:rsidR="00B33B9E" w:rsidRDefault="00B33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8E8"/>
    <w:multiLevelType w:val="hybridMultilevel"/>
    <w:tmpl w:val="9B3A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040B8"/>
    <w:multiLevelType w:val="hybridMultilevel"/>
    <w:tmpl w:val="4B10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0BC9"/>
    <w:multiLevelType w:val="hybridMultilevel"/>
    <w:tmpl w:val="A8A6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E4947"/>
    <w:multiLevelType w:val="hybridMultilevel"/>
    <w:tmpl w:val="F722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72C0"/>
    <w:multiLevelType w:val="hybridMultilevel"/>
    <w:tmpl w:val="EC70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A129F"/>
    <w:multiLevelType w:val="hybridMultilevel"/>
    <w:tmpl w:val="032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F42DE"/>
    <w:multiLevelType w:val="hybridMultilevel"/>
    <w:tmpl w:val="3C2825A2"/>
    <w:lvl w:ilvl="0" w:tplc="5B4CE97C">
      <w:start w:val="1"/>
      <w:numFmt w:val="decimal"/>
      <w:lvlText w:val="%1."/>
      <w:lvlJc w:val="left"/>
      <w:pPr>
        <w:ind w:left="720" w:hanging="360"/>
      </w:pPr>
      <w:rPr>
        <w:sz w:val="22"/>
        <w:szCs w:val="22"/>
      </w:rPr>
    </w:lvl>
    <w:lvl w:ilvl="1" w:tplc="45B48CCA">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A306652"/>
    <w:multiLevelType w:val="hybridMultilevel"/>
    <w:tmpl w:val="2DB2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DD53E6C"/>
    <w:multiLevelType w:val="hybridMultilevel"/>
    <w:tmpl w:val="0B8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80C62"/>
    <w:multiLevelType w:val="hybridMultilevel"/>
    <w:tmpl w:val="789C5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93364"/>
    <w:multiLevelType w:val="hybridMultilevel"/>
    <w:tmpl w:val="91920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947EEC"/>
    <w:multiLevelType w:val="multilevel"/>
    <w:tmpl w:val="E51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B0DEA"/>
    <w:multiLevelType w:val="hybridMultilevel"/>
    <w:tmpl w:val="3C722F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7F7910"/>
    <w:multiLevelType w:val="hybridMultilevel"/>
    <w:tmpl w:val="A1720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36BAE"/>
    <w:multiLevelType w:val="hybridMultilevel"/>
    <w:tmpl w:val="A754C2A2"/>
    <w:lvl w:ilvl="0" w:tplc="0809000F">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BE5B8C"/>
    <w:multiLevelType w:val="hybridMultilevel"/>
    <w:tmpl w:val="F9B09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7166C"/>
    <w:multiLevelType w:val="hybridMultilevel"/>
    <w:tmpl w:val="EAB6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92ACD"/>
    <w:multiLevelType w:val="hybridMultilevel"/>
    <w:tmpl w:val="55B8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E1E35"/>
    <w:multiLevelType w:val="hybridMultilevel"/>
    <w:tmpl w:val="39D6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D50DE"/>
    <w:multiLevelType w:val="hybridMultilevel"/>
    <w:tmpl w:val="5B4E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11C0"/>
    <w:multiLevelType w:val="hybridMultilevel"/>
    <w:tmpl w:val="627C8D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D5B4373"/>
    <w:multiLevelType w:val="hybridMultilevel"/>
    <w:tmpl w:val="92B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80C76"/>
    <w:multiLevelType w:val="hybridMultilevel"/>
    <w:tmpl w:val="93245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312FBE"/>
    <w:multiLevelType w:val="hybridMultilevel"/>
    <w:tmpl w:val="A0B4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D5353"/>
    <w:multiLevelType w:val="hybridMultilevel"/>
    <w:tmpl w:val="D19E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42FD3"/>
    <w:multiLevelType w:val="hybridMultilevel"/>
    <w:tmpl w:val="D90C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455DF"/>
    <w:multiLevelType w:val="hybridMultilevel"/>
    <w:tmpl w:val="48BC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E20B4"/>
    <w:multiLevelType w:val="hybridMultilevel"/>
    <w:tmpl w:val="2F32F868"/>
    <w:lvl w:ilvl="0" w:tplc="92A2B818">
      <w:start w:val="6"/>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7AC49C7"/>
    <w:multiLevelType w:val="hybridMultilevel"/>
    <w:tmpl w:val="313A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90010"/>
    <w:multiLevelType w:val="hybridMultilevel"/>
    <w:tmpl w:val="381A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3"/>
  </w:num>
  <w:num w:numId="4">
    <w:abstractNumId w:val="15"/>
  </w:num>
  <w:num w:numId="5">
    <w:abstractNumId w:val="15"/>
  </w:num>
  <w:num w:numId="6">
    <w:abstractNumId w:val="15"/>
  </w:num>
  <w:num w:numId="7">
    <w:abstractNumId w:val="15"/>
  </w:num>
  <w:num w:numId="8">
    <w:abstractNumId w:val="9"/>
  </w:num>
  <w:num w:numId="9">
    <w:abstractNumId w:val="12"/>
  </w:num>
  <w:num w:numId="10">
    <w:abstractNumId w:val="22"/>
  </w:num>
  <w:num w:numId="11">
    <w:abstractNumId w:val="18"/>
  </w:num>
  <w:num w:numId="12">
    <w:abstractNumId w:val="20"/>
  </w:num>
  <w:num w:numId="13">
    <w:abstractNumId w:val="30"/>
  </w:num>
  <w:num w:numId="14">
    <w:abstractNumId w:val="23"/>
  </w:num>
  <w:num w:numId="15">
    <w:abstractNumId w:val="1"/>
  </w:num>
  <w:num w:numId="16">
    <w:abstractNumId w:val="34"/>
  </w:num>
  <w:num w:numId="17">
    <w:abstractNumId w:val="17"/>
  </w:num>
  <w:num w:numId="18">
    <w:abstractNumId w:val="16"/>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8"/>
  </w:num>
  <w:num w:numId="28">
    <w:abstractNumId w:val="10"/>
  </w:num>
  <w:num w:numId="29">
    <w:abstractNumId w:val="24"/>
  </w:num>
  <w:num w:numId="30">
    <w:abstractNumId w:val="29"/>
  </w:num>
  <w:num w:numId="31">
    <w:abstractNumId w:val="8"/>
  </w:num>
  <w:num w:numId="32">
    <w:abstractNumId w:val="35"/>
  </w:num>
  <w:num w:numId="33">
    <w:abstractNumId w:val="21"/>
  </w:num>
  <w:num w:numId="34">
    <w:abstractNumId w:val="26"/>
  </w:num>
  <w:num w:numId="35">
    <w:abstractNumId w:val="0"/>
  </w:num>
  <w:num w:numId="36">
    <w:abstractNumId w:val="2"/>
  </w:num>
  <w:num w:numId="37">
    <w:abstractNumId w:val="3"/>
  </w:num>
  <w:num w:numId="38">
    <w:abstractNumId w:val="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4C"/>
    <w:rsid w:val="00001066"/>
    <w:rsid w:val="00020A3E"/>
    <w:rsid w:val="00020A7C"/>
    <w:rsid w:val="000438FB"/>
    <w:rsid w:val="00053E6C"/>
    <w:rsid w:val="00091D37"/>
    <w:rsid w:val="00094C6E"/>
    <w:rsid w:val="00096601"/>
    <w:rsid w:val="00097F52"/>
    <w:rsid w:val="000A328B"/>
    <w:rsid w:val="000A3A75"/>
    <w:rsid w:val="000B233D"/>
    <w:rsid w:val="000C2006"/>
    <w:rsid w:val="000C4192"/>
    <w:rsid w:val="000C4909"/>
    <w:rsid w:val="000E2B12"/>
    <w:rsid w:val="00114DF0"/>
    <w:rsid w:val="00125F85"/>
    <w:rsid w:val="001274B2"/>
    <w:rsid w:val="00137775"/>
    <w:rsid w:val="00142E27"/>
    <w:rsid w:val="00147636"/>
    <w:rsid w:val="00147E54"/>
    <w:rsid w:val="00154851"/>
    <w:rsid w:val="001666B6"/>
    <w:rsid w:val="0017455F"/>
    <w:rsid w:val="00176567"/>
    <w:rsid w:val="001776E5"/>
    <w:rsid w:val="00185D29"/>
    <w:rsid w:val="00191312"/>
    <w:rsid w:val="001A3224"/>
    <w:rsid w:val="001A7494"/>
    <w:rsid w:val="001B63E9"/>
    <w:rsid w:val="001C1AA1"/>
    <w:rsid w:val="001D1E25"/>
    <w:rsid w:val="001E2FA1"/>
    <w:rsid w:val="001E492C"/>
    <w:rsid w:val="002049CC"/>
    <w:rsid w:val="002077F5"/>
    <w:rsid w:val="00215887"/>
    <w:rsid w:val="00230957"/>
    <w:rsid w:val="00241B76"/>
    <w:rsid w:val="00242984"/>
    <w:rsid w:val="00243C60"/>
    <w:rsid w:val="00270520"/>
    <w:rsid w:val="00274445"/>
    <w:rsid w:val="00292673"/>
    <w:rsid w:val="002A3960"/>
    <w:rsid w:val="002B05C3"/>
    <w:rsid w:val="002C0DE1"/>
    <w:rsid w:val="002C2A8A"/>
    <w:rsid w:val="002D14BA"/>
    <w:rsid w:val="002D5157"/>
    <w:rsid w:val="002F1749"/>
    <w:rsid w:val="00301D79"/>
    <w:rsid w:val="00306E0B"/>
    <w:rsid w:val="0031220F"/>
    <w:rsid w:val="003137B1"/>
    <w:rsid w:val="003362EE"/>
    <w:rsid w:val="00336788"/>
    <w:rsid w:val="00337132"/>
    <w:rsid w:val="0034271E"/>
    <w:rsid w:val="00364F03"/>
    <w:rsid w:val="0037087C"/>
    <w:rsid w:val="00377A76"/>
    <w:rsid w:val="00381F48"/>
    <w:rsid w:val="00386392"/>
    <w:rsid w:val="003938AB"/>
    <w:rsid w:val="00397A97"/>
    <w:rsid w:val="003A1D42"/>
    <w:rsid w:val="003A262E"/>
    <w:rsid w:val="003A5FBE"/>
    <w:rsid w:val="003B0BCF"/>
    <w:rsid w:val="003C29F1"/>
    <w:rsid w:val="003E0F09"/>
    <w:rsid w:val="003E2675"/>
    <w:rsid w:val="003F0A43"/>
    <w:rsid w:val="003F4778"/>
    <w:rsid w:val="00401C47"/>
    <w:rsid w:val="004020B2"/>
    <w:rsid w:val="004214E5"/>
    <w:rsid w:val="004246FC"/>
    <w:rsid w:val="0042604B"/>
    <w:rsid w:val="00435C30"/>
    <w:rsid w:val="004433B8"/>
    <w:rsid w:val="00444356"/>
    <w:rsid w:val="00474B38"/>
    <w:rsid w:val="004847FA"/>
    <w:rsid w:val="004914FC"/>
    <w:rsid w:val="00493C7E"/>
    <w:rsid w:val="004A6868"/>
    <w:rsid w:val="004C6B93"/>
    <w:rsid w:val="004C7EA2"/>
    <w:rsid w:val="004D057E"/>
    <w:rsid w:val="004D4A4A"/>
    <w:rsid w:val="004F186F"/>
    <w:rsid w:val="005017AF"/>
    <w:rsid w:val="00506684"/>
    <w:rsid w:val="00514065"/>
    <w:rsid w:val="0051564C"/>
    <w:rsid w:val="005220DC"/>
    <w:rsid w:val="005234FE"/>
    <w:rsid w:val="00530D3C"/>
    <w:rsid w:val="005414E5"/>
    <w:rsid w:val="005425DB"/>
    <w:rsid w:val="00544157"/>
    <w:rsid w:val="00545298"/>
    <w:rsid w:val="005500CE"/>
    <w:rsid w:val="00557701"/>
    <w:rsid w:val="00562365"/>
    <w:rsid w:val="005772A9"/>
    <w:rsid w:val="0058147C"/>
    <w:rsid w:val="005914C3"/>
    <w:rsid w:val="005A1324"/>
    <w:rsid w:val="005B3579"/>
    <w:rsid w:val="005C1FD3"/>
    <w:rsid w:val="005C72F6"/>
    <w:rsid w:val="005D0270"/>
    <w:rsid w:val="005D21D1"/>
    <w:rsid w:val="005D768A"/>
    <w:rsid w:val="005E0DE8"/>
    <w:rsid w:val="005E3147"/>
    <w:rsid w:val="005E47D7"/>
    <w:rsid w:val="005E593C"/>
    <w:rsid w:val="0061511C"/>
    <w:rsid w:val="00615E59"/>
    <w:rsid w:val="00617444"/>
    <w:rsid w:val="00621D99"/>
    <w:rsid w:val="0062293A"/>
    <w:rsid w:val="006432C6"/>
    <w:rsid w:val="00647890"/>
    <w:rsid w:val="00654995"/>
    <w:rsid w:val="006560F2"/>
    <w:rsid w:val="006723D5"/>
    <w:rsid w:val="006848AD"/>
    <w:rsid w:val="006877E4"/>
    <w:rsid w:val="006A3820"/>
    <w:rsid w:val="006A77CF"/>
    <w:rsid w:val="006B0A23"/>
    <w:rsid w:val="006B3273"/>
    <w:rsid w:val="006C25ED"/>
    <w:rsid w:val="006D1AC4"/>
    <w:rsid w:val="006E1553"/>
    <w:rsid w:val="006E1965"/>
    <w:rsid w:val="006E5EF1"/>
    <w:rsid w:val="006F47E0"/>
    <w:rsid w:val="00700710"/>
    <w:rsid w:val="007007E3"/>
    <w:rsid w:val="007015A6"/>
    <w:rsid w:val="00703BE7"/>
    <w:rsid w:val="00705814"/>
    <w:rsid w:val="00713872"/>
    <w:rsid w:val="00723BE1"/>
    <w:rsid w:val="00724D24"/>
    <w:rsid w:val="00730DB4"/>
    <w:rsid w:val="00731809"/>
    <w:rsid w:val="0073549C"/>
    <w:rsid w:val="00744249"/>
    <w:rsid w:val="00746F31"/>
    <w:rsid w:val="007505EA"/>
    <w:rsid w:val="00753551"/>
    <w:rsid w:val="00753AC6"/>
    <w:rsid w:val="0075548C"/>
    <w:rsid w:val="00762C2C"/>
    <w:rsid w:val="0076645A"/>
    <w:rsid w:val="007677A2"/>
    <w:rsid w:val="0076799A"/>
    <w:rsid w:val="007706DD"/>
    <w:rsid w:val="00784EC0"/>
    <w:rsid w:val="00787383"/>
    <w:rsid w:val="007A1A94"/>
    <w:rsid w:val="007A61A2"/>
    <w:rsid w:val="007A7175"/>
    <w:rsid w:val="007B4816"/>
    <w:rsid w:val="007D5AF7"/>
    <w:rsid w:val="007E132E"/>
    <w:rsid w:val="007F4AFE"/>
    <w:rsid w:val="00810591"/>
    <w:rsid w:val="008129A1"/>
    <w:rsid w:val="00837560"/>
    <w:rsid w:val="008510DB"/>
    <w:rsid w:val="00852D01"/>
    <w:rsid w:val="00853286"/>
    <w:rsid w:val="00855C3C"/>
    <w:rsid w:val="00857436"/>
    <w:rsid w:val="00871597"/>
    <w:rsid w:val="00871F5F"/>
    <w:rsid w:val="00877773"/>
    <w:rsid w:val="008862B3"/>
    <w:rsid w:val="00893322"/>
    <w:rsid w:val="008952D4"/>
    <w:rsid w:val="008A11BC"/>
    <w:rsid w:val="008A1C69"/>
    <w:rsid w:val="008A4C47"/>
    <w:rsid w:val="008A7EEE"/>
    <w:rsid w:val="008B1608"/>
    <w:rsid w:val="008B6EDF"/>
    <w:rsid w:val="008C3D7A"/>
    <w:rsid w:val="008C4856"/>
    <w:rsid w:val="008D4F6E"/>
    <w:rsid w:val="008D7EA4"/>
    <w:rsid w:val="008E2234"/>
    <w:rsid w:val="008E5364"/>
    <w:rsid w:val="008F5734"/>
    <w:rsid w:val="00900020"/>
    <w:rsid w:val="00911613"/>
    <w:rsid w:val="00916BAE"/>
    <w:rsid w:val="00923BC6"/>
    <w:rsid w:val="0093258B"/>
    <w:rsid w:val="009423FE"/>
    <w:rsid w:val="00946068"/>
    <w:rsid w:val="009561A1"/>
    <w:rsid w:val="00960A8A"/>
    <w:rsid w:val="00966588"/>
    <w:rsid w:val="009735E3"/>
    <w:rsid w:val="0099488D"/>
    <w:rsid w:val="009A4CF7"/>
    <w:rsid w:val="009A63FF"/>
    <w:rsid w:val="009B17A6"/>
    <w:rsid w:val="009B6ABE"/>
    <w:rsid w:val="009D5EAC"/>
    <w:rsid w:val="009D6A15"/>
    <w:rsid w:val="009E3F3F"/>
    <w:rsid w:val="009F09C1"/>
    <w:rsid w:val="009F32E5"/>
    <w:rsid w:val="00A04FA3"/>
    <w:rsid w:val="00A20320"/>
    <w:rsid w:val="00A225AE"/>
    <w:rsid w:val="00A34982"/>
    <w:rsid w:val="00A445AA"/>
    <w:rsid w:val="00A50E0B"/>
    <w:rsid w:val="00A52F7D"/>
    <w:rsid w:val="00A54566"/>
    <w:rsid w:val="00A6342A"/>
    <w:rsid w:val="00A71887"/>
    <w:rsid w:val="00A75640"/>
    <w:rsid w:val="00A75C18"/>
    <w:rsid w:val="00A77CA8"/>
    <w:rsid w:val="00A85A7F"/>
    <w:rsid w:val="00A9611F"/>
    <w:rsid w:val="00A974EA"/>
    <w:rsid w:val="00AA7D71"/>
    <w:rsid w:val="00AE3632"/>
    <w:rsid w:val="00AF508D"/>
    <w:rsid w:val="00AF6487"/>
    <w:rsid w:val="00B038C6"/>
    <w:rsid w:val="00B13E49"/>
    <w:rsid w:val="00B27C34"/>
    <w:rsid w:val="00B33B9E"/>
    <w:rsid w:val="00B522FC"/>
    <w:rsid w:val="00B60991"/>
    <w:rsid w:val="00B674EA"/>
    <w:rsid w:val="00B7100C"/>
    <w:rsid w:val="00B75508"/>
    <w:rsid w:val="00B7657A"/>
    <w:rsid w:val="00B86FF2"/>
    <w:rsid w:val="00BA7361"/>
    <w:rsid w:val="00BB4436"/>
    <w:rsid w:val="00BC485E"/>
    <w:rsid w:val="00BC4ABE"/>
    <w:rsid w:val="00BE005F"/>
    <w:rsid w:val="00BE3B1C"/>
    <w:rsid w:val="00BE5F4F"/>
    <w:rsid w:val="00C026A3"/>
    <w:rsid w:val="00C07EC2"/>
    <w:rsid w:val="00C12991"/>
    <w:rsid w:val="00C27B2A"/>
    <w:rsid w:val="00C31555"/>
    <w:rsid w:val="00C42055"/>
    <w:rsid w:val="00C57F2C"/>
    <w:rsid w:val="00C671E0"/>
    <w:rsid w:val="00C85AFE"/>
    <w:rsid w:val="00CA4379"/>
    <w:rsid w:val="00CB3757"/>
    <w:rsid w:val="00CB4EB7"/>
    <w:rsid w:val="00CB4F6D"/>
    <w:rsid w:val="00CC3C50"/>
    <w:rsid w:val="00CC5E03"/>
    <w:rsid w:val="00CE37FE"/>
    <w:rsid w:val="00CE70C8"/>
    <w:rsid w:val="00CF0BC5"/>
    <w:rsid w:val="00CF7AFF"/>
    <w:rsid w:val="00D20EF4"/>
    <w:rsid w:val="00D24E72"/>
    <w:rsid w:val="00D31405"/>
    <w:rsid w:val="00D3246A"/>
    <w:rsid w:val="00D42BB9"/>
    <w:rsid w:val="00D45EA4"/>
    <w:rsid w:val="00D53324"/>
    <w:rsid w:val="00D652C7"/>
    <w:rsid w:val="00D7727D"/>
    <w:rsid w:val="00D80DB9"/>
    <w:rsid w:val="00D96F07"/>
    <w:rsid w:val="00D973F4"/>
    <w:rsid w:val="00D979D2"/>
    <w:rsid w:val="00DA25DC"/>
    <w:rsid w:val="00DA366C"/>
    <w:rsid w:val="00DC21B7"/>
    <w:rsid w:val="00DC39AD"/>
    <w:rsid w:val="00DD5A82"/>
    <w:rsid w:val="00DE0F56"/>
    <w:rsid w:val="00DF0AE4"/>
    <w:rsid w:val="00DF2E0E"/>
    <w:rsid w:val="00DF6833"/>
    <w:rsid w:val="00E179DB"/>
    <w:rsid w:val="00E179E8"/>
    <w:rsid w:val="00E332C0"/>
    <w:rsid w:val="00E442ED"/>
    <w:rsid w:val="00E85EF9"/>
    <w:rsid w:val="00EA01AD"/>
    <w:rsid w:val="00EC4F33"/>
    <w:rsid w:val="00EC620F"/>
    <w:rsid w:val="00ED7203"/>
    <w:rsid w:val="00ED7770"/>
    <w:rsid w:val="00EE2EAD"/>
    <w:rsid w:val="00EE574C"/>
    <w:rsid w:val="00EF42A5"/>
    <w:rsid w:val="00EF545E"/>
    <w:rsid w:val="00EF6786"/>
    <w:rsid w:val="00F00F66"/>
    <w:rsid w:val="00F02820"/>
    <w:rsid w:val="00F065B9"/>
    <w:rsid w:val="00F07EFB"/>
    <w:rsid w:val="00F14E71"/>
    <w:rsid w:val="00F200F0"/>
    <w:rsid w:val="00F26F12"/>
    <w:rsid w:val="00F42231"/>
    <w:rsid w:val="00F45B96"/>
    <w:rsid w:val="00F5677C"/>
    <w:rsid w:val="00F64C45"/>
    <w:rsid w:val="00F6614A"/>
    <w:rsid w:val="00F835F0"/>
    <w:rsid w:val="00F87C23"/>
    <w:rsid w:val="00F94BF0"/>
    <w:rsid w:val="00FA045C"/>
    <w:rsid w:val="00FB6AAB"/>
    <w:rsid w:val="00FC5D3C"/>
    <w:rsid w:val="00FC7BAB"/>
    <w:rsid w:val="00FD1E32"/>
    <w:rsid w:val="00FD27C2"/>
    <w:rsid w:val="00FD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645079"/>
  <w15:chartTrackingRefBased/>
  <w15:docId w15:val="{43BCB45F-52D0-4656-AB92-1B0EAA2B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FE"/>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aliases w:val="Bullet 1,Numbered Para 1,Dot pt,No Spacing1,List Paragraph Char Char Char,Indicator Text,List Paragraph1,MAIN CONTENT,F5 List Paragraph,Colorful List - Accent 11,List Paragraph2,List Paragraph12,OBC Bullet,List Paragraph11,Bullet Style"/>
    <w:basedOn w:val="Normal"/>
    <w:link w:val="ListParagraphChar"/>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306E0B"/>
    <w:rPr>
      <w:color w:val="0000FF" w:themeColor="hyperlink"/>
      <w:u w:val="single"/>
    </w:rPr>
  </w:style>
  <w:style w:type="character" w:customStyle="1" w:styleId="UnresolvedMention1">
    <w:name w:val="Unresolved Mention1"/>
    <w:basedOn w:val="DefaultParagraphFont"/>
    <w:uiPriority w:val="99"/>
    <w:semiHidden/>
    <w:unhideWhenUsed/>
    <w:rsid w:val="00306E0B"/>
    <w:rPr>
      <w:color w:val="605E5C"/>
      <w:shd w:val="clear" w:color="auto" w:fill="E1DFDD"/>
    </w:rPr>
  </w:style>
  <w:style w:type="character" w:styleId="FollowedHyperlink">
    <w:name w:val="FollowedHyperlink"/>
    <w:basedOn w:val="DefaultParagraphFont"/>
    <w:uiPriority w:val="99"/>
    <w:semiHidden/>
    <w:unhideWhenUsed/>
    <w:rsid w:val="000438FB"/>
    <w:rPr>
      <w:color w:val="800080" w:themeColor="followedHyperlink"/>
      <w:u w:val="single"/>
    </w:rPr>
  </w:style>
  <w:style w:type="character" w:styleId="CommentReference">
    <w:name w:val="annotation reference"/>
    <w:basedOn w:val="DefaultParagraphFont"/>
    <w:uiPriority w:val="99"/>
    <w:semiHidden/>
    <w:unhideWhenUsed/>
    <w:rsid w:val="000C4192"/>
    <w:rPr>
      <w:sz w:val="16"/>
      <w:szCs w:val="16"/>
    </w:rPr>
  </w:style>
  <w:style w:type="paragraph" w:styleId="CommentText">
    <w:name w:val="annotation text"/>
    <w:basedOn w:val="Normal"/>
    <w:link w:val="CommentTextChar"/>
    <w:uiPriority w:val="99"/>
    <w:unhideWhenUsed/>
    <w:rsid w:val="000C4192"/>
    <w:rPr>
      <w:sz w:val="20"/>
      <w:szCs w:val="20"/>
    </w:rPr>
  </w:style>
  <w:style w:type="character" w:customStyle="1" w:styleId="CommentTextChar">
    <w:name w:val="Comment Text Char"/>
    <w:basedOn w:val="DefaultParagraphFont"/>
    <w:link w:val="CommentText"/>
    <w:uiPriority w:val="99"/>
    <w:rsid w:val="000C41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4192"/>
    <w:rPr>
      <w:b/>
      <w:bCs/>
    </w:rPr>
  </w:style>
  <w:style w:type="character" w:customStyle="1" w:styleId="CommentSubjectChar">
    <w:name w:val="Comment Subject Char"/>
    <w:basedOn w:val="CommentTextChar"/>
    <w:link w:val="CommentSubject"/>
    <w:uiPriority w:val="99"/>
    <w:semiHidden/>
    <w:rsid w:val="000C4192"/>
    <w:rPr>
      <w:rFonts w:ascii="Arial" w:hAnsi="Arial"/>
      <w:b/>
      <w:bCs/>
      <w:sz w:val="20"/>
      <w:szCs w:val="20"/>
    </w:rPr>
  </w:style>
  <w:style w:type="paragraph" w:styleId="BalloonText">
    <w:name w:val="Balloon Text"/>
    <w:basedOn w:val="Normal"/>
    <w:link w:val="BalloonTextChar"/>
    <w:uiPriority w:val="99"/>
    <w:semiHidden/>
    <w:unhideWhenUsed/>
    <w:rsid w:val="000C4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192"/>
    <w:rPr>
      <w:rFonts w:ascii="Segoe UI" w:hAnsi="Segoe UI" w:cs="Segoe UI"/>
      <w:sz w:val="18"/>
      <w:szCs w:val="18"/>
    </w:rPr>
  </w:style>
  <w:style w:type="character" w:styleId="UnresolvedMention">
    <w:name w:val="Unresolved Mention"/>
    <w:basedOn w:val="DefaultParagraphFont"/>
    <w:uiPriority w:val="99"/>
    <w:semiHidden/>
    <w:unhideWhenUsed/>
    <w:rsid w:val="004246FC"/>
    <w:rPr>
      <w:color w:val="605E5C"/>
      <w:shd w:val="clear" w:color="auto" w:fill="E1DFDD"/>
    </w:rPr>
  </w:style>
  <w:style w:type="table" w:styleId="TableGrid">
    <w:name w:val="Table Grid"/>
    <w:basedOn w:val="TableNormal"/>
    <w:uiPriority w:val="59"/>
    <w:rsid w:val="00D973F4"/>
    <w:pPr>
      <w:spacing w:after="0" w:line="240" w:lineRule="auto"/>
    </w:pPr>
    <w:rPr>
      <w:rFonts w:ascii="Cambria" w:eastAsia="MS Mincho" w:hAnsi="Cambria" w:cs="Arial"/>
      <w:lang w:val="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3F4"/>
  </w:style>
  <w:style w:type="paragraph" w:styleId="Header">
    <w:name w:val="header"/>
    <w:basedOn w:val="Normal"/>
    <w:link w:val="HeaderChar"/>
    <w:uiPriority w:val="99"/>
    <w:unhideWhenUsed/>
    <w:rsid w:val="00A225AE"/>
    <w:pPr>
      <w:tabs>
        <w:tab w:val="center" w:pos="4513"/>
        <w:tab w:val="right" w:pos="9026"/>
      </w:tabs>
    </w:pPr>
  </w:style>
  <w:style w:type="character" w:customStyle="1" w:styleId="HeaderChar">
    <w:name w:val="Header Char"/>
    <w:basedOn w:val="DefaultParagraphFont"/>
    <w:link w:val="Header"/>
    <w:uiPriority w:val="99"/>
    <w:rsid w:val="00A225AE"/>
    <w:rPr>
      <w:rFonts w:ascii="Arial" w:hAnsi="Arial"/>
      <w:sz w:val="22"/>
    </w:rPr>
  </w:style>
  <w:style w:type="paragraph" w:styleId="Footer">
    <w:name w:val="footer"/>
    <w:basedOn w:val="Normal"/>
    <w:link w:val="FooterChar"/>
    <w:uiPriority w:val="99"/>
    <w:unhideWhenUsed/>
    <w:rsid w:val="00A225AE"/>
    <w:pPr>
      <w:tabs>
        <w:tab w:val="center" w:pos="4513"/>
        <w:tab w:val="right" w:pos="9026"/>
      </w:tabs>
    </w:pPr>
  </w:style>
  <w:style w:type="character" w:customStyle="1" w:styleId="FooterChar">
    <w:name w:val="Footer Char"/>
    <w:basedOn w:val="DefaultParagraphFont"/>
    <w:link w:val="Footer"/>
    <w:uiPriority w:val="99"/>
    <w:rsid w:val="00A225AE"/>
    <w:rPr>
      <w:rFonts w:ascii="Arial" w:hAnsi="Arial"/>
      <w:sz w:val="22"/>
    </w:rPr>
  </w:style>
  <w:style w:type="character" w:customStyle="1" w:styleId="ListParagraphChar">
    <w:name w:val="List Paragraph Char"/>
    <w:aliases w:val="Bullet 1 Char,Numbered Para 1 Char,Dot pt Char,No Spacing1 Char,List Paragraph Char Char Char Char,Indicator Text Char,List Paragraph1 Char,MAIN CONTENT Char,F5 List Paragraph Char,Colorful List - Accent 11 Char,List Paragraph2 Char"/>
    <w:basedOn w:val="DefaultParagraphFont"/>
    <w:link w:val="ListParagraph"/>
    <w:uiPriority w:val="34"/>
    <w:qFormat/>
    <w:locked/>
    <w:rsid w:val="005C1FD3"/>
    <w:rPr>
      <w:rFonts w:ascii="Arial" w:hAnsi="Arial"/>
      <w:sz w:val="22"/>
    </w:rPr>
  </w:style>
  <w:style w:type="paragraph" w:styleId="Revision">
    <w:name w:val="Revision"/>
    <w:hidden/>
    <w:uiPriority w:val="99"/>
    <w:semiHidden/>
    <w:rsid w:val="006E5EF1"/>
    <w:pPr>
      <w:spacing w:after="0" w:line="240" w:lineRule="auto"/>
    </w:pPr>
    <w:rPr>
      <w:rFonts w:ascii="Arial" w:hAnsi="Arial"/>
      <w:sz w:val="22"/>
    </w:rPr>
  </w:style>
  <w:style w:type="paragraph" w:styleId="FootnoteText">
    <w:name w:val="footnote text"/>
    <w:basedOn w:val="Normal"/>
    <w:link w:val="FootnoteTextChar"/>
    <w:uiPriority w:val="99"/>
    <w:semiHidden/>
    <w:unhideWhenUsed/>
    <w:rsid w:val="0073549C"/>
    <w:rPr>
      <w:sz w:val="20"/>
      <w:szCs w:val="20"/>
    </w:rPr>
  </w:style>
  <w:style w:type="character" w:customStyle="1" w:styleId="FootnoteTextChar">
    <w:name w:val="Footnote Text Char"/>
    <w:basedOn w:val="DefaultParagraphFont"/>
    <w:link w:val="FootnoteText"/>
    <w:uiPriority w:val="99"/>
    <w:semiHidden/>
    <w:rsid w:val="0073549C"/>
    <w:rPr>
      <w:rFonts w:ascii="Arial" w:hAnsi="Arial"/>
      <w:sz w:val="20"/>
      <w:szCs w:val="20"/>
    </w:rPr>
  </w:style>
  <w:style w:type="character" w:styleId="FootnoteReference">
    <w:name w:val="footnote reference"/>
    <w:basedOn w:val="DefaultParagraphFont"/>
    <w:uiPriority w:val="99"/>
    <w:semiHidden/>
    <w:unhideWhenUsed/>
    <w:rsid w:val="00735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0239">
      <w:bodyDiv w:val="1"/>
      <w:marLeft w:val="0"/>
      <w:marRight w:val="0"/>
      <w:marTop w:val="0"/>
      <w:marBottom w:val="0"/>
      <w:divBdr>
        <w:top w:val="none" w:sz="0" w:space="0" w:color="auto"/>
        <w:left w:val="none" w:sz="0" w:space="0" w:color="auto"/>
        <w:bottom w:val="none" w:sz="0" w:space="0" w:color="auto"/>
        <w:right w:val="none" w:sz="0" w:space="0" w:color="auto"/>
      </w:divBdr>
    </w:div>
    <w:div w:id="157886944">
      <w:bodyDiv w:val="1"/>
      <w:marLeft w:val="0"/>
      <w:marRight w:val="0"/>
      <w:marTop w:val="0"/>
      <w:marBottom w:val="0"/>
      <w:divBdr>
        <w:top w:val="none" w:sz="0" w:space="0" w:color="auto"/>
        <w:left w:val="none" w:sz="0" w:space="0" w:color="auto"/>
        <w:bottom w:val="none" w:sz="0" w:space="0" w:color="auto"/>
        <w:right w:val="none" w:sz="0" w:space="0" w:color="auto"/>
      </w:divBdr>
    </w:div>
    <w:div w:id="513152573">
      <w:bodyDiv w:val="1"/>
      <w:marLeft w:val="0"/>
      <w:marRight w:val="0"/>
      <w:marTop w:val="0"/>
      <w:marBottom w:val="0"/>
      <w:divBdr>
        <w:top w:val="none" w:sz="0" w:space="0" w:color="auto"/>
        <w:left w:val="none" w:sz="0" w:space="0" w:color="auto"/>
        <w:bottom w:val="none" w:sz="0" w:space="0" w:color="auto"/>
        <w:right w:val="none" w:sz="0" w:space="0" w:color="auto"/>
      </w:divBdr>
    </w:div>
    <w:div w:id="520827666">
      <w:bodyDiv w:val="1"/>
      <w:marLeft w:val="0"/>
      <w:marRight w:val="0"/>
      <w:marTop w:val="0"/>
      <w:marBottom w:val="0"/>
      <w:divBdr>
        <w:top w:val="none" w:sz="0" w:space="0" w:color="auto"/>
        <w:left w:val="none" w:sz="0" w:space="0" w:color="auto"/>
        <w:bottom w:val="none" w:sz="0" w:space="0" w:color="auto"/>
        <w:right w:val="none" w:sz="0" w:space="0" w:color="auto"/>
      </w:divBdr>
    </w:div>
    <w:div w:id="547689789">
      <w:bodyDiv w:val="1"/>
      <w:marLeft w:val="0"/>
      <w:marRight w:val="0"/>
      <w:marTop w:val="0"/>
      <w:marBottom w:val="0"/>
      <w:divBdr>
        <w:top w:val="none" w:sz="0" w:space="0" w:color="auto"/>
        <w:left w:val="none" w:sz="0" w:space="0" w:color="auto"/>
        <w:bottom w:val="none" w:sz="0" w:space="0" w:color="auto"/>
        <w:right w:val="none" w:sz="0" w:space="0" w:color="auto"/>
      </w:divBdr>
    </w:div>
    <w:div w:id="571350927">
      <w:bodyDiv w:val="1"/>
      <w:marLeft w:val="0"/>
      <w:marRight w:val="0"/>
      <w:marTop w:val="0"/>
      <w:marBottom w:val="0"/>
      <w:divBdr>
        <w:top w:val="none" w:sz="0" w:space="0" w:color="auto"/>
        <w:left w:val="none" w:sz="0" w:space="0" w:color="auto"/>
        <w:bottom w:val="none" w:sz="0" w:space="0" w:color="auto"/>
        <w:right w:val="none" w:sz="0" w:space="0" w:color="auto"/>
      </w:divBdr>
    </w:div>
    <w:div w:id="626811181">
      <w:bodyDiv w:val="1"/>
      <w:marLeft w:val="0"/>
      <w:marRight w:val="0"/>
      <w:marTop w:val="0"/>
      <w:marBottom w:val="0"/>
      <w:divBdr>
        <w:top w:val="none" w:sz="0" w:space="0" w:color="auto"/>
        <w:left w:val="none" w:sz="0" w:space="0" w:color="auto"/>
        <w:bottom w:val="none" w:sz="0" w:space="0" w:color="auto"/>
        <w:right w:val="none" w:sz="0" w:space="0" w:color="auto"/>
      </w:divBdr>
    </w:div>
    <w:div w:id="663901140">
      <w:bodyDiv w:val="1"/>
      <w:marLeft w:val="0"/>
      <w:marRight w:val="0"/>
      <w:marTop w:val="0"/>
      <w:marBottom w:val="0"/>
      <w:divBdr>
        <w:top w:val="none" w:sz="0" w:space="0" w:color="auto"/>
        <w:left w:val="none" w:sz="0" w:space="0" w:color="auto"/>
        <w:bottom w:val="none" w:sz="0" w:space="0" w:color="auto"/>
        <w:right w:val="none" w:sz="0" w:space="0" w:color="auto"/>
      </w:divBdr>
    </w:div>
    <w:div w:id="725420403">
      <w:bodyDiv w:val="1"/>
      <w:marLeft w:val="0"/>
      <w:marRight w:val="0"/>
      <w:marTop w:val="0"/>
      <w:marBottom w:val="0"/>
      <w:divBdr>
        <w:top w:val="none" w:sz="0" w:space="0" w:color="auto"/>
        <w:left w:val="none" w:sz="0" w:space="0" w:color="auto"/>
        <w:bottom w:val="none" w:sz="0" w:space="0" w:color="auto"/>
        <w:right w:val="none" w:sz="0" w:space="0" w:color="auto"/>
      </w:divBdr>
      <w:divsChild>
        <w:div w:id="842817238">
          <w:marLeft w:val="0"/>
          <w:marRight w:val="0"/>
          <w:marTop w:val="0"/>
          <w:marBottom w:val="0"/>
          <w:divBdr>
            <w:top w:val="none" w:sz="0" w:space="0" w:color="auto"/>
            <w:left w:val="none" w:sz="0" w:space="0" w:color="auto"/>
            <w:bottom w:val="none" w:sz="0" w:space="0" w:color="auto"/>
            <w:right w:val="none" w:sz="0" w:space="0" w:color="auto"/>
          </w:divBdr>
        </w:div>
        <w:div w:id="243103553">
          <w:marLeft w:val="0"/>
          <w:marRight w:val="0"/>
          <w:marTop w:val="0"/>
          <w:marBottom w:val="0"/>
          <w:divBdr>
            <w:top w:val="none" w:sz="0" w:space="0" w:color="auto"/>
            <w:left w:val="none" w:sz="0" w:space="0" w:color="auto"/>
            <w:bottom w:val="none" w:sz="0" w:space="0" w:color="auto"/>
            <w:right w:val="none" w:sz="0" w:space="0" w:color="auto"/>
          </w:divBdr>
        </w:div>
      </w:divsChild>
    </w:div>
    <w:div w:id="784078828">
      <w:bodyDiv w:val="1"/>
      <w:marLeft w:val="0"/>
      <w:marRight w:val="0"/>
      <w:marTop w:val="0"/>
      <w:marBottom w:val="0"/>
      <w:divBdr>
        <w:top w:val="none" w:sz="0" w:space="0" w:color="auto"/>
        <w:left w:val="none" w:sz="0" w:space="0" w:color="auto"/>
        <w:bottom w:val="none" w:sz="0" w:space="0" w:color="auto"/>
        <w:right w:val="none" w:sz="0" w:space="0" w:color="auto"/>
      </w:divBdr>
    </w:div>
    <w:div w:id="885415694">
      <w:bodyDiv w:val="1"/>
      <w:marLeft w:val="0"/>
      <w:marRight w:val="0"/>
      <w:marTop w:val="0"/>
      <w:marBottom w:val="0"/>
      <w:divBdr>
        <w:top w:val="none" w:sz="0" w:space="0" w:color="auto"/>
        <w:left w:val="none" w:sz="0" w:space="0" w:color="auto"/>
        <w:bottom w:val="none" w:sz="0" w:space="0" w:color="auto"/>
        <w:right w:val="none" w:sz="0" w:space="0" w:color="auto"/>
      </w:divBdr>
    </w:div>
    <w:div w:id="1212418553">
      <w:bodyDiv w:val="1"/>
      <w:marLeft w:val="0"/>
      <w:marRight w:val="0"/>
      <w:marTop w:val="0"/>
      <w:marBottom w:val="0"/>
      <w:divBdr>
        <w:top w:val="none" w:sz="0" w:space="0" w:color="auto"/>
        <w:left w:val="none" w:sz="0" w:space="0" w:color="auto"/>
        <w:bottom w:val="none" w:sz="0" w:space="0" w:color="auto"/>
        <w:right w:val="none" w:sz="0" w:space="0" w:color="auto"/>
      </w:divBdr>
      <w:divsChild>
        <w:div w:id="2027706661">
          <w:marLeft w:val="0"/>
          <w:marRight w:val="0"/>
          <w:marTop w:val="0"/>
          <w:marBottom w:val="0"/>
          <w:divBdr>
            <w:top w:val="none" w:sz="0" w:space="0" w:color="auto"/>
            <w:left w:val="none" w:sz="0" w:space="0" w:color="auto"/>
            <w:bottom w:val="none" w:sz="0" w:space="0" w:color="auto"/>
            <w:right w:val="none" w:sz="0" w:space="0" w:color="auto"/>
          </w:divBdr>
        </w:div>
        <w:div w:id="128667312">
          <w:marLeft w:val="0"/>
          <w:marRight w:val="0"/>
          <w:marTop w:val="0"/>
          <w:marBottom w:val="0"/>
          <w:divBdr>
            <w:top w:val="none" w:sz="0" w:space="0" w:color="auto"/>
            <w:left w:val="none" w:sz="0" w:space="0" w:color="auto"/>
            <w:bottom w:val="none" w:sz="0" w:space="0" w:color="auto"/>
            <w:right w:val="none" w:sz="0" w:space="0" w:color="auto"/>
          </w:divBdr>
        </w:div>
        <w:div w:id="1337152600">
          <w:marLeft w:val="0"/>
          <w:marRight w:val="0"/>
          <w:marTop w:val="0"/>
          <w:marBottom w:val="0"/>
          <w:divBdr>
            <w:top w:val="none" w:sz="0" w:space="0" w:color="auto"/>
            <w:left w:val="none" w:sz="0" w:space="0" w:color="auto"/>
            <w:bottom w:val="none" w:sz="0" w:space="0" w:color="auto"/>
            <w:right w:val="none" w:sz="0" w:space="0" w:color="auto"/>
          </w:divBdr>
        </w:div>
      </w:divsChild>
    </w:div>
    <w:div w:id="1302153234">
      <w:bodyDiv w:val="1"/>
      <w:marLeft w:val="0"/>
      <w:marRight w:val="0"/>
      <w:marTop w:val="0"/>
      <w:marBottom w:val="0"/>
      <w:divBdr>
        <w:top w:val="none" w:sz="0" w:space="0" w:color="auto"/>
        <w:left w:val="none" w:sz="0" w:space="0" w:color="auto"/>
        <w:bottom w:val="none" w:sz="0" w:space="0" w:color="auto"/>
        <w:right w:val="none" w:sz="0" w:space="0" w:color="auto"/>
      </w:divBdr>
    </w:div>
    <w:div w:id="1456677394">
      <w:bodyDiv w:val="1"/>
      <w:marLeft w:val="0"/>
      <w:marRight w:val="0"/>
      <w:marTop w:val="0"/>
      <w:marBottom w:val="0"/>
      <w:divBdr>
        <w:top w:val="none" w:sz="0" w:space="0" w:color="auto"/>
        <w:left w:val="none" w:sz="0" w:space="0" w:color="auto"/>
        <w:bottom w:val="none" w:sz="0" w:space="0" w:color="auto"/>
        <w:right w:val="none" w:sz="0" w:space="0" w:color="auto"/>
      </w:divBdr>
    </w:div>
    <w:div w:id="1478957374">
      <w:bodyDiv w:val="1"/>
      <w:marLeft w:val="0"/>
      <w:marRight w:val="0"/>
      <w:marTop w:val="0"/>
      <w:marBottom w:val="0"/>
      <w:divBdr>
        <w:top w:val="none" w:sz="0" w:space="0" w:color="auto"/>
        <w:left w:val="none" w:sz="0" w:space="0" w:color="auto"/>
        <w:bottom w:val="none" w:sz="0" w:space="0" w:color="auto"/>
        <w:right w:val="none" w:sz="0" w:space="0" w:color="auto"/>
      </w:divBdr>
      <w:divsChild>
        <w:div w:id="865798559">
          <w:marLeft w:val="0"/>
          <w:marRight w:val="0"/>
          <w:marTop w:val="0"/>
          <w:marBottom w:val="0"/>
          <w:divBdr>
            <w:top w:val="none" w:sz="0" w:space="0" w:color="auto"/>
            <w:left w:val="none" w:sz="0" w:space="0" w:color="auto"/>
            <w:bottom w:val="none" w:sz="0" w:space="0" w:color="auto"/>
            <w:right w:val="none" w:sz="0" w:space="0" w:color="auto"/>
          </w:divBdr>
        </w:div>
        <w:div w:id="679701994">
          <w:marLeft w:val="0"/>
          <w:marRight w:val="0"/>
          <w:marTop w:val="0"/>
          <w:marBottom w:val="0"/>
          <w:divBdr>
            <w:top w:val="none" w:sz="0" w:space="0" w:color="auto"/>
            <w:left w:val="none" w:sz="0" w:space="0" w:color="auto"/>
            <w:bottom w:val="none" w:sz="0" w:space="0" w:color="auto"/>
            <w:right w:val="none" w:sz="0" w:space="0" w:color="auto"/>
          </w:divBdr>
        </w:div>
      </w:divsChild>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88210593">
      <w:bodyDiv w:val="1"/>
      <w:marLeft w:val="0"/>
      <w:marRight w:val="0"/>
      <w:marTop w:val="0"/>
      <w:marBottom w:val="0"/>
      <w:divBdr>
        <w:top w:val="none" w:sz="0" w:space="0" w:color="auto"/>
        <w:left w:val="none" w:sz="0" w:space="0" w:color="auto"/>
        <w:bottom w:val="none" w:sz="0" w:space="0" w:color="auto"/>
        <w:right w:val="none" w:sz="0" w:space="0" w:color="auto"/>
      </w:divBdr>
    </w:div>
    <w:div w:id="2093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terfootprint.org/en/" TargetMode="External"/><Relationship Id="rId117" Type="http://schemas.openxmlformats.org/officeDocument/2006/relationships/hyperlink" Target="https://commodityfootprints.earth/" TargetMode="External"/><Relationship Id="rId21" Type="http://schemas.openxmlformats.org/officeDocument/2006/relationships/hyperlink" Target="https://doi.org/10.1016/j.jclepro.2018.08.267" TargetMode="External"/><Relationship Id="rId42" Type="http://schemas.openxmlformats.org/officeDocument/2006/relationships/hyperlink" Target="https://hub.jncc.gov.uk/assets/91efc19d-f675-426f-9333-ed0195cc729d" TargetMode="External"/><Relationship Id="rId47" Type="http://schemas.openxmlformats.org/officeDocument/2006/relationships/hyperlink" Target="http://datazone.birdlife.org/species/requestdis" TargetMode="External"/><Relationship Id="rId63" Type="http://schemas.openxmlformats.org/officeDocument/2006/relationships/hyperlink" Target="mailto:info@commodityfootprints.earth" TargetMode="External"/><Relationship Id="rId68" Type="http://schemas.openxmlformats.org/officeDocument/2006/relationships/hyperlink" Target="https://www.commodityfootprints.earth/" TargetMode="External"/><Relationship Id="rId84" Type="http://schemas.openxmlformats.org/officeDocument/2006/relationships/hyperlink" Target="https://tradehub.earth/" TargetMode="External"/><Relationship Id="rId89" Type="http://schemas.openxmlformats.org/officeDocument/2006/relationships/hyperlink" Target="https://www.sei.org/centres/york/" TargetMode="External"/><Relationship Id="rId112" Type="http://schemas.openxmlformats.org/officeDocument/2006/relationships/hyperlink" Target="https://onlinelibrary.wiley.com/doi/full/10.1111/jiec.12715" TargetMode="External"/><Relationship Id="rId16" Type="http://schemas.openxmlformats.org/officeDocument/2006/relationships/hyperlink" Target="https://jncc.gov.uk/our-work/ukbi-a4-global-biodiversity-impact/" TargetMode="External"/><Relationship Id="rId107" Type="http://schemas.openxmlformats.org/officeDocument/2006/relationships/hyperlink" Target="mailto:ukglobalimpacts@jncc.gov.uk" TargetMode="External"/><Relationship Id="rId11" Type="http://schemas.openxmlformats.org/officeDocument/2006/relationships/endnotes" Target="endnotes.xml"/><Relationship Id="rId32" Type="http://schemas.openxmlformats.org/officeDocument/2006/relationships/hyperlink" Target="https://jncc.gov.uk/" TargetMode="External"/><Relationship Id="rId37" Type="http://schemas.openxmlformats.org/officeDocument/2006/relationships/hyperlink" Target="https://www.commodityfootprints.earth/" TargetMode="External"/><Relationship Id="rId53" Type="http://schemas.openxmlformats.org/officeDocument/2006/relationships/hyperlink" Target="https://doi.org/10.1016/j.jclepro.2018.08.267" TargetMode="External"/><Relationship Id="rId58" Type="http://schemas.openxmlformats.org/officeDocument/2006/relationships/hyperlink" Target="https://commodityfootprints.earth/" TargetMode="External"/><Relationship Id="rId74" Type="http://schemas.openxmlformats.org/officeDocument/2006/relationships/hyperlink" Target="https://commodityfootprints.earth/" TargetMode="External"/><Relationship Id="rId79" Type="http://schemas.openxmlformats.org/officeDocument/2006/relationships/hyperlink" Target="https://www.trase.earth/" TargetMode="External"/><Relationship Id="rId102" Type="http://schemas.openxmlformats.org/officeDocument/2006/relationships/hyperlink" Target="https://commodityfootprints.earth/" TargetMode="External"/><Relationship Id="rId123" Type="http://schemas.openxmlformats.org/officeDocument/2006/relationships/hyperlink" Target="https://doi.org/10.5281/zenodo.4250532" TargetMode="External"/><Relationship Id="rId128"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s://jncc.gov.uk/" TargetMode="External"/><Relationship Id="rId95" Type="http://schemas.openxmlformats.org/officeDocument/2006/relationships/hyperlink" Target="https://fenixservices.fao.org/faostat/static/documents/QCL/QCL_methodology_e.pdf" TargetMode="External"/><Relationship Id="rId19" Type="http://schemas.openxmlformats.org/officeDocument/2006/relationships/hyperlink" Target="https://www.exiobase.eu/" TargetMode="External"/><Relationship Id="rId14" Type="http://schemas.openxmlformats.org/officeDocument/2006/relationships/hyperlink" Target="https://commodityfootprints.earth/" TargetMode="External"/><Relationship Id="rId22" Type="http://schemas.openxmlformats.org/officeDocument/2006/relationships/hyperlink" Target="https://www.sciencedirect.com/science/article/abs/pii/S0959378016300346" TargetMode="External"/><Relationship Id="rId27" Type="http://schemas.openxmlformats.org/officeDocument/2006/relationships/hyperlink" Target="https://link.springer.com/article/10.1007/s11367-017-1333-8" TargetMode="External"/><Relationship Id="rId30" Type="http://schemas.openxmlformats.org/officeDocument/2006/relationships/hyperlink" Target="https://www.gtap.agecon.purdue.edu/" TargetMode="External"/><Relationship Id="rId35" Type="http://schemas.openxmlformats.org/officeDocument/2006/relationships/hyperlink" Target="https://trase.earth/" TargetMode="External"/><Relationship Id="rId43" Type="http://schemas.openxmlformats.org/officeDocument/2006/relationships/hyperlink" Target="https://www.exiobase.eu/" TargetMode="External"/><Relationship Id="rId48" Type="http://schemas.openxmlformats.org/officeDocument/2006/relationships/hyperlink" Target="https://www.iucnredlist.org/" TargetMode="External"/><Relationship Id="rId56" Type="http://schemas.openxmlformats.org/officeDocument/2006/relationships/hyperlink" Target="https://www.iucnredlist.org/" TargetMode="External"/><Relationship Id="rId64" Type="http://schemas.openxmlformats.org/officeDocument/2006/relationships/hyperlink" Target="https://hub.jncc.gov.uk/assets/91efc19d-f675-426f-9333-ed0195cc729d" TargetMode="External"/><Relationship Id="rId69" Type="http://schemas.openxmlformats.org/officeDocument/2006/relationships/hyperlink" Target="https://www.commodityfootprints.earth/" TargetMode="External"/><Relationship Id="rId77" Type="http://schemas.openxmlformats.org/officeDocument/2006/relationships/hyperlink" Target="https://www.gov.uk/government/organisations/department-for-environment-food-rural-affairs" TargetMode="External"/><Relationship Id="rId100" Type="http://schemas.openxmlformats.org/officeDocument/2006/relationships/hyperlink" Target="https://commodityfootprints.earth/" TargetMode="External"/><Relationship Id="rId105" Type="http://schemas.openxmlformats.org/officeDocument/2006/relationships/hyperlink" Target="mailto:ukglobalimpacts@jncc.gov.uk" TargetMode="External"/><Relationship Id="rId113" Type="http://schemas.openxmlformats.org/officeDocument/2006/relationships/hyperlink" Target="https://www.fao.org/faostat/en/" TargetMode="External"/><Relationship Id="rId118" Type="http://schemas.openxmlformats.org/officeDocument/2006/relationships/hyperlink" Target="https://hub.jncc.gov.uk/assets/91efc19d-f675-426f-9333-ed0195cc729d" TargetMode="External"/><Relationship Id="rId12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exiobase.eu/" TargetMode="External"/><Relationship Id="rId72" Type="http://schemas.openxmlformats.org/officeDocument/2006/relationships/hyperlink" Target="https://commodityfootprints.earth/" TargetMode="External"/><Relationship Id="rId80" Type="http://schemas.openxmlformats.org/officeDocument/2006/relationships/hyperlink" Target="https://commodityfootprints.earth/" TargetMode="External"/><Relationship Id="rId85" Type="http://schemas.openxmlformats.org/officeDocument/2006/relationships/hyperlink" Target="https://www.trase.earth/" TargetMode="External"/><Relationship Id="rId93" Type="http://schemas.openxmlformats.org/officeDocument/2006/relationships/hyperlink" Target="https://fenixservices.fao.org/faostat/static/documents/TM/TM_e.pdf" TargetMode="External"/><Relationship Id="rId98" Type="http://schemas.openxmlformats.org/officeDocument/2006/relationships/hyperlink" Target="https://commodityfootprints.earth/" TargetMode="External"/><Relationship Id="rId121" Type="http://schemas.openxmlformats.org/officeDocument/2006/relationships/hyperlink" Target="https://onlinelibrary.wiley.com/doi/full/10.1111/jiec.12715" TargetMode="External"/><Relationship Id="rId3" Type="http://schemas.openxmlformats.org/officeDocument/2006/relationships/customXml" Target="../customXml/item3.xml"/><Relationship Id="rId12" Type="http://schemas.openxmlformats.org/officeDocument/2006/relationships/hyperlink" Target="https://jncc.gov.uk/" TargetMode="External"/><Relationship Id="rId17" Type="http://schemas.openxmlformats.org/officeDocument/2006/relationships/hyperlink" Target="https://www.commodityfootprints.earth/" TargetMode="External"/><Relationship Id="rId25" Type="http://schemas.openxmlformats.org/officeDocument/2006/relationships/hyperlink" Target="https://www.iucnredlist.org/" TargetMode="External"/><Relationship Id="rId33" Type="http://schemas.openxmlformats.org/officeDocument/2006/relationships/hyperlink" Target="https://www.gov.uk/government/organisations/department-for-environment-food-rural-affairs" TargetMode="External"/><Relationship Id="rId38" Type="http://schemas.openxmlformats.org/officeDocument/2006/relationships/hyperlink" Target="https://commodityfootprints.earth/" TargetMode="External"/><Relationship Id="rId46" Type="http://schemas.openxmlformats.org/officeDocument/2006/relationships/hyperlink" Target="https://www.mapspam.info/" TargetMode="External"/><Relationship Id="rId59" Type="http://schemas.openxmlformats.org/officeDocument/2006/relationships/hyperlink" Target="https://jncc.gov.uk/our-work/ukbi-a4-global-biodiversity-impact/" TargetMode="External"/><Relationship Id="rId67" Type="http://schemas.openxmlformats.org/officeDocument/2006/relationships/hyperlink" Target="https://commodityfootprints.earth/" TargetMode="External"/><Relationship Id="rId103" Type="http://schemas.openxmlformats.org/officeDocument/2006/relationships/hyperlink" Target="https://commodityfootprints.earth/" TargetMode="External"/><Relationship Id="rId108" Type="http://schemas.openxmlformats.org/officeDocument/2006/relationships/hyperlink" Target="https://commodityfootprints.earth/" TargetMode="External"/><Relationship Id="rId116" Type="http://schemas.openxmlformats.org/officeDocument/2006/relationships/hyperlink" Target="https://link.springer.com/article/10.1007/s11367-017-1333-8" TargetMode="External"/><Relationship Id="rId124" Type="http://schemas.openxmlformats.org/officeDocument/2006/relationships/hyperlink" Target="https://www.sciencedirect.com/science/article/abs/pii/S0959378016300346" TargetMode="External"/><Relationship Id="rId129" Type="http://schemas.openxmlformats.org/officeDocument/2006/relationships/theme" Target="theme/theme1.xml"/><Relationship Id="rId20" Type="http://schemas.openxmlformats.org/officeDocument/2006/relationships/hyperlink" Target="https://www.fao.org/faostat/en/" TargetMode="External"/><Relationship Id="rId41" Type="http://schemas.openxmlformats.org/officeDocument/2006/relationships/hyperlink" Target="https://hub.jncc.gov.uk/assets/91efc19d-f675-426f-9333-ed0195cc729d" TargetMode="External"/><Relationship Id="rId54" Type="http://schemas.openxmlformats.org/officeDocument/2006/relationships/hyperlink" Target="https://www.mapspam.info/" TargetMode="External"/><Relationship Id="rId62" Type="http://schemas.openxmlformats.org/officeDocument/2006/relationships/hyperlink" Target="https://jncc.gov.uk/our-work/ukbi-a4-global-biodiversity-impact/" TargetMode="External"/><Relationship Id="rId70" Type="http://schemas.openxmlformats.org/officeDocument/2006/relationships/hyperlink" Target="https://commodityfootprints.earth/" TargetMode="External"/><Relationship Id="rId75" Type="http://schemas.openxmlformats.org/officeDocument/2006/relationships/hyperlink" Target="https://www.sei.org/centres/york/" TargetMode="External"/><Relationship Id="rId83" Type="http://schemas.openxmlformats.org/officeDocument/2006/relationships/hyperlink" Target="https://www.gov.uk/government/organisations/department-for-environment-food-rural-affairs" TargetMode="External"/><Relationship Id="rId88" Type="http://schemas.openxmlformats.org/officeDocument/2006/relationships/hyperlink" Target="https://commodityfootprints.earth/" TargetMode="External"/><Relationship Id="rId91" Type="http://schemas.openxmlformats.org/officeDocument/2006/relationships/hyperlink" Target="https://commodityfootprints.earth/" TargetMode="External"/><Relationship Id="rId96" Type="http://schemas.openxmlformats.org/officeDocument/2006/relationships/hyperlink" Target="https://fenixservices.fao.org/faostat/static/documents/TM/TM_e.pdf" TargetMode="External"/><Relationship Id="rId111" Type="http://schemas.openxmlformats.org/officeDocument/2006/relationships/hyperlink" Target="https://www.exiobase.e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hub.jncc.gov.uk/assets/91efc19d-f675-426f-9333-ed0195cc729d" TargetMode="External"/><Relationship Id="rId23" Type="http://schemas.openxmlformats.org/officeDocument/2006/relationships/hyperlink" Target="https://www.mapspam.info/" TargetMode="External"/><Relationship Id="rId28" Type="http://schemas.openxmlformats.org/officeDocument/2006/relationships/hyperlink" Target="https://doi.org/10.5281/zenodo.4250532" TargetMode="External"/><Relationship Id="rId36" Type="http://schemas.openxmlformats.org/officeDocument/2006/relationships/hyperlink" Target="https://www.commodityfootprints.earth/" TargetMode="External"/><Relationship Id="rId49" Type="http://schemas.openxmlformats.org/officeDocument/2006/relationships/hyperlink" Target="https://waterfootprint.org/en/" TargetMode="External"/><Relationship Id="rId57" Type="http://schemas.openxmlformats.org/officeDocument/2006/relationships/hyperlink" Target="https://waterfootprint.org/en/" TargetMode="External"/><Relationship Id="rId106" Type="http://schemas.openxmlformats.org/officeDocument/2006/relationships/hyperlink" Target="mailto:info@commodityfootprints.earth" TargetMode="External"/><Relationship Id="rId114" Type="http://schemas.openxmlformats.org/officeDocument/2006/relationships/hyperlink" Target="https://doi.org/10.5281/zenodo.4250532" TargetMode="External"/><Relationship Id="rId119" Type="http://schemas.openxmlformats.org/officeDocument/2006/relationships/hyperlink" Target="https://doi.org/10.1016/j.jclepro.2018.08.267" TargetMode="External"/><Relationship Id="rId12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sei.org/centres/york/" TargetMode="External"/><Relationship Id="rId44" Type="http://schemas.openxmlformats.org/officeDocument/2006/relationships/hyperlink" Target="https://www.fao.org/faostat/en/" TargetMode="External"/><Relationship Id="rId52" Type="http://schemas.openxmlformats.org/officeDocument/2006/relationships/hyperlink" Target="https://www.fao.org/faostat/en/" TargetMode="External"/><Relationship Id="rId60" Type="http://schemas.openxmlformats.org/officeDocument/2006/relationships/hyperlink" Target="mailto:info@commodityfootprints.earth" TargetMode="External"/><Relationship Id="rId65" Type="http://schemas.openxmlformats.org/officeDocument/2006/relationships/hyperlink" Target="https://commodityfootprints.earth/" TargetMode="External"/><Relationship Id="rId73" Type="http://schemas.openxmlformats.org/officeDocument/2006/relationships/hyperlink" Target="https://www.gtap.agecon.purdue.edu/databases/regions.aspx?version=9.211" TargetMode="External"/><Relationship Id="rId78" Type="http://schemas.openxmlformats.org/officeDocument/2006/relationships/hyperlink" Target="https://tradehub.earth/" TargetMode="External"/><Relationship Id="rId81" Type="http://schemas.openxmlformats.org/officeDocument/2006/relationships/hyperlink" Target="https://www.sei.org/centres/york/" TargetMode="External"/><Relationship Id="rId86" Type="http://schemas.openxmlformats.org/officeDocument/2006/relationships/hyperlink" Target="https://www.sei.org/centres/york/" TargetMode="External"/><Relationship Id="rId94" Type="http://schemas.openxmlformats.org/officeDocument/2006/relationships/hyperlink" Target="https://onlinelibrary.wiley.com/doi/10.1111/jiec.12715" TargetMode="External"/><Relationship Id="rId99" Type="http://schemas.openxmlformats.org/officeDocument/2006/relationships/hyperlink" Target="https://jncc.gov.uk/our-work/ukbi-a4-global-biodiversity-impact/" TargetMode="External"/><Relationship Id="rId101" Type="http://schemas.openxmlformats.org/officeDocument/2006/relationships/hyperlink" Target="https://jncc.gov.uk/our-work/ukbi-a4-global-biodiversity-impact/" TargetMode="External"/><Relationship Id="rId122" Type="http://schemas.openxmlformats.org/officeDocument/2006/relationships/hyperlink" Target="https://www.fao.org/faostat/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sei.org/centres/york/" TargetMode="External"/><Relationship Id="rId18" Type="http://schemas.openxmlformats.org/officeDocument/2006/relationships/hyperlink" Target="https://hub.jncc.gov.uk/assets/91efc19d-f675-426f-9333-ed0195cc729d" TargetMode="External"/><Relationship Id="rId39" Type="http://schemas.openxmlformats.org/officeDocument/2006/relationships/hyperlink" Target="https://hub.jncc.gov.uk/assets/91efc19d-f675-426f-9333-ed0195cc729d" TargetMode="External"/><Relationship Id="rId109" Type="http://schemas.openxmlformats.org/officeDocument/2006/relationships/hyperlink" Target="https://hub.jncc.gov.uk/assets/91efc19d-f675-426f-9333-ed0195cc729d" TargetMode="External"/><Relationship Id="rId34" Type="http://schemas.openxmlformats.org/officeDocument/2006/relationships/hyperlink" Target="https://tradehub.earth/" TargetMode="External"/><Relationship Id="rId50" Type="http://schemas.openxmlformats.org/officeDocument/2006/relationships/hyperlink" Target="https://hub.jncc.gov.uk/assets/91efc19d-f675-426f-9333-ed0195cc729d" TargetMode="External"/><Relationship Id="rId55" Type="http://schemas.openxmlformats.org/officeDocument/2006/relationships/hyperlink" Target="http://datazone.birdlife.org/species/requestdis" TargetMode="External"/><Relationship Id="rId76" Type="http://schemas.openxmlformats.org/officeDocument/2006/relationships/hyperlink" Target="https://jncc.gov.uk/" TargetMode="External"/><Relationship Id="rId97" Type="http://schemas.openxmlformats.org/officeDocument/2006/relationships/hyperlink" Target="https://onlinelibrary.wiley.com/doi/10.1111/jiec.12715" TargetMode="External"/><Relationship Id="rId104" Type="http://schemas.openxmlformats.org/officeDocument/2006/relationships/hyperlink" Target="mailto:info@commodityfootprints.earth" TargetMode="External"/><Relationship Id="rId120" Type="http://schemas.openxmlformats.org/officeDocument/2006/relationships/hyperlink" Target="https://www.exiobase.eu/" TargetMode="External"/><Relationship Id="rId125" Type="http://schemas.openxmlformats.org/officeDocument/2006/relationships/hyperlink" Target="https://link.springer.com/article/10.1007/s11367-017-1333-8" TargetMode="External"/><Relationship Id="rId7" Type="http://schemas.openxmlformats.org/officeDocument/2006/relationships/styles" Target="styles.xml"/><Relationship Id="rId71" Type="http://schemas.openxmlformats.org/officeDocument/2006/relationships/hyperlink" Target="https://www.gtap.agecon.purdue.edu/databases/regions.aspx?version=9.211" TargetMode="External"/><Relationship Id="rId92" Type="http://schemas.openxmlformats.org/officeDocument/2006/relationships/hyperlink" Target="https://fenixservices.fao.org/faostat/static/documents/QCL/QCL_methodology_e.pdf" TargetMode="External"/><Relationship Id="rId2" Type="http://schemas.openxmlformats.org/officeDocument/2006/relationships/customXml" Target="../customXml/item2.xml"/><Relationship Id="rId29" Type="http://schemas.openxmlformats.org/officeDocument/2006/relationships/hyperlink" Target="https://hub.jncc.gov.uk/assets/91efc19d-f675-426f-9333-ed0195cc729d" TargetMode="External"/><Relationship Id="rId24" Type="http://schemas.openxmlformats.org/officeDocument/2006/relationships/hyperlink" Target="http://datazone.birdlife.org/species/requestdis" TargetMode="External"/><Relationship Id="rId40" Type="http://schemas.openxmlformats.org/officeDocument/2006/relationships/hyperlink" Target="https://commodityfootprints.earth/" TargetMode="External"/><Relationship Id="rId45" Type="http://schemas.openxmlformats.org/officeDocument/2006/relationships/hyperlink" Target="https://doi.org/10.1016/j.jclepro.2018.08.267" TargetMode="External"/><Relationship Id="rId66" Type="http://schemas.openxmlformats.org/officeDocument/2006/relationships/hyperlink" Target="https://hub.jncc.gov.uk/assets/91efc19d-f675-426f-9333-ed0195cc729d" TargetMode="External"/><Relationship Id="rId87" Type="http://schemas.openxmlformats.org/officeDocument/2006/relationships/hyperlink" Target="https://jncc.gov.uk/" TargetMode="External"/><Relationship Id="rId110" Type="http://schemas.openxmlformats.org/officeDocument/2006/relationships/hyperlink" Target="https://doi.org/10.1016/j.jclepro.2018.08.267" TargetMode="External"/><Relationship Id="rId115" Type="http://schemas.openxmlformats.org/officeDocument/2006/relationships/hyperlink" Target="https://www.sciencedirect.com/science/article/abs/pii/S0959378016300346" TargetMode="External"/><Relationship Id="rId61" Type="http://schemas.openxmlformats.org/officeDocument/2006/relationships/hyperlink" Target="https://commodityfootprints.earth/" TargetMode="External"/><Relationship Id="rId82" Type="http://schemas.openxmlformats.org/officeDocument/2006/relationships/hyperlink" Target="https://jncc.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3190/c3f4/1d9fe2d2dedc8c8b97023750/id-om-2022-01-02-en.pdf" TargetMode="External"/><Relationship Id="rId1" Type="http://schemas.openxmlformats.org/officeDocument/2006/relationships/hyperlink" Target="https://www.cbd.int/doc/c/abb5/591f/2e46096d3f0330b08ce87a45/wg2020-03-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99C668ACA4FF6BBE6E003BF2362C9"/>
        <w:category>
          <w:name w:val="General"/>
          <w:gallery w:val="placeholder"/>
        </w:category>
        <w:types>
          <w:type w:val="bbPlcHdr"/>
        </w:types>
        <w:behaviors>
          <w:behavior w:val="content"/>
        </w:behaviors>
        <w:guid w:val="{E2C23442-A995-4307-8FE6-FD069B3B168B}"/>
      </w:docPartPr>
      <w:docPartBody>
        <w:p w:rsidR="00212EFF" w:rsidRDefault="00D71174" w:rsidP="00D71174">
          <w:pPr>
            <w:pStyle w:val="E6E99C668ACA4FF6BBE6E003BF2362C9"/>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74"/>
    <w:rsid w:val="00212EFF"/>
    <w:rsid w:val="003013EE"/>
    <w:rsid w:val="00302E53"/>
    <w:rsid w:val="00344CB7"/>
    <w:rsid w:val="003F3614"/>
    <w:rsid w:val="00504AED"/>
    <w:rsid w:val="0063218E"/>
    <w:rsid w:val="007770E3"/>
    <w:rsid w:val="007B7AA7"/>
    <w:rsid w:val="008D6B8D"/>
    <w:rsid w:val="00D71174"/>
    <w:rsid w:val="00E7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1174"/>
    <w:rPr>
      <w:color w:val="808080"/>
    </w:rPr>
  </w:style>
  <w:style w:type="paragraph" w:customStyle="1" w:styleId="E8B42D26D87B4268A3693B141DBC809A">
    <w:name w:val="E8B42D26D87B4268A3693B141DBC809A"/>
    <w:rsid w:val="00D71174"/>
  </w:style>
  <w:style w:type="paragraph" w:customStyle="1" w:styleId="451269159004488E93F395D4816F7604">
    <w:name w:val="451269159004488E93F395D4816F7604"/>
    <w:rsid w:val="00D71174"/>
  </w:style>
  <w:style w:type="paragraph" w:customStyle="1" w:styleId="9B6C78EDFB1246E29AB2794BEE6A0338">
    <w:name w:val="9B6C78EDFB1246E29AB2794BEE6A0338"/>
    <w:rsid w:val="00D71174"/>
  </w:style>
  <w:style w:type="paragraph" w:customStyle="1" w:styleId="E6E99C668ACA4FF6BBE6E003BF2362C9">
    <w:name w:val="E6E99C668ACA4FF6BBE6E003BF2362C9"/>
    <w:rsid w:val="00D71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5F6D83F79E1C42A46833C9A41AE96C" ma:contentTypeVersion="10" ma:contentTypeDescription="Create a new document." ma:contentTypeScope="" ma:versionID="1e74eddcafe2a5983198e32929b1f2ab">
  <xsd:schema xmlns:xsd="http://www.w3.org/2001/XMLSchema" xmlns:xs="http://www.w3.org/2001/XMLSchema" xmlns:p="http://schemas.microsoft.com/office/2006/metadata/properties" xmlns:ns2="dcc8638b-1a21-4f08-8fb0-dc58d23f27ce" xmlns:ns3="d030e599-0ef0-4e89-a7f7-2e76f85e7524" targetNamespace="http://schemas.microsoft.com/office/2006/metadata/properties" ma:root="true" ma:fieldsID="c4a0ce1f2e52c216ef1b3722cc483bd3" ns2:_="" ns3:_="">
    <xsd:import namespace="dcc8638b-1a21-4f08-8fb0-dc58d23f27ce"/>
    <xsd:import namespace="d030e599-0ef0-4e89-a7f7-2e76f85e75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638b-1a21-4f08-8fb0-dc58d23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fd9987-77c1-42d4-96fd-cb06ac9ae6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0e599-0ef0-4e89-a7f7-2e76f85e75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3737-5c44-4973-91be-ea012a438a33}" ma:internalName="TaxCatchAll" ma:showField="CatchAllData" ma:web="d030e599-0ef0-4e89-a7f7-2e76f85e7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8638b-1a21-4f08-8fb0-dc58d23f27ce">
      <Terms xmlns="http://schemas.microsoft.com/office/infopath/2007/PartnerControls"/>
    </lcf76f155ced4ddcb4097134ff3c332f>
    <TaxCatchAll xmlns="d030e599-0ef0-4e89-a7f7-2e76f85e7524" xsi:nil="true"/>
  </documentManagement>
</p:properties>
</file>

<file path=customXml/item4.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5.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A668322-BEFB-4029-8DC0-2EA7010CA454}">
  <ds:schemaRefs>
    <ds:schemaRef ds:uri="http://schemas.microsoft.com/sharepoint/v3/contenttype/forms"/>
  </ds:schemaRefs>
</ds:datastoreItem>
</file>

<file path=customXml/itemProps2.xml><?xml version="1.0" encoding="utf-8"?>
<ds:datastoreItem xmlns:ds="http://schemas.openxmlformats.org/officeDocument/2006/customXml" ds:itemID="{CBB9C2AB-0E71-48B9-8F0A-D43BBD96B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638b-1a21-4f08-8fb0-dc58d23f27ce"/>
    <ds:schemaRef ds:uri="d030e599-0ef0-4e89-a7f7-2e76f85e7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5E299-2DD0-4217-B1A1-8017CDB3AD2F}">
  <ds:schemaRefs>
    <ds:schemaRef ds:uri="http://schemas.microsoft.com/office/2006/metadata/properties"/>
    <ds:schemaRef ds:uri="http://schemas.microsoft.com/office/infopath/2007/PartnerControls"/>
    <ds:schemaRef ds:uri="dcc8638b-1a21-4f08-8fb0-dc58d23f27ce"/>
    <ds:schemaRef ds:uri="d030e599-0ef0-4e89-a7f7-2e76f85e7524"/>
  </ds:schemaRefs>
</ds:datastoreItem>
</file>

<file path=customXml/itemProps4.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customXml/itemProps5.xml><?xml version="1.0" encoding="utf-8"?>
<ds:datastoreItem xmlns:ds="http://schemas.openxmlformats.org/officeDocument/2006/customXml" ds:itemID="{CC92DA5D-9ABF-4EEF-A0FF-111F3C06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2481</Words>
  <Characters>14145</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Measuring the GLOBAL Environmental Impacts of Consumption: AN Indicator of the Biodiversity Loss, Scarcity Weighted Water Use AND DEFORESTATION Associated with the Consumption of Crop Commodities</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the GLOBAL Environmental Impacts of Consumption: AN Indicator of the Biodiversity Loss, Scarcity Weighted Water Use AND DEFORESTATION Associated with the Consumption of Crop Commodities</dc:title>
  <dc:subject>CBD/COP/15/INF/xx</dc:subject>
  <dc:creator>Maddie Harris</dc:creator>
  <cp:keywords>Word standard template</cp:keywords>
  <dc:description/>
  <cp:lastModifiedBy>Anonymous </cp:lastModifiedBy>
  <cp:revision>2</cp:revision>
  <dcterms:created xsi:type="dcterms:W3CDTF">2022-11-01T14:25:00Z</dcterms:created>
  <dcterms:modified xsi:type="dcterms:W3CDTF">2022-11-01T14:25:00Z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0x010100715F6D83F79E1C42A46833C9A41AE96C</vt:lpwstr>
  </property>
  <property fmtid="{D5CDD505-2E9C-101B-9397-08002B2CF9AE}" pid="3" name="MediaServiceImageTags">
    <vt:lpwstr/>
  </property>
</Properties>
</file>