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0B21" w14:textId="12DD48FA" w:rsidR="00C61D80" w:rsidRPr="00F369F4" w:rsidRDefault="0067261A" w:rsidP="002816D9">
      <w:pPr>
        <w:jc w:val="both"/>
        <w:rPr>
          <w:i/>
          <w:iCs/>
          <w:color w:val="7F7F7F" w:themeColor="text1" w:themeTint="80"/>
          <w:sz w:val="24"/>
        </w:rPr>
      </w:pPr>
      <w:r w:rsidRPr="00F369F4">
        <w:rPr>
          <w:b/>
          <w:bCs/>
          <w:sz w:val="24"/>
        </w:rPr>
        <w:t>Accounting for Inland Water ecosystems and Biodiversity in the Kunming-Montreal GBF Monitoring Framework</w:t>
      </w:r>
      <w:r w:rsidR="00897B15" w:rsidRPr="00F369F4">
        <w:rPr>
          <w:b/>
          <w:bCs/>
          <w:sz w:val="24"/>
        </w:rPr>
        <w:t xml:space="preserve"> | </w:t>
      </w:r>
      <w:r w:rsidR="00C61D80" w:rsidRPr="00FF2553">
        <w:rPr>
          <w:color w:val="1F3864" w:themeColor="accent1" w:themeShade="80"/>
          <w:sz w:val="24"/>
        </w:rPr>
        <w:t xml:space="preserve">A set of </w:t>
      </w:r>
      <w:r w:rsidR="00FF2553" w:rsidRPr="00FF2553">
        <w:rPr>
          <w:color w:val="1F3864" w:themeColor="accent1" w:themeShade="80"/>
          <w:sz w:val="24"/>
        </w:rPr>
        <w:t xml:space="preserve">resources and </w:t>
      </w:r>
      <w:r w:rsidR="00C61D80" w:rsidRPr="00FF2553">
        <w:rPr>
          <w:color w:val="1F3864" w:themeColor="accent1" w:themeShade="80"/>
          <w:sz w:val="24"/>
        </w:rPr>
        <w:t>preliminary recommendations for the Ad-Hoc Technical Expert Group to support</w:t>
      </w:r>
      <w:r w:rsidR="00EE0BCB" w:rsidRPr="00FF2553">
        <w:rPr>
          <w:color w:val="1F3864" w:themeColor="accent1" w:themeShade="80"/>
          <w:sz w:val="24"/>
        </w:rPr>
        <w:t xml:space="preserve"> the</w:t>
      </w:r>
      <w:r w:rsidR="00C61D80" w:rsidRPr="00FF2553">
        <w:rPr>
          <w:color w:val="1F3864" w:themeColor="accent1" w:themeShade="80"/>
          <w:sz w:val="24"/>
        </w:rPr>
        <w:t xml:space="preserve"> July 11</w:t>
      </w:r>
      <w:r w:rsidR="00C61D80" w:rsidRPr="00FF2553">
        <w:rPr>
          <w:color w:val="1F3864" w:themeColor="accent1" w:themeShade="80"/>
          <w:sz w:val="24"/>
          <w:vertAlign w:val="superscript"/>
        </w:rPr>
        <w:t>th</w:t>
      </w:r>
      <w:r w:rsidR="00C61D80" w:rsidRPr="00FF2553">
        <w:rPr>
          <w:color w:val="1F3864" w:themeColor="accent1" w:themeShade="80"/>
          <w:sz w:val="24"/>
        </w:rPr>
        <w:t xml:space="preserve"> 2023 Meeting</w:t>
      </w:r>
      <w:r w:rsidR="00AF1341" w:rsidRPr="00FF2553">
        <w:rPr>
          <w:i/>
          <w:iCs/>
          <w:color w:val="1F3864" w:themeColor="accent1" w:themeShade="80"/>
          <w:sz w:val="24"/>
        </w:rPr>
        <w:t xml:space="preserve"> </w:t>
      </w:r>
    </w:p>
    <w:p w14:paraId="348CE474" w14:textId="18C56877" w:rsidR="00897B15" w:rsidRPr="00F369F4" w:rsidRDefault="00897B15" w:rsidP="00897B15">
      <w:pPr>
        <w:rPr>
          <w:i/>
          <w:iCs/>
        </w:rPr>
      </w:pPr>
      <w:r w:rsidRPr="00F369F4">
        <w:rPr>
          <w:i/>
          <w:iCs/>
        </w:rPr>
        <w:t xml:space="preserve">Key points; </w:t>
      </w:r>
    </w:p>
    <w:p w14:paraId="1C2512D4" w14:textId="77777777" w:rsidR="00897B15" w:rsidRPr="00F369F4" w:rsidRDefault="00897B15" w:rsidP="00897B15">
      <w:pPr>
        <w:pStyle w:val="ListParagraph"/>
        <w:numPr>
          <w:ilvl w:val="0"/>
          <w:numId w:val="7"/>
        </w:numPr>
        <w:rPr>
          <w:i/>
          <w:iCs/>
        </w:rPr>
      </w:pPr>
      <w:r w:rsidRPr="00F369F4">
        <w:rPr>
          <w:i/>
          <w:iCs/>
        </w:rPr>
        <w:t xml:space="preserve">Inland waters cover a small fraction of the planet, and their status and dependent biodiversity is among the most threatened. </w:t>
      </w:r>
    </w:p>
    <w:p w14:paraId="55501CF1" w14:textId="5FD003AE" w:rsidR="00897B15" w:rsidRPr="00F369F4" w:rsidRDefault="00897B15" w:rsidP="00897B15">
      <w:pPr>
        <w:pStyle w:val="ListParagraph"/>
        <w:numPr>
          <w:ilvl w:val="0"/>
          <w:numId w:val="7"/>
        </w:numPr>
        <w:rPr>
          <w:i/>
          <w:iCs/>
        </w:rPr>
      </w:pPr>
      <w:r w:rsidRPr="00F369F4">
        <w:rPr>
          <w:i/>
          <w:iCs/>
        </w:rPr>
        <w:t xml:space="preserve">Several recent publications by UN Water, Ramsar, GEOBON, IUCN and others </w:t>
      </w:r>
      <w:r w:rsidR="00143C44" w:rsidRPr="00F369F4">
        <w:rPr>
          <w:i/>
          <w:iCs/>
        </w:rPr>
        <w:t>document</w:t>
      </w:r>
      <w:r w:rsidRPr="00F369F4">
        <w:rPr>
          <w:i/>
          <w:iCs/>
        </w:rPr>
        <w:t xml:space="preserve"> that meeting the GBF 2030 vision </w:t>
      </w:r>
      <w:r w:rsidR="00143C44" w:rsidRPr="00F369F4">
        <w:rPr>
          <w:i/>
          <w:iCs/>
        </w:rPr>
        <w:t xml:space="preserve">and goals </w:t>
      </w:r>
      <w:r w:rsidRPr="00F369F4">
        <w:rPr>
          <w:i/>
          <w:iCs/>
        </w:rPr>
        <w:t>will require explicitly tracking progress for inland waters</w:t>
      </w:r>
      <w:r w:rsidR="00CB5E3B">
        <w:rPr>
          <w:i/>
          <w:iCs/>
        </w:rPr>
        <w:t xml:space="preserve"> in the area-based</w:t>
      </w:r>
      <w:r w:rsidR="003008B5">
        <w:rPr>
          <w:i/>
          <w:iCs/>
        </w:rPr>
        <w:t xml:space="preserve"> biodiversity</w:t>
      </w:r>
      <w:r w:rsidR="00CB5E3B">
        <w:rPr>
          <w:i/>
          <w:iCs/>
        </w:rPr>
        <w:t xml:space="preserve"> </w:t>
      </w:r>
      <w:r w:rsidR="003008B5">
        <w:rPr>
          <w:i/>
          <w:iCs/>
        </w:rPr>
        <w:t xml:space="preserve">(T1-3) </w:t>
      </w:r>
      <w:r w:rsidR="00CB5E3B">
        <w:rPr>
          <w:i/>
          <w:iCs/>
        </w:rPr>
        <w:t xml:space="preserve">and sustainable use </w:t>
      </w:r>
      <w:r w:rsidR="003008B5">
        <w:rPr>
          <w:i/>
          <w:iCs/>
        </w:rPr>
        <w:t xml:space="preserve">and benefits sharing </w:t>
      </w:r>
      <w:r w:rsidR="00CB5E3B">
        <w:rPr>
          <w:i/>
          <w:iCs/>
        </w:rPr>
        <w:t>targets, among others.</w:t>
      </w:r>
    </w:p>
    <w:p w14:paraId="7D731FCA" w14:textId="30D24FE5" w:rsidR="00897B15" w:rsidRPr="00F369F4" w:rsidRDefault="00FB24D3" w:rsidP="00897B15">
      <w:pPr>
        <w:pStyle w:val="ListParagraph"/>
        <w:numPr>
          <w:ilvl w:val="0"/>
          <w:numId w:val="7"/>
        </w:numPr>
        <w:rPr>
          <w:i/>
          <w:iCs/>
        </w:rPr>
      </w:pPr>
      <w:r>
        <w:rPr>
          <w:i/>
          <w:iCs/>
        </w:rPr>
        <w:t xml:space="preserve">Developing baselines and measuring progress is feasible. </w:t>
      </w:r>
      <w:r w:rsidR="00897B15" w:rsidRPr="00F369F4">
        <w:rPr>
          <w:i/>
          <w:iCs/>
        </w:rPr>
        <w:t xml:space="preserve">In the last decade, the types, availability, and processing capability of global inland water-related datasets have increased exponentially. Recommendations </w:t>
      </w:r>
      <w:r w:rsidR="00F369F4" w:rsidRPr="00F369F4">
        <w:rPr>
          <w:i/>
          <w:iCs/>
        </w:rPr>
        <w:t>and information for indicator metadata templates are included</w:t>
      </w:r>
      <w:r w:rsidR="00897B15" w:rsidRPr="00F369F4">
        <w:rPr>
          <w:i/>
          <w:iCs/>
        </w:rPr>
        <w:t xml:space="preserve">. </w:t>
      </w:r>
    </w:p>
    <w:p w14:paraId="44978B35" w14:textId="275591C1" w:rsidR="00897B15" w:rsidRPr="00F369F4" w:rsidRDefault="003008B5" w:rsidP="00897B15">
      <w:pPr>
        <w:pStyle w:val="ListParagraph"/>
        <w:numPr>
          <w:ilvl w:val="0"/>
          <w:numId w:val="7"/>
        </w:numPr>
        <w:rPr>
          <w:i/>
          <w:iCs/>
        </w:rPr>
      </w:pPr>
      <w:r>
        <w:rPr>
          <w:i/>
          <w:iCs/>
        </w:rPr>
        <w:t>C</w:t>
      </w:r>
      <w:r w:rsidR="00F369F4">
        <w:rPr>
          <w:i/>
          <w:iCs/>
        </w:rPr>
        <w:t xml:space="preserve">onsider assessing and ensuring representation of </w:t>
      </w:r>
      <w:r w:rsidR="00897B15" w:rsidRPr="00F369F4">
        <w:rPr>
          <w:i/>
          <w:iCs/>
        </w:rPr>
        <w:t xml:space="preserve">inland waters expertise in each </w:t>
      </w:r>
      <w:r w:rsidR="00F369F4">
        <w:rPr>
          <w:i/>
          <w:iCs/>
        </w:rPr>
        <w:t xml:space="preserve">relevant </w:t>
      </w:r>
      <w:r w:rsidR="00897B15" w:rsidRPr="00F369F4">
        <w:rPr>
          <w:i/>
          <w:iCs/>
        </w:rPr>
        <w:t>subgroup (</w:t>
      </w:r>
      <w:r w:rsidR="00F369F4">
        <w:rPr>
          <w:i/>
          <w:iCs/>
        </w:rPr>
        <w:t>direct or outside advisory support</w:t>
      </w:r>
      <w:r w:rsidR="00897B15" w:rsidRPr="00F369F4">
        <w:rPr>
          <w:i/>
          <w:iCs/>
        </w:rPr>
        <w:t>)</w:t>
      </w:r>
      <w:r w:rsidR="00EF6BCC" w:rsidRPr="00F369F4">
        <w:rPr>
          <w:i/>
          <w:iCs/>
        </w:rPr>
        <w:t xml:space="preserve"> </w:t>
      </w:r>
      <w:r w:rsidR="00F369F4">
        <w:rPr>
          <w:i/>
          <w:iCs/>
        </w:rPr>
        <w:t>in addition to</w:t>
      </w:r>
      <w:r w:rsidR="00EF6BCC" w:rsidRPr="00F369F4">
        <w:rPr>
          <w:i/>
          <w:iCs/>
        </w:rPr>
        <w:t xml:space="preserve"> MEA </w:t>
      </w:r>
      <w:r w:rsidR="00143C44" w:rsidRPr="00F369F4">
        <w:rPr>
          <w:i/>
          <w:iCs/>
        </w:rPr>
        <w:t xml:space="preserve">indicator </w:t>
      </w:r>
      <w:r w:rsidR="00EF6BCC" w:rsidRPr="00F369F4">
        <w:rPr>
          <w:i/>
          <w:iCs/>
        </w:rPr>
        <w:t>coordination.</w:t>
      </w:r>
    </w:p>
    <w:p w14:paraId="3B5FE256" w14:textId="5D81C9E6" w:rsidR="0067261A" w:rsidRPr="002816D9" w:rsidRDefault="0067261A" w:rsidP="002816D9">
      <w:pPr>
        <w:jc w:val="both"/>
        <w:rPr>
          <w:rFonts w:ascii="Calibri" w:hAnsi="Calibri" w:cs="Calibri"/>
        </w:rPr>
      </w:pPr>
      <w:r w:rsidRPr="002816D9">
        <w:rPr>
          <w:rFonts w:ascii="Calibri" w:hAnsi="Calibri" w:cs="Calibri"/>
        </w:rPr>
        <w:t>Dear esteemed member</w:t>
      </w:r>
      <w:r w:rsidR="00AA287E">
        <w:rPr>
          <w:rFonts w:ascii="Calibri" w:hAnsi="Calibri" w:cs="Calibri"/>
        </w:rPr>
        <w:t>s</w:t>
      </w:r>
      <w:r w:rsidRPr="002816D9">
        <w:rPr>
          <w:rFonts w:ascii="Calibri" w:hAnsi="Calibri" w:cs="Calibri"/>
        </w:rPr>
        <w:t xml:space="preserve"> of </w:t>
      </w:r>
      <w:r w:rsidR="00A7460E">
        <w:rPr>
          <w:rFonts w:ascii="Calibri" w:hAnsi="Calibri" w:cs="Calibri"/>
        </w:rPr>
        <w:t xml:space="preserve">CBD </w:t>
      </w:r>
      <w:r w:rsidRPr="002816D9">
        <w:rPr>
          <w:rFonts w:ascii="Calibri" w:hAnsi="Calibri" w:cs="Calibri"/>
        </w:rPr>
        <w:t xml:space="preserve">AHTEG, </w:t>
      </w:r>
    </w:p>
    <w:p w14:paraId="298C05C5" w14:textId="7CF7E4B3" w:rsidR="002816D9" w:rsidRDefault="00F369F4" w:rsidP="002816D9">
      <w:pPr>
        <w:jc w:val="both"/>
        <w:rPr>
          <w:rFonts w:ascii="Calibri" w:hAnsi="Calibri" w:cs="Calibri"/>
        </w:rPr>
      </w:pPr>
      <w:r w:rsidRPr="003D1345">
        <w:rPr>
          <w:rFonts w:ascii="DengXian" w:eastAsia="DengXian" w:hAnsi="DengXian" w:cstheme="minorHAnsi"/>
          <w:b/>
          <w:bCs/>
          <w:noProof/>
        </w:rPr>
        <w:drawing>
          <wp:anchor distT="0" distB="0" distL="114300" distR="114300" simplePos="0" relativeHeight="251661312" behindDoc="0" locked="0" layoutInCell="1" allowOverlap="1" wp14:anchorId="10FD913E" wp14:editId="73E2600C">
            <wp:simplePos x="0" y="0"/>
            <wp:positionH relativeFrom="margin">
              <wp:posOffset>2136775</wp:posOffset>
            </wp:positionH>
            <wp:positionV relativeFrom="paragraph">
              <wp:posOffset>1503680</wp:posOffset>
            </wp:positionV>
            <wp:extent cx="4072255" cy="2997835"/>
            <wp:effectExtent l="0" t="0" r="4445" b="0"/>
            <wp:wrapSquare wrapText="bothSides"/>
            <wp:docPr id="1" name="Picture 26" descr="Diagram&#10;&#10;Description automatically generated">
              <a:extLst xmlns:a="http://schemas.openxmlformats.org/drawingml/2006/main">
                <a:ext uri="{FF2B5EF4-FFF2-40B4-BE49-F238E27FC236}">
                  <a16:creationId xmlns:a16="http://schemas.microsoft.com/office/drawing/2014/main" id="{4F916479-37EB-7913-F182-4A61725F5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6" descr="Diagram&#10;&#10;Description automatically generated">
                      <a:extLst>
                        <a:ext uri="{FF2B5EF4-FFF2-40B4-BE49-F238E27FC236}">
                          <a16:creationId xmlns:a16="http://schemas.microsoft.com/office/drawing/2014/main" id="{4F916479-37EB-7913-F182-4A61725F52E2}"/>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07" r="7734" b="3037"/>
                    <a:stretch/>
                  </pic:blipFill>
                  <pic:spPr bwMode="auto">
                    <a:xfrm>
                      <a:off x="0" y="0"/>
                      <a:ext cx="4072255" cy="299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7C21">
        <w:rPr>
          <w:rFonts w:ascii="Calibri" w:hAnsi="Calibri" w:cs="Calibri"/>
          <w:noProof/>
        </w:rPr>
        <mc:AlternateContent>
          <mc:Choice Requires="wps">
            <w:drawing>
              <wp:anchor distT="45720" distB="45720" distL="114300" distR="114300" simplePos="0" relativeHeight="251663360" behindDoc="0" locked="0" layoutInCell="1" allowOverlap="1" wp14:anchorId="747921D5" wp14:editId="4D0D95A0">
                <wp:simplePos x="0" y="0"/>
                <wp:positionH relativeFrom="margin">
                  <wp:align>left</wp:align>
                </wp:positionH>
                <wp:positionV relativeFrom="paragraph">
                  <wp:posOffset>1588504</wp:posOffset>
                </wp:positionV>
                <wp:extent cx="2066290" cy="27641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764155"/>
                        </a:xfrm>
                        <a:prstGeom prst="rect">
                          <a:avLst/>
                        </a:prstGeom>
                        <a:solidFill>
                          <a:schemeClr val="accent4">
                            <a:lumMod val="60000"/>
                            <a:lumOff val="40000"/>
                          </a:schemeClr>
                        </a:solidFill>
                        <a:ln w="9525">
                          <a:noFill/>
                          <a:miter lim="800000"/>
                          <a:headEnd/>
                          <a:tailEnd/>
                        </a:ln>
                      </wps:spPr>
                      <wps:txbx>
                        <w:txbxContent>
                          <w:p w14:paraId="14F6616B" w14:textId="4DB65835" w:rsidR="00597C21" w:rsidRPr="006D0EA5" w:rsidRDefault="00597C21">
                            <w:pPr>
                              <w:rPr>
                                <w:b/>
                                <w:bCs/>
                              </w:rPr>
                            </w:pPr>
                            <w:r w:rsidRPr="006D0EA5">
                              <w:rPr>
                                <w:b/>
                                <w:bCs/>
                              </w:rPr>
                              <w:t>The 2030 mission of the Kunming-Montreal Global Biodiversity Framework</w:t>
                            </w:r>
                            <w:r w:rsidR="006D0EA5">
                              <w:rPr>
                                <w:b/>
                                <w:bCs/>
                              </w:rPr>
                              <w:t>:</w:t>
                            </w:r>
                          </w:p>
                          <w:p w14:paraId="32485A1B" w14:textId="16494C07" w:rsidR="00597C21" w:rsidRPr="00F369F4" w:rsidRDefault="00597C21">
                            <w:pPr>
                              <w:rPr>
                                <w:sz w:val="20"/>
                                <w:szCs w:val="20"/>
                              </w:rPr>
                            </w:pPr>
                            <w:r w:rsidRPr="00F369F4">
                              <w:rPr>
                                <w:sz w:val="20"/>
                                <w:szCs w:val="20"/>
                              </w:rPr>
                              <w:t>“To take urgent action to halt and reverse biodiversity loss to put nature on a path to recovery for the benefit of people and planet by conserving and sustainably using biodiversity and by ensuring the fair and equitable sharing of benefits from the use of genetic resources, while providing the necessary means of implementation”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747921D5" id="_x0000_t202" coordsize="21600,21600" o:spt="202" path="m,l,21600r21600,l21600,xe">
                <v:stroke joinstyle="miter"/>
                <v:path gradientshapeok="t" o:connecttype="rect"/>
              </v:shapetype>
              <v:shape id="Text Box 2" o:spid="_x0000_s1026" type="#_x0000_t202" style="position:absolute;left:0;text-align:left;margin-left:0;margin-top:125.1pt;width:162.7pt;height:217.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" fillcolor="#ffd966 [1943]" stroked="f">
                <v:textbox>
                  <w:txbxContent>
                    <w:p w14:paraId="14F6616B" w14:textId="4DB65835" w:rsidR="00597C21" w:rsidRPr="006D0EA5" w:rsidRDefault="00597C21">
                      <w:pPr>
                        <w:rPr>
                          <w:b/>
                          <w:bCs/>
                        </w:rPr>
                      </w:pPr>
                      <w:r w:rsidRPr="006D0EA5">
                        <w:rPr>
                          <w:b/>
                          <w:bCs/>
                        </w:rPr>
                        <w:t>The 2030 mission of the Kunming-Montreal Global Biodiversity Framework</w:t>
                      </w:r>
                      <w:r w:rsidR="006D0EA5">
                        <w:rPr>
                          <w:b/>
                          <w:bCs/>
                        </w:rPr>
                        <w:t>:</w:t>
                      </w:r>
                    </w:p>
                    <w:p w14:paraId="32485A1B" w14:textId="16494C07" w:rsidR="00597C21" w:rsidRPr="00F369F4" w:rsidRDefault="00597C21">
                      <w:pPr>
                        <w:rPr>
                          <w:sz w:val="20"/>
                          <w:szCs w:val="20"/>
                        </w:rPr>
                      </w:pPr>
                      <w:r w:rsidRPr="00F369F4">
                        <w:rPr>
                          <w:sz w:val="20"/>
                          <w:szCs w:val="20"/>
                        </w:rPr>
                        <w:t xml:space="preserve">“To take urgent action to halt and reverse biodiversity loss to put nature on a path to recovery for the benefit of people and planet by conserving and sustainably using biodiversity and by ensuring the fair and equitable sharing of benefits from the use of genetic resources, while providing the necessary means of </w:t>
                      </w:r>
                      <w:proofErr w:type="gramStart"/>
                      <w:r w:rsidRPr="00F369F4">
                        <w:rPr>
                          <w:sz w:val="20"/>
                          <w:szCs w:val="20"/>
                        </w:rPr>
                        <w:t>implementation</w:t>
                      </w:r>
                      <w:proofErr w:type="gramEnd"/>
                      <w:r w:rsidRPr="00F369F4">
                        <w:rPr>
                          <w:sz w:val="20"/>
                          <w:szCs w:val="20"/>
                        </w:rPr>
                        <w:t>”</w:t>
                      </w:r>
                    </w:p>
                  </w:txbxContent>
                </v:textbox>
                <w10:wrap type="square" anchorx="margin"/>
              </v:shape>
            </w:pict>
          </mc:Fallback>
        </mc:AlternateContent>
      </w:r>
      <w:r w:rsidR="003752C3" w:rsidRPr="002816D9">
        <w:rPr>
          <w:rFonts w:ascii="Calibri" w:hAnsi="Calibri" w:cs="Calibri"/>
        </w:rPr>
        <w:t>We are writing as a coalition of organizations</w:t>
      </w:r>
      <w:r w:rsidR="00AF1341">
        <w:rPr>
          <w:rFonts w:ascii="Calibri" w:hAnsi="Calibri" w:cs="Calibri"/>
        </w:rPr>
        <w:t xml:space="preserve"> </w:t>
      </w:r>
      <w:r w:rsidR="003752C3" w:rsidRPr="002816D9">
        <w:rPr>
          <w:rFonts w:ascii="Calibri" w:hAnsi="Calibri" w:cs="Calibri"/>
        </w:rPr>
        <w:t xml:space="preserve">committed to </w:t>
      </w:r>
      <w:r w:rsidR="00597C21">
        <w:rPr>
          <w:rFonts w:ascii="Calibri" w:hAnsi="Calibri" w:cs="Calibri"/>
        </w:rPr>
        <w:t xml:space="preserve">the 2030 mission of the Kunming-Montreal Global Biodiversity Framework </w:t>
      </w:r>
      <w:r w:rsidR="000A1EA2">
        <w:rPr>
          <w:rFonts w:ascii="Calibri" w:hAnsi="Calibri" w:cs="Calibri"/>
        </w:rPr>
        <w:t xml:space="preserve">(GBF) </w:t>
      </w:r>
      <w:r w:rsidR="00597C21">
        <w:rPr>
          <w:rFonts w:ascii="Calibri" w:hAnsi="Calibri" w:cs="Calibri"/>
        </w:rPr>
        <w:t>(Text Box 1)</w:t>
      </w:r>
      <w:r w:rsidR="002816D9" w:rsidRPr="002816D9">
        <w:rPr>
          <w:rFonts w:ascii="Calibri" w:hAnsi="Calibri" w:cs="Calibri"/>
        </w:rPr>
        <w:t xml:space="preserve">. </w:t>
      </w:r>
      <w:r w:rsidR="00AA287E" w:rsidRPr="00C227B0">
        <w:rPr>
          <w:rFonts w:ascii="Calibri" w:eastAsia="DengXian" w:hAnsi="Calibri" w:cs="Calibri"/>
        </w:rPr>
        <w:t>With this commitment – we highlight that i</w:t>
      </w:r>
      <w:r w:rsidR="002816D9" w:rsidRPr="00C227B0">
        <w:rPr>
          <w:rFonts w:ascii="Calibri" w:eastAsia="DengXian" w:hAnsi="Calibri" w:cs="Calibri"/>
        </w:rPr>
        <w:t>nland water ecosystems are among the most threatened on the planet. Their dependent populations are declining at twice the rate of marine and terrestrial ecosystems and almost one in three freshwater species is threatened by extinction</w:t>
      </w:r>
      <w:r w:rsidR="002816D9" w:rsidRPr="00C227B0">
        <w:rPr>
          <w:rFonts w:ascii="Calibri" w:eastAsia="DengXian" w:hAnsi="Calibri" w:cs="Calibri"/>
          <w:sz w:val="20"/>
          <w:szCs w:val="20"/>
        </w:rPr>
        <w:t>.</w:t>
      </w:r>
      <w:r w:rsidR="002816D9" w:rsidRPr="002816D9">
        <w:rPr>
          <w:rFonts w:ascii="Calibri" w:eastAsia="DengXian" w:hAnsi="Calibri" w:cs="Calibri"/>
          <w:b/>
          <w:bCs/>
          <w:sz w:val="20"/>
          <w:szCs w:val="20"/>
        </w:rPr>
        <w:t xml:space="preserve"> </w:t>
      </w:r>
      <w:r w:rsidR="002816D9" w:rsidRPr="002816D9">
        <w:rPr>
          <w:rFonts w:ascii="Calibri" w:eastAsia="DengXian" w:hAnsi="Calibri" w:cs="Calibri"/>
        </w:rPr>
        <w:t xml:space="preserve">In fact, their rate of decline is a driving force in the overall estimate of global </w:t>
      </w:r>
      <w:r w:rsidR="005D2A76">
        <w:rPr>
          <w:rFonts w:ascii="Calibri" w:eastAsia="DengXian" w:hAnsi="Calibri" w:cs="Calibri"/>
        </w:rPr>
        <w:t>decline in biodiversity</w:t>
      </w:r>
      <w:r w:rsidR="002816D9" w:rsidRPr="002816D9">
        <w:rPr>
          <w:rFonts w:ascii="Calibri" w:eastAsia="DengXian" w:hAnsi="Calibri" w:cs="Calibri"/>
          <w:b/>
          <w:bCs/>
        </w:rPr>
        <w:t xml:space="preserve"> </w:t>
      </w:r>
      <w:r w:rsidR="002816D9" w:rsidRPr="002816D9">
        <w:rPr>
          <w:rFonts w:ascii="Calibri" w:eastAsia="DengXian" w:hAnsi="Calibri" w:cs="Calibri"/>
        </w:rPr>
        <w:t>(Figure 1).</w:t>
      </w:r>
      <w:r w:rsidR="002816D9" w:rsidRPr="002816D9">
        <w:rPr>
          <w:rFonts w:ascii="Calibri" w:hAnsi="Calibri" w:cs="Calibri"/>
          <w:b/>
          <w:bCs/>
          <w:sz w:val="24"/>
          <w:szCs w:val="24"/>
        </w:rPr>
        <w:t xml:space="preserve"> </w:t>
      </w:r>
      <w:r w:rsidR="002816D9" w:rsidRPr="002816D9">
        <w:rPr>
          <w:rFonts w:ascii="Calibri" w:hAnsi="Calibri" w:cs="Calibri"/>
        </w:rPr>
        <w:t xml:space="preserve">The impacts of these declines reverberate in the ecosystem services inland waters provide, including drought- and flood-risk reduction, water supply provisioning, climate </w:t>
      </w:r>
      <w:r w:rsidR="00154E3F">
        <w:rPr>
          <w:rFonts w:ascii="Calibri" w:hAnsi="Calibri" w:cs="Calibri"/>
        </w:rPr>
        <w:t xml:space="preserve">change </w:t>
      </w:r>
      <w:r w:rsidR="002816D9" w:rsidRPr="002816D9">
        <w:rPr>
          <w:rFonts w:ascii="Calibri" w:hAnsi="Calibri" w:cs="Calibri"/>
        </w:rPr>
        <w:t xml:space="preserve">mitigation and adaption, and food security. </w:t>
      </w:r>
    </w:p>
    <w:p w14:paraId="66A43139" w14:textId="7986FE64" w:rsidR="00F369F4" w:rsidRDefault="00F369F4" w:rsidP="00E94049">
      <w:pPr>
        <w:jc w:val="both"/>
        <w:rPr>
          <w:rFonts w:ascii="DengXian" w:eastAsia="DengXian" w:hAnsi="DengXian" w:cstheme="minorHAnsi"/>
          <w:b/>
          <w:bCs/>
          <w:sz w:val="14"/>
          <w:szCs w:val="14"/>
        </w:rPr>
      </w:pPr>
    </w:p>
    <w:p w14:paraId="1EE51496" w14:textId="20AEA2B1" w:rsidR="00847398" w:rsidRPr="00F369F4" w:rsidRDefault="005D2A76" w:rsidP="00E94049">
      <w:pPr>
        <w:jc w:val="both"/>
        <w:rPr>
          <w:rFonts w:ascii="DengXian" w:eastAsia="DengXian" w:hAnsi="DengXian" w:cstheme="minorHAnsi"/>
          <w:b/>
          <w:bCs/>
          <w:sz w:val="14"/>
          <w:szCs w:val="14"/>
        </w:rPr>
      </w:pPr>
      <w:r w:rsidRPr="00E94049">
        <w:rPr>
          <w:rFonts w:ascii="DengXian" w:eastAsia="DengXian" w:hAnsi="DengXian" w:cstheme="minorHAnsi"/>
          <w:b/>
          <w:bCs/>
          <w:sz w:val="20"/>
          <w:szCs w:val="20"/>
        </w:rPr>
        <w:t xml:space="preserve">Text Box 1. </w:t>
      </w:r>
      <w:r w:rsidR="00E94049" w:rsidRPr="00E94049">
        <w:rPr>
          <w:rFonts w:ascii="DengXian" w:eastAsia="DengXian" w:hAnsi="DengXian" w:cstheme="minorHAnsi"/>
          <w:sz w:val="20"/>
          <w:szCs w:val="20"/>
        </w:rPr>
        <w:t xml:space="preserve">2030 K-M GBF Vision </w:t>
      </w:r>
      <w:r w:rsidR="00E94049">
        <w:rPr>
          <w:rFonts w:ascii="DengXian" w:eastAsia="DengXian" w:hAnsi="DengXian" w:cstheme="minorHAnsi"/>
          <w:sz w:val="20"/>
          <w:szCs w:val="20"/>
        </w:rPr>
        <w:t xml:space="preserve">and </w:t>
      </w:r>
      <w:r w:rsidR="00847398" w:rsidRPr="00E94049">
        <w:rPr>
          <w:rFonts w:ascii="DengXian" w:eastAsia="DengXian" w:hAnsi="DengXian" w:cstheme="minorHAnsi"/>
          <w:b/>
          <w:bCs/>
          <w:sz w:val="20"/>
          <w:szCs w:val="20"/>
        </w:rPr>
        <w:t xml:space="preserve">Figure 1. </w:t>
      </w:r>
      <w:r w:rsidR="00847398" w:rsidRPr="005D2A76">
        <w:rPr>
          <w:rFonts w:ascii="DengXian" w:eastAsia="DengXian" w:hAnsi="DengXian" w:cstheme="minorHAnsi"/>
          <w:sz w:val="20"/>
          <w:szCs w:val="20"/>
        </w:rPr>
        <w:t xml:space="preserve">Decline in monitored populations of vertebrate species since 1970 (WWF </w:t>
      </w:r>
      <w:r>
        <w:rPr>
          <w:rFonts w:ascii="DengXian" w:eastAsia="DengXian" w:hAnsi="DengXian" w:cstheme="minorHAnsi"/>
          <w:sz w:val="20"/>
          <w:szCs w:val="20"/>
        </w:rPr>
        <w:t xml:space="preserve">Living Planet Index </w:t>
      </w:r>
      <w:r w:rsidR="00847398" w:rsidRPr="005D2A76">
        <w:rPr>
          <w:rFonts w:ascii="DengXian" w:eastAsia="DengXian" w:hAnsi="DengXian" w:cstheme="minorHAnsi"/>
          <w:sz w:val="20"/>
          <w:szCs w:val="20"/>
        </w:rPr>
        <w:t>2022)</w:t>
      </w:r>
    </w:p>
    <w:p w14:paraId="32A675B2" w14:textId="6C330356" w:rsidR="002816D9" w:rsidRDefault="000A1EA2" w:rsidP="002816D9">
      <w:pPr>
        <w:jc w:val="both"/>
        <w:rPr>
          <w:rFonts w:ascii="Calibri" w:hAnsi="Calibri" w:cs="Calibri"/>
        </w:rPr>
      </w:pPr>
      <w:r w:rsidRPr="00E94049">
        <w:rPr>
          <w:rFonts w:ascii="Calibri" w:hAnsi="Calibri" w:cs="Calibri"/>
          <w:b/>
          <w:bCs/>
        </w:rPr>
        <w:lastRenderedPageBreak/>
        <w:t>Underpinned by a significant weight of evidence, achieving</w:t>
      </w:r>
      <w:r w:rsidR="002816D9" w:rsidRPr="00E94049">
        <w:rPr>
          <w:rFonts w:ascii="Calibri" w:hAnsi="Calibri" w:cs="Calibri"/>
          <w:b/>
          <w:bCs/>
        </w:rPr>
        <w:t xml:space="preserve"> the </w:t>
      </w:r>
      <w:r w:rsidR="006D0EA5" w:rsidRPr="00E94049">
        <w:rPr>
          <w:rFonts w:ascii="Calibri" w:hAnsi="Calibri" w:cs="Calibri"/>
          <w:b/>
          <w:bCs/>
        </w:rPr>
        <w:t>2030 mission of</w:t>
      </w:r>
      <w:r w:rsidR="002816D9" w:rsidRPr="00E94049">
        <w:rPr>
          <w:rFonts w:ascii="Calibri" w:hAnsi="Calibri" w:cs="Calibri"/>
          <w:b/>
          <w:bCs/>
        </w:rPr>
        <w:t xml:space="preserve"> the GBF </w:t>
      </w:r>
      <w:r w:rsidRPr="00E94049">
        <w:rPr>
          <w:rFonts w:ascii="Calibri" w:hAnsi="Calibri" w:cs="Calibri"/>
          <w:b/>
          <w:bCs/>
        </w:rPr>
        <w:t xml:space="preserve">requires </w:t>
      </w:r>
      <w:r w:rsidRPr="00E94049">
        <w:rPr>
          <w:rFonts w:ascii="Calibri" w:hAnsi="Calibri" w:cs="Calibri"/>
          <w:b/>
          <w:bCs/>
          <w:i/>
          <w:iCs/>
        </w:rPr>
        <w:t>explicit</w:t>
      </w:r>
      <w:r w:rsidRPr="00E94049">
        <w:rPr>
          <w:rFonts w:ascii="Calibri" w:hAnsi="Calibri" w:cs="Calibri"/>
          <w:b/>
          <w:bCs/>
        </w:rPr>
        <w:t xml:space="preserve"> inclusion of inland waters </w:t>
      </w:r>
      <w:r w:rsidR="002816D9" w:rsidRPr="00E94049">
        <w:rPr>
          <w:rFonts w:ascii="Calibri" w:hAnsi="Calibri" w:cs="Calibri"/>
          <w:b/>
          <w:bCs/>
        </w:rPr>
        <w:t xml:space="preserve">in </w:t>
      </w:r>
      <w:r w:rsidR="002F2238" w:rsidRPr="00E94049">
        <w:rPr>
          <w:rFonts w:ascii="Calibri" w:hAnsi="Calibri" w:cs="Calibri"/>
          <w:b/>
          <w:bCs/>
        </w:rPr>
        <w:t>the GBF</w:t>
      </w:r>
      <w:r w:rsidR="00B12977">
        <w:rPr>
          <w:rFonts w:ascii="Calibri" w:hAnsi="Calibri" w:cs="Calibri"/>
          <w:b/>
          <w:bCs/>
        </w:rPr>
        <w:t xml:space="preserve"> goals and targets</w:t>
      </w:r>
      <w:r w:rsidRPr="00E94049">
        <w:rPr>
          <w:rFonts w:ascii="Calibri" w:hAnsi="Calibri" w:cs="Calibri"/>
          <w:b/>
          <w:bCs/>
        </w:rPr>
        <w:t>,</w:t>
      </w:r>
      <w:r w:rsidR="002F2238" w:rsidRPr="00E94049">
        <w:rPr>
          <w:rFonts w:ascii="Calibri" w:hAnsi="Calibri" w:cs="Calibri"/>
          <w:b/>
          <w:bCs/>
        </w:rPr>
        <w:t xml:space="preserve"> </w:t>
      </w:r>
      <w:r w:rsidR="00B12977">
        <w:rPr>
          <w:rFonts w:ascii="Calibri" w:hAnsi="Calibri" w:cs="Calibri"/>
          <w:b/>
          <w:bCs/>
        </w:rPr>
        <w:t>m</w:t>
      </w:r>
      <w:r w:rsidR="002F2238" w:rsidRPr="00E94049">
        <w:rPr>
          <w:rFonts w:ascii="Calibri" w:hAnsi="Calibri" w:cs="Calibri"/>
          <w:b/>
          <w:bCs/>
        </w:rPr>
        <w:t xml:space="preserve">onitoring </w:t>
      </w:r>
      <w:r w:rsidR="00B12977">
        <w:rPr>
          <w:rFonts w:ascii="Calibri" w:hAnsi="Calibri" w:cs="Calibri"/>
          <w:b/>
          <w:bCs/>
        </w:rPr>
        <w:t>f</w:t>
      </w:r>
      <w:r w:rsidR="002F2238" w:rsidRPr="00E94049">
        <w:rPr>
          <w:rFonts w:ascii="Calibri" w:hAnsi="Calibri" w:cs="Calibri"/>
          <w:b/>
          <w:bCs/>
        </w:rPr>
        <w:t xml:space="preserve">ramework </w:t>
      </w:r>
      <w:r w:rsidR="00E94049">
        <w:rPr>
          <w:rFonts w:ascii="Calibri" w:hAnsi="Calibri" w:cs="Calibri"/>
          <w:b/>
          <w:bCs/>
        </w:rPr>
        <w:t>(</w:t>
      </w:r>
      <w:r w:rsidR="002F2238" w:rsidRPr="00E94049">
        <w:rPr>
          <w:rFonts w:ascii="Calibri" w:hAnsi="Calibri" w:cs="Calibri"/>
          <w:b/>
          <w:bCs/>
        </w:rPr>
        <w:t>headline and component indicators</w:t>
      </w:r>
      <w:r w:rsidR="00E94049">
        <w:rPr>
          <w:rFonts w:ascii="Calibri" w:hAnsi="Calibri" w:cs="Calibri"/>
          <w:b/>
          <w:bCs/>
        </w:rPr>
        <w:t>),</w:t>
      </w:r>
      <w:r w:rsidRPr="00E94049">
        <w:rPr>
          <w:rFonts w:ascii="Calibri" w:hAnsi="Calibri" w:cs="Calibri"/>
          <w:b/>
          <w:bCs/>
        </w:rPr>
        <w:t xml:space="preserve"> and implementation financing</w:t>
      </w:r>
      <w:r w:rsidR="002F2238" w:rsidRPr="00E94049">
        <w:rPr>
          <w:rFonts w:ascii="Calibri" w:hAnsi="Calibri" w:cs="Calibri"/>
          <w:b/>
          <w:bCs/>
        </w:rPr>
        <w:t>.</w:t>
      </w:r>
      <w:r w:rsidR="002F2238" w:rsidRPr="00E94049">
        <w:rPr>
          <w:rFonts w:ascii="Calibri" w:hAnsi="Calibri" w:cs="Calibri"/>
        </w:rPr>
        <w:t xml:space="preserve"> </w:t>
      </w:r>
      <w:r w:rsidR="00E34858" w:rsidRPr="00E94049">
        <w:rPr>
          <w:rFonts w:ascii="Calibri" w:hAnsi="Calibri" w:cs="Calibri"/>
        </w:rPr>
        <w:t>In the lead</w:t>
      </w:r>
      <w:r w:rsidR="006F4F23">
        <w:rPr>
          <w:rFonts w:ascii="Calibri" w:hAnsi="Calibri" w:cs="Calibri"/>
        </w:rPr>
        <w:t>-</w:t>
      </w:r>
      <w:r w:rsidR="00E34858" w:rsidRPr="00E94049">
        <w:rPr>
          <w:rFonts w:ascii="Calibri" w:hAnsi="Calibri" w:cs="Calibri"/>
        </w:rPr>
        <w:t xml:space="preserve">up to COP-15, </w:t>
      </w:r>
      <w:r w:rsidRPr="00E94049">
        <w:rPr>
          <w:rFonts w:ascii="Calibri" w:hAnsi="Calibri" w:cs="Calibri"/>
        </w:rPr>
        <w:t>this weight of evidence</w:t>
      </w:r>
      <w:r w:rsidR="00B12977">
        <w:rPr>
          <w:rFonts w:ascii="Calibri" w:hAnsi="Calibri" w:cs="Calibri"/>
        </w:rPr>
        <w:t xml:space="preserve"> and </w:t>
      </w:r>
      <w:r w:rsidR="00E34858" w:rsidRPr="00E94049">
        <w:rPr>
          <w:rFonts w:ascii="Calibri" w:hAnsi="Calibri" w:cs="Calibri"/>
        </w:rPr>
        <w:t>r</w:t>
      </w:r>
      <w:r w:rsidR="000566EA" w:rsidRPr="00E94049">
        <w:rPr>
          <w:rFonts w:ascii="Calibri" w:hAnsi="Calibri" w:cs="Calibri"/>
        </w:rPr>
        <w:t xml:space="preserve">ecommendations </w:t>
      </w:r>
      <w:r w:rsidR="00847398" w:rsidRPr="00E94049">
        <w:rPr>
          <w:rFonts w:ascii="Calibri" w:hAnsi="Calibri" w:cs="Calibri"/>
        </w:rPr>
        <w:t>for closing th</w:t>
      </w:r>
      <w:r w:rsidRPr="00E94049">
        <w:rPr>
          <w:rFonts w:ascii="Calibri" w:hAnsi="Calibri" w:cs="Calibri"/>
        </w:rPr>
        <w:t>e</w:t>
      </w:r>
      <w:r w:rsidR="00847398" w:rsidRPr="00E94049">
        <w:rPr>
          <w:rFonts w:ascii="Calibri" w:hAnsi="Calibri" w:cs="Calibri"/>
        </w:rPr>
        <w:t xml:space="preserve"> gap</w:t>
      </w:r>
      <w:r w:rsidR="00B12977">
        <w:rPr>
          <w:rFonts w:ascii="Calibri" w:hAnsi="Calibri" w:cs="Calibri"/>
        </w:rPr>
        <w:t xml:space="preserve"> </w:t>
      </w:r>
      <w:r w:rsidRPr="00E94049">
        <w:rPr>
          <w:rFonts w:ascii="Calibri" w:hAnsi="Calibri" w:cs="Calibri"/>
        </w:rPr>
        <w:t>were</w:t>
      </w:r>
      <w:r w:rsidR="000566EA" w:rsidRPr="00E94049">
        <w:rPr>
          <w:rFonts w:ascii="Calibri" w:hAnsi="Calibri" w:cs="Calibri"/>
        </w:rPr>
        <w:t xml:space="preserve"> documented</w:t>
      </w:r>
      <w:r w:rsidR="002F2238" w:rsidRPr="00E94049">
        <w:rPr>
          <w:rFonts w:ascii="Calibri" w:hAnsi="Calibri" w:cs="Calibri"/>
        </w:rPr>
        <w:t xml:space="preserve"> through several publications and resolutions </w:t>
      </w:r>
      <w:r w:rsidRPr="00E94049">
        <w:rPr>
          <w:rFonts w:ascii="Calibri" w:hAnsi="Calibri" w:cs="Calibri"/>
        </w:rPr>
        <w:t xml:space="preserve">led </w:t>
      </w:r>
      <w:r w:rsidR="002F2238" w:rsidRPr="00E94049">
        <w:rPr>
          <w:rFonts w:ascii="Calibri" w:hAnsi="Calibri" w:cs="Calibri"/>
        </w:rPr>
        <w:t>by UN Water, IUCN, GEO BON, Ramsar Convention and civil society</w:t>
      </w:r>
      <w:r w:rsidR="00847398" w:rsidRPr="00E94049">
        <w:rPr>
          <w:rFonts w:ascii="Calibri" w:hAnsi="Calibri" w:cs="Calibri"/>
        </w:rPr>
        <w:t>, including</w:t>
      </w:r>
      <w:r w:rsidR="002F2238" w:rsidRPr="00E94049">
        <w:rPr>
          <w:rFonts w:ascii="Calibri" w:hAnsi="Calibri" w:cs="Calibri"/>
        </w:rPr>
        <w:t>;</w:t>
      </w:r>
      <w:r w:rsidR="002F2238">
        <w:rPr>
          <w:rFonts w:ascii="Calibri" w:hAnsi="Calibri" w:cs="Calibri"/>
        </w:rPr>
        <w:t xml:space="preserve"> </w:t>
      </w:r>
    </w:p>
    <w:p w14:paraId="2F3596BA" w14:textId="77777777" w:rsidR="002816D9" w:rsidRPr="002816D9" w:rsidRDefault="002816D9" w:rsidP="002816D9">
      <w:pPr>
        <w:pStyle w:val="ListParagraph"/>
        <w:numPr>
          <w:ilvl w:val="0"/>
          <w:numId w:val="1"/>
        </w:numPr>
        <w:ind w:left="446"/>
        <w:jc w:val="both"/>
        <w:rPr>
          <w:rFonts w:cstheme="minorHAnsi"/>
        </w:rPr>
      </w:pPr>
      <w:r w:rsidRPr="00AF1341">
        <w:rPr>
          <w:b/>
          <w:bCs/>
          <w:color w:val="1F3864" w:themeColor="accent1" w:themeShade="80"/>
          <w:u w:val="single"/>
        </w:rPr>
        <w:t>UN-Water input on Freshwater-Biodiversity Linkages</w:t>
      </w:r>
      <w:r w:rsidRPr="002816D9">
        <w:t xml:space="preserve">: Response to the Zero-Draft Document from the Open-Ended Working Group on the Post-2020 Global Biodiversity Framework: </w:t>
      </w:r>
      <w:r w:rsidRPr="002816D9">
        <w:rPr>
          <w:rFonts w:cstheme="minorHAnsi"/>
        </w:rPr>
        <w:t>UN Water, February 2020,</w:t>
      </w:r>
      <w:r w:rsidRPr="002816D9">
        <w:rPr>
          <w:rStyle w:val="FootnoteReference"/>
          <w:rFonts w:cstheme="minorHAnsi"/>
        </w:rPr>
        <w:footnoteReference w:id="1"/>
      </w:r>
    </w:p>
    <w:p w14:paraId="1BCED298" w14:textId="433FF63C" w:rsidR="00E80BC2" w:rsidRPr="007A2C3B" w:rsidRDefault="00E80BC2" w:rsidP="00B01EED">
      <w:pPr>
        <w:pStyle w:val="ListParagraph"/>
        <w:numPr>
          <w:ilvl w:val="0"/>
          <w:numId w:val="1"/>
        </w:numPr>
        <w:jc w:val="both"/>
        <w:rPr>
          <w:rFonts w:cstheme="minorHAnsi"/>
          <w:i/>
          <w:iCs/>
        </w:rPr>
      </w:pPr>
      <w:bookmarkStart w:id="0" w:name="_Hlk139889734"/>
      <w:r w:rsidRPr="007A2C3B">
        <w:rPr>
          <w:rFonts w:cstheme="minorHAnsi"/>
          <w:b/>
          <w:bCs/>
          <w:color w:val="1F3864" w:themeColor="accent1" w:themeShade="80"/>
          <w:u w:val="single"/>
        </w:rPr>
        <w:t>Ramsar Convention on Wetlands Comments on the First Draft of the post-2020 GBF</w:t>
      </w:r>
      <w:r w:rsidRPr="00AF1341">
        <w:rPr>
          <w:rStyle w:val="FootnoteReference"/>
          <w:rFonts w:cstheme="minorHAnsi"/>
          <w:b/>
          <w:bCs/>
          <w:color w:val="1F3864" w:themeColor="accent1" w:themeShade="80"/>
          <w:u w:val="single"/>
        </w:rPr>
        <w:footnoteReference w:id="2"/>
      </w:r>
      <w:r w:rsidR="0058150D">
        <w:rPr>
          <w:rFonts w:cstheme="minorHAnsi"/>
          <w:b/>
          <w:bCs/>
          <w:color w:val="1F3864" w:themeColor="accent1" w:themeShade="80"/>
          <w:u w:val="single"/>
        </w:rPr>
        <w:t>,</w:t>
      </w:r>
      <w:r w:rsidRPr="007A2C3B">
        <w:rPr>
          <w:rFonts w:cstheme="minorHAnsi"/>
          <w:b/>
          <w:bCs/>
          <w:color w:val="1F3864" w:themeColor="accent1" w:themeShade="80"/>
          <w:u w:val="single"/>
        </w:rPr>
        <w:t xml:space="preserve"> and </w:t>
      </w:r>
      <w:bookmarkEnd w:id="0"/>
      <w:r w:rsidR="00C707ED" w:rsidRPr="007A2C3B">
        <w:rPr>
          <w:rFonts w:cstheme="minorHAnsi"/>
          <w:b/>
          <w:bCs/>
          <w:color w:val="1F3864" w:themeColor="accent1" w:themeShade="80"/>
          <w:u w:val="single"/>
        </w:rPr>
        <w:t>Resolution XIV.6</w:t>
      </w:r>
      <w:r w:rsidR="000620C1" w:rsidRPr="007A2C3B">
        <w:rPr>
          <w:rFonts w:cstheme="minorHAnsi"/>
          <w:b/>
          <w:bCs/>
          <w:color w:val="1F3864" w:themeColor="accent1" w:themeShade="80"/>
          <w:u w:val="single"/>
        </w:rPr>
        <w:t xml:space="preserve"> on </w:t>
      </w:r>
      <w:r w:rsidR="00C707ED" w:rsidRPr="007A2C3B">
        <w:rPr>
          <w:rFonts w:cstheme="minorHAnsi"/>
          <w:b/>
          <w:bCs/>
          <w:color w:val="1F3864" w:themeColor="accent1" w:themeShade="80"/>
          <w:u w:val="single"/>
        </w:rPr>
        <w:t>Enhancing the Convention’s visibility and synergies with other multilateral environmental agreements and other international institutions</w:t>
      </w:r>
      <w:r w:rsidR="009F46C5" w:rsidRPr="007A2C3B">
        <w:rPr>
          <w:rFonts w:cstheme="minorHAnsi"/>
          <w:b/>
          <w:bCs/>
          <w:color w:val="1F3864" w:themeColor="accent1" w:themeShade="80"/>
          <w:u w:val="single"/>
        </w:rPr>
        <w:t xml:space="preserve"> </w:t>
      </w:r>
      <w:r w:rsidR="009D2A92" w:rsidRPr="007A2C3B">
        <w:rPr>
          <w:rFonts w:cstheme="minorHAnsi"/>
        </w:rPr>
        <w:t xml:space="preserve">which </w:t>
      </w:r>
      <w:r w:rsidR="00FA2775" w:rsidRPr="007A2C3B">
        <w:rPr>
          <w:rFonts w:cstheme="minorHAnsi"/>
        </w:rPr>
        <w:t>“</w:t>
      </w:r>
      <w:r w:rsidR="009D2A92" w:rsidRPr="007A2C3B">
        <w:rPr>
          <w:rFonts w:cstheme="minorHAnsi"/>
        </w:rPr>
        <w:t>E</w:t>
      </w:r>
      <w:r w:rsidR="00FA2775" w:rsidRPr="007A2C3B">
        <w:rPr>
          <w:rFonts w:cstheme="minorHAnsi"/>
        </w:rPr>
        <w:t xml:space="preserve">ncourages </w:t>
      </w:r>
      <w:r w:rsidR="009D2A92" w:rsidRPr="007A2C3B">
        <w:rPr>
          <w:rFonts w:cstheme="minorHAnsi"/>
        </w:rPr>
        <w:t>the Secretariat and Contracting Parties that are also Parties to the CBD to enable the adequate recognition of wetlands in the goals, targets and indicators of the post-2020 Global Biodiversity Framework</w:t>
      </w:r>
      <w:r w:rsidR="00660BD3" w:rsidRPr="007A2C3B">
        <w:rPr>
          <w:rFonts w:cstheme="minorHAnsi"/>
        </w:rPr>
        <w:t>” (paragraph 42)</w:t>
      </w:r>
      <w:r w:rsidRPr="002816D9">
        <w:rPr>
          <w:rStyle w:val="FootnoteReference"/>
          <w:rFonts w:cstheme="minorHAnsi"/>
        </w:rPr>
        <w:footnoteReference w:id="3"/>
      </w:r>
    </w:p>
    <w:p w14:paraId="76F5CA3E" w14:textId="3440917B" w:rsidR="00847398" w:rsidRDefault="00847398" w:rsidP="00847398">
      <w:pPr>
        <w:pStyle w:val="ListParagraph"/>
        <w:numPr>
          <w:ilvl w:val="0"/>
          <w:numId w:val="1"/>
        </w:numPr>
        <w:ind w:left="446"/>
        <w:jc w:val="both"/>
        <w:rPr>
          <w:rFonts w:cstheme="minorHAnsi"/>
        </w:rPr>
      </w:pPr>
      <w:r w:rsidRPr="00AF1341">
        <w:rPr>
          <w:rFonts w:cstheme="minorHAnsi"/>
          <w:b/>
          <w:bCs/>
          <w:color w:val="1F3864" w:themeColor="accent1" w:themeShade="80"/>
          <w:u w:val="single"/>
        </w:rPr>
        <w:t>Inland Waters in the Post-2020 Global Biodiversity Framework</w:t>
      </w:r>
      <w:r w:rsidRPr="002816D9">
        <w:rPr>
          <w:rFonts w:cstheme="minorHAnsi"/>
        </w:rPr>
        <w:t>: GEO BON and FWBON, 2022.</w:t>
      </w:r>
      <w:r w:rsidRPr="002816D9">
        <w:rPr>
          <w:rStyle w:val="FootnoteReference"/>
          <w:rFonts w:cstheme="minorHAnsi"/>
        </w:rPr>
        <w:footnoteReference w:id="4"/>
      </w:r>
    </w:p>
    <w:p w14:paraId="2C19FA78" w14:textId="187E1855" w:rsidR="006943E2" w:rsidRPr="002816D9" w:rsidRDefault="00A32E90" w:rsidP="00847398">
      <w:pPr>
        <w:pStyle w:val="ListParagraph"/>
        <w:numPr>
          <w:ilvl w:val="0"/>
          <w:numId w:val="1"/>
        </w:numPr>
        <w:ind w:left="446"/>
        <w:jc w:val="both"/>
        <w:rPr>
          <w:rFonts w:cstheme="minorHAnsi"/>
        </w:rPr>
      </w:pPr>
      <w:r>
        <w:rPr>
          <w:rFonts w:cstheme="minorHAnsi"/>
          <w:b/>
          <w:bCs/>
          <w:color w:val="1F3864" w:themeColor="accent1" w:themeShade="80"/>
          <w:u w:val="single"/>
        </w:rPr>
        <w:t xml:space="preserve">[Target 2] </w:t>
      </w:r>
      <w:r w:rsidR="006943E2" w:rsidRPr="00AF1341">
        <w:rPr>
          <w:rFonts w:cstheme="minorHAnsi"/>
          <w:b/>
          <w:bCs/>
          <w:color w:val="1F3864" w:themeColor="accent1" w:themeShade="80"/>
          <w:u w:val="single"/>
        </w:rPr>
        <w:t>The Post</w:t>
      </w:r>
      <w:r w:rsidR="006943E2" w:rsidRPr="00AF1341">
        <w:rPr>
          <w:rFonts w:cstheme="minorHAnsi"/>
          <w:color w:val="1F3864" w:themeColor="accent1" w:themeShade="80"/>
          <w:u w:val="single"/>
        </w:rPr>
        <w:t>-</w:t>
      </w:r>
      <w:r w:rsidR="006943E2" w:rsidRPr="00AF1341">
        <w:rPr>
          <w:rFonts w:cstheme="minorHAnsi"/>
          <w:b/>
          <w:bCs/>
          <w:color w:val="1F3864" w:themeColor="accent1" w:themeShade="80"/>
          <w:u w:val="single"/>
        </w:rPr>
        <w:t>2020 Global Biodiversity Framework Proposal on Target 2</w:t>
      </w:r>
      <w:r w:rsidR="006943E2" w:rsidRPr="00AF1341">
        <w:rPr>
          <w:rFonts w:cstheme="minorHAnsi"/>
          <w:color w:val="1F3864" w:themeColor="accent1" w:themeShade="80"/>
          <w:u w:val="single"/>
        </w:rPr>
        <w:t xml:space="preserve">: </w:t>
      </w:r>
      <w:r w:rsidR="006943E2" w:rsidRPr="00AF1341">
        <w:rPr>
          <w:rFonts w:cstheme="minorHAnsi"/>
          <w:b/>
          <w:bCs/>
          <w:color w:val="1F3864" w:themeColor="accent1" w:themeShade="80"/>
          <w:u w:val="single"/>
        </w:rPr>
        <w:t>Ecosystem Restoration for Inland Waters</w:t>
      </w:r>
      <w:r w:rsidR="006943E2">
        <w:rPr>
          <w:rFonts w:cstheme="minorHAnsi"/>
        </w:rPr>
        <w:t>; WWF, FWBON, Wetlands International, UN Decade on Ecosystem Restoration, TNC, Oct 2022</w:t>
      </w:r>
      <w:r w:rsidR="006943E2">
        <w:rPr>
          <w:rStyle w:val="FootnoteReference"/>
          <w:rFonts w:cstheme="minorHAnsi"/>
        </w:rPr>
        <w:footnoteReference w:id="5"/>
      </w:r>
    </w:p>
    <w:p w14:paraId="35E42BDF" w14:textId="669E744F" w:rsidR="002816D9" w:rsidRDefault="00A32E90" w:rsidP="002816D9">
      <w:pPr>
        <w:pStyle w:val="ListParagraph"/>
        <w:numPr>
          <w:ilvl w:val="0"/>
          <w:numId w:val="1"/>
        </w:numPr>
        <w:ind w:left="446"/>
        <w:jc w:val="both"/>
        <w:rPr>
          <w:rFonts w:cstheme="minorHAnsi"/>
        </w:rPr>
      </w:pPr>
      <w:r>
        <w:rPr>
          <w:rFonts w:cstheme="minorHAnsi"/>
          <w:b/>
          <w:bCs/>
          <w:color w:val="1F3864" w:themeColor="accent1" w:themeShade="80"/>
          <w:u w:val="single"/>
        </w:rPr>
        <w:t xml:space="preserve">[Target 3] </w:t>
      </w:r>
      <w:r w:rsidR="002816D9" w:rsidRPr="00AF1341">
        <w:rPr>
          <w:rFonts w:cstheme="minorHAnsi"/>
          <w:b/>
          <w:bCs/>
          <w:color w:val="1F3864" w:themeColor="accent1" w:themeShade="80"/>
          <w:u w:val="single"/>
        </w:rPr>
        <w:t>A Pathway for Inland Waters in the 30 x 30 Target</w:t>
      </w:r>
      <w:r w:rsidR="002816D9" w:rsidRPr="002816D9">
        <w:rPr>
          <w:rFonts w:cstheme="minorHAnsi"/>
        </w:rPr>
        <w:t>: A Draft Technical Report for COP-15: IUCN WCPA, IUCN SSC, TNC &amp; WWF, November 2022,</w:t>
      </w:r>
      <w:r w:rsidR="002816D9" w:rsidRPr="002816D9">
        <w:rPr>
          <w:rStyle w:val="FootnoteReference"/>
          <w:rFonts w:cstheme="minorHAnsi"/>
        </w:rPr>
        <w:footnoteReference w:id="6"/>
      </w:r>
    </w:p>
    <w:p w14:paraId="67E0E386" w14:textId="1057B5E2" w:rsidR="00A32E90" w:rsidRPr="002816D9" w:rsidRDefault="00A32E90" w:rsidP="002816D9">
      <w:pPr>
        <w:pStyle w:val="ListParagraph"/>
        <w:numPr>
          <w:ilvl w:val="0"/>
          <w:numId w:val="1"/>
        </w:numPr>
        <w:ind w:left="446"/>
        <w:jc w:val="both"/>
        <w:rPr>
          <w:rFonts w:cstheme="minorHAnsi"/>
        </w:rPr>
      </w:pPr>
      <w:r>
        <w:rPr>
          <w:rFonts w:cstheme="minorHAnsi"/>
          <w:b/>
          <w:bCs/>
          <w:color w:val="1F3864" w:themeColor="accent1" w:themeShade="80"/>
          <w:u w:val="single"/>
        </w:rPr>
        <w:t>[Target 5] Post</w:t>
      </w:r>
      <w:r w:rsidRPr="00A32E90">
        <w:rPr>
          <w:rFonts w:cstheme="minorHAnsi"/>
          <w:b/>
          <w:bCs/>
          <w:color w:val="1F3864" w:themeColor="accent1" w:themeShade="80"/>
          <w:u w:val="single"/>
        </w:rPr>
        <w:t>-2020 Global Biodiversity Framework: An Indicator to Monitor the Threats to Inland Fisheries as a Component of Target 5:</w:t>
      </w:r>
      <w:r w:rsidRPr="00A32E90">
        <w:rPr>
          <w:rFonts w:cstheme="minorHAnsi"/>
          <w:color w:val="1F3864" w:themeColor="accent1" w:themeShade="80"/>
        </w:rPr>
        <w:t xml:space="preserve"> </w:t>
      </w:r>
      <w:r w:rsidRPr="00A32E90">
        <w:rPr>
          <w:rFonts w:cstheme="minorHAnsi"/>
        </w:rPr>
        <w:t>EBCD, IUCN CEM FEG, InFish, Inland Fisheries Alliance</w:t>
      </w:r>
      <w:r>
        <w:rPr>
          <w:rStyle w:val="FootnoteReference"/>
          <w:rFonts w:cstheme="minorHAnsi"/>
        </w:rPr>
        <w:footnoteReference w:id="7"/>
      </w:r>
    </w:p>
    <w:p w14:paraId="788AC15A" w14:textId="58FB310D" w:rsidR="000566EA" w:rsidRDefault="00E34858" w:rsidP="002816D9">
      <w:r>
        <w:t>In addition to sharing these foundational resources</w:t>
      </w:r>
      <w:r w:rsidR="00847398">
        <w:t xml:space="preserve"> to support the </w:t>
      </w:r>
      <w:r w:rsidR="007B6005">
        <w:t xml:space="preserve">overarching </w:t>
      </w:r>
      <w:r w:rsidR="00FD6187">
        <w:t>objectives</w:t>
      </w:r>
      <w:r w:rsidR="00847398">
        <w:t xml:space="preserve"> of the AHTEG</w:t>
      </w:r>
      <w:r w:rsidR="00765008">
        <w:t>,</w:t>
      </w:r>
      <w:r>
        <w:t xml:space="preserve"> we </w:t>
      </w:r>
      <w:r w:rsidR="00E70902">
        <w:t>outline</w:t>
      </w:r>
      <w:r w:rsidR="000A1EA2">
        <w:t xml:space="preserve"> a</w:t>
      </w:r>
      <w:r w:rsidR="00847398">
        <w:t xml:space="preserve"> few </w:t>
      </w:r>
      <w:r w:rsidR="000A1EA2">
        <w:t xml:space="preserve">timely </w:t>
      </w:r>
      <w:r w:rsidR="00847398">
        <w:t xml:space="preserve">recommendations related to the objectives of </w:t>
      </w:r>
      <w:r w:rsidR="00AF1341">
        <w:t>the</w:t>
      </w:r>
      <w:r w:rsidR="00AA287E">
        <w:t xml:space="preserve"> July 11</w:t>
      </w:r>
      <w:r w:rsidR="00AA287E" w:rsidRPr="00AA287E">
        <w:rPr>
          <w:vertAlign w:val="superscript"/>
        </w:rPr>
        <w:t>th</w:t>
      </w:r>
      <w:r w:rsidR="00AF1341">
        <w:t xml:space="preserve"> meeting</w:t>
      </w:r>
      <w:r w:rsidR="007B6005">
        <w:t xml:space="preserve">. We’ve organized this information in two parts – the first </w:t>
      </w:r>
      <w:r w:rsidR="00E70902">
        <w:t xml:space="preserve">is </w:t>
      </w:r>
      <w:r w:rsidR="007B6005">
        <w:t xml:space="preserve">on process and methods for </w:t>
      </w:r>
      <w:r w:rsidR="00B10E23">
        <w:t>review</w:t>
      </w:r>
      <w:r w:rsidR="007B6005">
        <w:t xml:space="preserve"> and the second </w:t>
      </w:r>
      <w:r w:rsidR="00E70902">
        <w:t xml:space="preserve">is </w:t>
      </w:r>
      <w:r w:rsidR="007B6005">
        <w:t xml:space="preserve">to share timely information related to </w:t>
      </w:r>
      <w:r w:rsidR="00B10E23">
        <w:t xml:space="preserve">specific headline indicators and </w:t>
      </w:r>
      <w:r w:rsidR="007B6005">
        <w:t>metadata</w:t>
      </w:r>
      <w:r w:rsidR="009F16F4">
        <w:t>.</w:t>
      </w:r>
      <w:r w:rsidR="00765008">
        <w:t xml:space="preserve"> </w:t>
      </w:r>
      <w:r w:rsidR="00847398">
        <w:t xml:space="preserve"> </w:t>
      </w:r>
    </w:p>
    <w:p w14:paraId="6016FD39" w14:textId="5D5281C4" w:rsidR="000566EA" w:rsidRDefault="00E34858" w:rsidP="00E34858">
      <w:pPr>
        <w:pStyle w:val="ListParagraph"/>
        <w:numPr>
          <w:ilvl w:val="0"/>
          <w:numId w:val="4"/>
        </w:numPr>
        <w:rPr>
          <w:b/>
          <w:bCs/>
          <w:sz w:val="24"/>
          <w:szCs w:val="24"/>
        </w:rPr>
      </w:pPr>
      <w:r w:rsidRPr="00765008">
        <w:rPr>
          <w:b/>
          <w:bCs/>
          <w:sz w:val="24"/>
          <w:szCs w:val="24"/>
        </w:rPr>
        <w:t xml:space="preserve">Process and methods for reviewing indicators </w:t>
      </w:r>
    </w:p>
    <w:p w14:paraId="41491811" w14:textId="77777777" w:rsidR="00765008" w:rsidRPr="00765008" w:rsidRDefault="00765008" w:rsidP="00765008">
      <w:pPr>
        <w:pStyle w:val="ListParagraph"/>
        <w:ind w:left="450"/>
        <w:rPr>
          <w:b/>
          <w:bCs/>
          <w:sz w:val="10"/>
          <w:szCs w:val="10"/>
        </w:rPr>
      </w:pPr>
    </w:p>
    <w:p w14:paraId="5C49E264" w14:textId="5E83C8CA" w:rsidR="00190584" w:rsidRDefault="007C47A2" w:rsidP="00765008">
      <w:pPr>
        <w:pStyle w:val="ListParagraph"/>
        <w:numPr>
          <w:ilvl w:val="0"/>
          <w:numId w:val="5"/>
        </w:numPr>
      </w:pPr>
      <w:r>
        <w:rPr>
          <w:b/>
          <w:bCs/>
        </w:rPr>
        <w:t>E</w:t>
      </w:r>
      <w:r w:rsidR="00FD6187" w:rsidRPr="00765008">
        <w:rPr>
          <w:b/>
          <w:bCs/>
        </w:rPr>
        <w:t xml:space="preserve">cological representation in </w:t>
      </w:r>
      <w:r w:rsidR="00765008">
        <w:rPr>
          <w:b/>
          <w:bCs/>
        </w:rPr>
        <w:t xml:space="preserve">indicator development and </w:t>
      </w:r>
      <w:r w:rsidR="00FD6187" w:rsidRPr="00765008">
        <w:rPr>
          <w:b/>
          <w:bCs/>
        </w:rPr>
        <w:t>decision-making</w:t>
      </w:r>
      <w:r w:rsidR="00FD6187">
        <w:t xml:space="preserve"> </w:t>
      </w:r>
      <w:r w:rsidR="00190584">
        <w:t>–</w:t>
      </w:r>
      <w:r w:rsidR="00FD6187">
        <w:t xml:space="preserve"> </w:t>
      </w:r>
    </w:p>
    <w:p w14:paraId="06808A24" w14:textId="5CB47B4D" w:rsidR="00190584" w:rsidRDefault="007C47A2" w:rsidP="00190584">
      <w:pPr>
        <w:pStyle w:val="ListParagraph"/>
        <w:numPr>
          <w:ilvl w:val="1"/>
          <w:numId w:val="6"/>
        </w:numPr>
      </w:pPr>
      <w:r>
        <w:t>E</w:t>
      </w:r>
      <w:r w:rsidR="00FD6187">
        <w:t xml:space="preserve">ach sub-group (Groups 1,2,3,4 and 5) </w:t>
      </w:r>
      <w:r>
        <w:t xml:space="preserve">will be reviewing </w:t>
      </w:r>
      <w:r w:rsidR="00190584">
        <w:t xml:space="preserve">several </w:t>
      </w:r>
      <w:r>
        <w:t>indicator</w:t>
      </w:r>
      <w:r w:rsidR="00190584">
        <w:t>s and</w:t>
      </w:r>
      <w:r>
        <w:t xml:space="preserve"> metadata that should </w:t>
      </w:r>
      <w:r w:rsidR="003714A2">
        <w:t xml:space="preserve">include </w:t>
      </w:r>
      <w:r w:rsidR="00AA37AB">
        <w:t xml:space="preserve">representation of </w:t>
      </w:r>
      <w:r>
        <w:t>inland waters and dependent biodiversity (Table</w:t>
      </w:r>
      <w:r w:rsidR="00190584">
        <w:t xml:space="preserve"> 1</w:t>
      </w:r>
      <w:r>
        <w:t xml:space="preserve"> below)</w:t>
      </w:r>
      <w:r w:rsidR="00AA37AB">
        <w:t>, in addition to terrestrial</w:t>
      </w:r>
      <w:r w:rsidR="00E70902">
        <w:t>, coastal</w:t>
      </w:r>
      <w:r w:rsidR="00AA37AB">
        <w:t xml:space="preserve"> and marine</w:t>
      </w:r>
      <w:r>
        <w:t xml:space="preserve">. </w:t>
      </w:r>
    </w:p>
    <w:p w14:paraId="360B6590" w14:textId="793FE41F" w:rsidR="00FD6187" w:rsidRDefault="007C47A2" w:rsidP="00190584">
      <w:pPr>
        <w:pStyle w:val="ListParagraph"/>
        <w:numPr>
          <w:ilvl w:val="1"/>
          <w:numId w:val="6"/>
        </w:numPr>
      </w:pPr>
      <w:r>
        <w:lastRenderedPageBreak/>
        <w:t>Before the review begins, w</w:t>
      </w:r>
      <w:r w:rsidR="00FD6187">
        <w:t xml:space="preserve">e recommend </w:t>
      </w:r>
      <w:r>
        <w:t>assessing</w:t>
      </w:r>
      <w:r w:rsidR="00FD6187">
        <w:t xml:space="preserve"> group </w:t>
      </w:r>
      <w:r w:rsidR="00765008">
        <w:t xml:space="preserve">composition and </w:t>
      </w:r>
      <w:r w:rsidR="00FD6187">
        <w:t xml:space="preserve">expertise to ensure that </w:t>
      </w:r>
      <w:r w:rsidR="00FD6187" w:rsidRPr="007C47A2">
        <w:rPr>
          <w:i/>
          <w:iCs/>
        </w:rPr>
        <w:t xml:space="preserve">at least </w:t>
      </w:r>
      <w:r w:rsidR="00765008" w:rsidRPr="007C47A2">
        <w:rPr>
          <w:i/>
          <w:iCs/>
        </w:rPr>
        <w:t>one</w:t>
      </w:r>
      <w:r w:rsidR="00765008">
        <w:t xml:space="preserve"> expert</w:t>
      </w:r>
      <w:r w:rsidR="00FD6187">
        <w:t xml:space="preserve"> in the </w:t>
      </w:r>
      <w:r w:rsidR="00765008">
        <w:t>sub-</w:t>
      </w:r>
      <w:r w:rsidR="00FD6187">
        <w:t>group</w:t>
      </w:r>
      <w:r w:rsidR="00765008">
        <w:t xml:space="preserve"> can</w:t>
      </w:r>
      <w:r w:rsidR="00FD6187">
        <w:t xml:space="preserve"> represent the perspective</w:t>
      </w:r>
      <w:r>
        <w:t xml:space="preserve"> of</w:t>
      </w:r>
      <w:r w:rsidR="00FD6187">
        <w:t xml:space="preserve"> inland water ecosystems and</w:t>
      </w:r>
      <w:r w:rsidR="00765008">
        <w:t>/or dependent</w:t>
      </w:r>
      <w:r w:rsidR="00FD6187">
        <w:t xml:space="preserve"> </w:t>
      </w:r>
      <w:r w:rsidR="00765008">
        <w:t>biodiversity and ecosystem services</w:t>
      </w:r>
      <w:r w:rsidR="006D0EA5">
        <w:t xml:space="preserve"> (the same for terrestrial, marine and coastal)</w:t>
      </w:r>
      <w:r w:rsidR="00FD6187">
        <w:t>. If the group make-up does not allow for that representation in expert review and decision-making, we request</w:t>
      </w:r>
      <w:r>
        <w:t>,</w:t>
      </w:r>
      <w:r w:rsidR="00FD6187">
        <w:t xml:space="preserve"> </w:t>
      </w:r>
      <w:r>
        <w:t xml:space="preserve">at a minimum, </w:t>
      </w:r>
      <w:r w:rsidR="00FD6187">
        <w:t>the co-c</w:t>
      </w:r>
      <w:r w:rsidR="00765008">
        <w:t xml:space="preserve">hair support the designation of a representative of the group to </w:t>
      </w:r>
      <w:r w:rsidR="00AA37AB">
        <w:t xml:space="preserve">(1) </w:t>
      </w:r>
      <w:r w:rsidR="00765008">
        <w:t>be accountable for this perspective through</w:t>
      </w:r>
      <w:r>
        <w:t>out the review</w:t>
      </w:r>
      <w:r w:rsidR="00765008">
        <w:t xml:space="preserve"> process (regardless of expertise) and</w:t>
      </w:r>
      <w:r w:rsidR="00AA37AB">
        <w:t>,</w:t>
      </w:r>
      <w:r w:rsidR="00765008">
        <w:t xml:space="preserve"> </w:t>
      </w:r>
      <w:r w:rsidR="00AA37AB">
        <w:t xml:space="preserve">(2) </w:t>
      </w:r>
      <w:r w:rsidR="00765008">
        <w:t>coordinate</w:t>
      </w:r>
      <w:r w:rsidR="00FD6187">
        <w:t xml:space="preserve"> outside advisory support</w:t>
      </w:r>
      <w:r w:rsidR="00765008">
        <w:t xml:space="preserve"> to deliver information on gaps, needs</w:t>
      </w:r>
      <w:r w:rsidR="003714A2">
        <w:t>, data availability</w:t>
      </w:r>
      <w:r w:rsidR="00765008">
        <w:t xml:space="preserve"> and timelines. Our </w:t>
      </w:r>
      <w:r w:rsidR="00FD6187">
        <w:t xml:space="preserve">group of organizations would be honored to </w:t>
      </w:r>
      <w:r w:rsidR="00765008">
        <w:t>provide coordinated support on any related requests</w:t>
      </w:r>
      <w:r w:rsidR="00FD6187">
        <w:t xml:space="preserve">. </w:t>
      </w:r>
    </w:p>
    <w:p w14:paraId="71C8955B" w14:textId="77777777" w:rsidR="00765008" w:rsidRDefault="00765008" w:rsidP="00765008">
      <w:pPr>
        <w:pStyle w:val="ListParagraph"/>
      </w:pPr>
    </w:p>
    <w:p w14:paraId="491FFF0C" w14:textId="4A6F5AD0" w:rsidR="00154E3F" w:rsidRDefault="00895DB2" w:rsidP="00765008">
      <w:pPr>
        <w:pStyle w:val="ListParagraph"/>
        <w:numPr>
          <w:ilvl w:val="0"/>
          <w:numId w:val="5"/>
        </w:numPr>
      </w:pPr>
      <w:r>
        <w:rPr>
          <w:b/>
          <w:bCs/>
        </w:rPr>
        <w:t xml:space="preserve">Coordination </w:t>
      </w:r>
      <w:r w:rsidR="00154E3F">
        <w:rPr>
          <w:b/>
          <w:bCs/>
        </w:rPr>
        <w:t>on</w:t>
      </w:r>
      <w:r>
        <w:rPr>
          <w:b/>
          <w:bCs/>
        </w:rPr>
        <w:t xml:space="preserve"> </w:t>
      </w:r>
      <w:r w:rsidR="00E70902">
        <w:rPr>
          <w:b/>
          <w:bCs/>
        </w:rPr>
        <w:t>across connected</w:t>
      </w:r>
      <w:r>
        <w:rPr>
          <w:b/>
          <w:bCs/>
        </w:rPr>
        <w:t xml:space="preserve"> MEA</w:t>
      </w:r>
      <w:r w:rsidR="00EA0F81">
        <w:rPr>
          <w:b/>
          <w:bCs/>
        </w:rPr>
        <w:t xml:space="preserve"> indicators</w:t>
      </w:r>
      <w:r>
        <w:rPr>
          <w:b/>
          <w:bCs/>
        </w:rPr>
        <w:t xml:space="preserve"> – </w:t>
      </w:r>
      <w:r w:rsidR="00154E3F">
        <w:t xml:space="preserve">Recommend </w:t>
      </w:r>
      <w:r w:rsidR="006943E2">
        <w:t xml:space="preserve">continued and </w:t>
      </w:r>
      <w:r w:rsidR="00154E3F">
        <w:t>s</w:t>
      </w:r>
      <w:r w:rsidRPr="00EA0F81">
        <w:t>trong coordination across MEA</w:t>
      </w:r>
      <w:r w:rsidR="00E70902">
        <w:t>s</w:t>
      </w:r>
      <w:r>
        <w:t xml:space="preserve"> </w:t>
      </w:r>
      <w:r w:rsidR="00E70902">
        <w:t>including the opportunity to review</w:t>
      </w:r>
      <w:r w:rsidRPr="00EA0F81">
        <w:t xml:space="preserve"> headline and component indicators</w:t>
      </w:r>
      <w:r w:rsidR="00154E3F">
        <w:t xml:space="preserve">. For inland waters, this includes but is not limited to; </w:t>
      </w:r>
    </w:p>
    <w:p w14:paraId="12B8A0EA" w14:textId="3445EF7C" w:rsidR="00154E3F" w:rsidRDefault="00895DB2" w:rsidP="00154E3F">
      <w:pPr>
        <w:pStyle w:val="ListParagraph"/>
        <w:numPr>
          <w:ilvl w:val="1"/>
          <w:numId w:val="5"/>
        </w:numPr>
      </w:pPr>
      <w:r w:rsidRPr="00EA0F81">
        <w:t>Ramsar Convention on Wetlands. The Ramsar STRP workplan includes specific task</w:t>
      </w:r>
      <w:r>
        <w:t>s</w:t>
      </w:r>
      <w:r w:rsidRPr="00EA0F81">
        <w:t xml:space="preserve"> (</w:t>
      </w:r>
      <w:r>
        <w:t xml:space="preserve">4.1 and </w:t>
      </w:r>
      <w:r w:rsidRPr="00EA0F81">
        <w:t>5.2) dedicated to implementation of the GBF</w:t>
      </w:r>
      <w:r w:rsidRPr="00EA0F81">
        <w:rPr>
          <w:rStyle w:val="FootnoteReference"/>
        </w:rPr>
        <w:footnoteReference w:id="8"/>
      </w:r>
      <w:r w:rsidR="00154E3F">
        <w:t xml:space="preserve"> </w:t>
      </w:r>
      <w:r w:rsidR="006943E2">
        <w:t>including but not limited to GBF Goal A and Targets 1, 2 and 3.</w:t>
      </w:r>
    </w:p>
    <w:p w14:paraId="639F1369" w14:textId="3EC0F7D6" w:rsidR="00895DB2" w:rsidRDefault="00EA0F81" w:rsidP="00154E3F">
      <w:pPr>
        <w:pStyle w:val="ListParagraph"/>
        <w:numPr>
          <w:ilvl w:val="1"/>
          <w:numId w:val="5"/>
        </w:numPr>
      </w:pPr>
      <w:r>
        <w:t>SDGs (</w:t>
      </w:r>
      <w:r w:rsidR="00154E3F">
        <w:t xml:space="preserve">including </w:t>
      </w:r>
      <w:r w:rsidR="008A573A">
        <w:t xml:space="preserve">but not limited to </w:t>
      </w:r>
      <w:r>
        <w:t>6.6.1 and 15.</w:t>
      </w:r>
      <w:r w:rsidR="00154E3F">
        <w:t>1)</w:t>
      </w:r>
      <w:r w:rsidR="006943E2">
        <w:t xml:space="preserve"> (UNEP and Ramsar are co-custodians </w:t>
      </w:r>
      <w:r w:rsidR="008A573A">
        <w:t xml:space="preserve">of 6.6.1 </w:t>
      </w:r>
      <w:r w:rsidR="006943E2">
        <w:t>and listed in additional contacts for the indicator templates below</w:t>
      </w:r>
      <w:r w:rsidR="008A573A">
        <w:t>)</w:t>
      </w:r>
      <w:r w:rsidR="006943E2">
        <w:t xml:space="preserve">. </w:t>
      </w:r>
    </w:p>
    <w:p w14:paraId="479943AE" w14:textId="6DA18C0F" w:rsidR="00154E3F" w:rsidRDefault="00154E3F" w:rsidP="00154E3F">
      <w:pPr>
        <w:pStyle w:val="ListParagraph"/>
        <w:numPr>
          <w:ilvl w:val="1"/>
          <w:numId w:val="5"/>
        </w:numPr>
      </w:pPr>
      <w:r>
        <w:t>UN Decade on Restoration</w:t>
      </w:r>
      <w:r w:rsidR="0067504B">
        <w:t xml:space="preserve"> – we understand this coordination is happening through the Target 2 Partnership. </w:t>
      </w:r>
    </w:p>
    <w:p w14:paraId="69872012" w14:textId="54409811" w:rsidR="008A573A" w:rsidRDefault="008A573A" w:rsidP="008A573A">
      <w:pPr>
        <w:pStyle w:val="ListParagraph"/>
        <w:numPr>
          <w:ilvl w:val="1"/>
          <w:numId w:val="5"/>
        </w:numPr>
      </w:pPr>
      <w:r>
        <w:t xml:space="preserve">UNFCCC – climate change mitigation and adaptation </w:t>
      </w:r>
      <w:r w:rsidR="00F979BF">
        <w:t>(</w:t>
      </w:r>
      <w:r>
        <w:t>ecosystem services</w:t>
      </w:r>
      <w:r w:rsidR="00F979BF">
        <w:t>)</w:t>
      </w:r>
    </w:p>
    <w:p w14:paraId="38B68C90" w14:textId="77777777" w:rsidR="0067504B" w:rsidRPr="00EA0F81" w:rsidRDefault="0067504B" w:rsidP="00E70902">
      <w:pPr>
        <w:pStyle w:val="ListParagraph"/>
        <w:ind w:left="1440"/>
      </w:pPr>
    </w:p>
    <w:p w14:paraId="39539358" w14:textId="50D639A8" w:rsidR="00FD6187" w:rsidRDefault="00FD6187" w:rsidP="00765008">
      <w:pPr>
        <w:pStyle w:val="ListParagraph"/>
        <w:numPr>
          <w:ilvl w:val="0"/>
          <w:numId w:val="5"/>
        </w:numPr>
      </w:pPr>
      <w:r w:rsidRPr="00765008">
        <w:rPr>
          <w:b/>
          <w:bCs/>
        </w:rPr>
        <w:t>Template questions for indicator metadata</w:t>
      </w:r>
      <w:r>
        <w:t xml:space="preserve">- </w:t>
      </w:r>
      <w:r w:rsidR="00F979BF">
        <w:t xml:space="preserve">To verify ecological representation in the metadata/method, </w:t>
      </w:r>
      <w:r w:rsidR="00765008">
        <w:t>consider adding a question to the template</w:t>
      </w:r>
      <w:r w:rsidR="007C47A2">
        <w:t>, as appropriate. For example</w:t>
      </w:r>
      <w:r w:rsidR="008A573A">
        <w:t>;</w:t>
      </w:r>
      <w:r w:rsidR="007C47A2">
        <w:t xml:space="preserve"> </w:t>
      </w:r>
      <w:r w:rsidR="00597C21">
        <w:t xml:space="preserve">“Is the headline indicator intended to represent all ecosystems (terrestrial, inland water, coastal and marine)? If yes, </w:t>
      </w:r>
      <w:r w:rsidR="006D0EA5">
        <w:t xml:space="preserve">is there a gap in the </w:t>
      </w:r>
      <w:r w:rsidR="00597C21">
        <w:t xml:space="preserve">indicator method/metadata, </w:t>
      </w:r>
      <w:r w:rsidR="006D0EA5">
        <w:t xml:space="preserve">to provide </w:t>
      </w:r>
      <w:r w:rsidR="00597C21">
        <w:t xml:space="preserve">that representation? </w:t>
      </w:r>
    </w:p>
    <w:p w14:paraId="7876FD65" w14:textId="77777777" w:rsidR="00460BAF" w:rsidRDefault="00460BAF" w:rsidP="00460BAF">
      <w:pPr>
        <w:pStyle w:val="ListParagraph"/>
      </w:pPr>
    </w:p>
    <w:p w14:paraId="3A6E2BB6" w14:textId="77777777" w:rsidR="00F979BF" w:rsidRDefault="00460BAF" w:rsidP="00460BAF">
      <w:pPr>
        <w:pStyle w:val="ListParagraph"/>
        <w:numPr>
          <w:ilvl w:val="0"/>
          <w:numId w:val="4"/>
        </w:numPr>
        <w:rPr>
          <w:b/>
          <w:bCs/>
          <w:sz w:val="24"/>
          <w:szCs w:val="24"/>
        </w:rPr>
      </w:pPr>
      <w:r w:rsidRPr="007C47A2">
        <w:rPr>
          <w:b/>
          <w:bCs/>
          <w:sz w:val="24"/>
          <w:szCs w:val="24"/>
        </w:rPr>
        <w:t>Specific considerations for inland waters in headline indicators</w:t>
      </w:r>
    </w:p>
    <w:p w14:paraId="3E6C378F" w14:textId="678CE8C1" w:rsidR="008B598E" w:rsidRPr="00930BF6" w:rsidRDefault="00F90E68" w:rsidP="00930BF6">
      <w:pPr>
        <w:spacing w:after="120"/>
        <w:jc w:val="both"/>
        <w:rPr>
          <w:rFonts w:cstheme="minorHAnsi"/>
          <w:sz w:val="20"/>
          <w:szCs w:val="20"/>
        </w:rPr>
      </w:pPr>
      <w:r>
        <w:t>As evidenced above, t</w:t>
      </w:r>
      <w:r w:rsidR="008B598E">
        <w:t>he</w:t>
      </w:r>
      <w:r w:rsidR="00F979BF">
        <w:t xml:space="preserve"> status of inland waters, </w:t>
      </w:r>
      <w:r w:rsidR="008B598E">
        <w:t>their</w:t>
      </w:r>
      <w:r w:rsidR="00F979BF">
        <w:t xml:space="preserve"> biodiversity, and the </w:t>
      </w:r>
      <w:r w:rsidR="008B598E">
        <w:t xml:space="preserve">ecosystem </w:t>
      </w:r>
      <w:r w:rsidR="00F979BF">
        <w:t xml:space="preserve">services they sustain </w:t>
      </w:r>
      <w:r w:rsidR="008B598E">
        <w:t xml:space="preserve">will play a significant role in achieving the </w:t>
      </w:r>
      <w:r w:rsidR="00F979BF">
        <w:t>vision, mission, goals and targets of the K-M GBF</w:t>
      </w:r>
      <w:r w:rsidR="008B598E">
        <w:t xml:space="preserve">. However, </w:t>
      </w:r>
      <w:r w:rsidR="00F979BF">
        <w:t xml:space="preserve">they are </w:t>
      </w:r>
      <w:r w:rsidR="008B598E">
        <w:t>at risk of not being</w:t>
      </w:r>
      <w:r w:rsidR="00F979BF">
        <w:t xml:space="preserve"> </w:t>
      </w:r>
      <w:r w:rsidR="008B598E">
        <w:t xml:space="preserve">accounted </w:t>
      </w:r>
      <w:r w:rsidR="00F979BF">
        <w:t xml:space="preserve">for in the </w:t>
      </w:r>
      <w:r w:rsidR="00AF1341">
        <w:t>monitoring framework</w:t>
      </w:r>
      <w:r w:rsidR="00F979BF">
        <w:t xml:space="preserve"> headline indicator</w:t>
      </w:r>
      <w:r w:rsidR="00AF1341">
        <w:t>s</w:t>
      </w:r>
      <w:r w:rsidR="00F979BF">
        <w:t xml:space="preserve"> metadata</w:t>
      </w:r>
      <w:r>
        <w:t xml:space="preserve">. </w:t>
      </w:r>
      <w:r w:rsidR="008B598E" w:rsidRPr="00897EFA">
        <w:rPr>
          <w:b/>
          <w:bCs/>
          <w:color w:val="1F3864" w:themeColor="accent1" w:themeShade="80"/>
        </w:rPr>
        <w:t xml:space="preserve">The tables below include additional information and recommendations for </w:t>
      </w:r>
      <w:r w:rsidR="001534DD" w:rsidRPr="00897EFA">
        <w:rPr>
          <w:b/>
          <w:bCs/>
          <w:color w:val="1F3864" w:themeColor="accent1" w:themeShade="80"/>
        </w:rPr>
        <w:t xml:space="preserve">representation of inland waters in </w:t>
      </w:r>
      <w:r w:rsidR="008B598E" w:rsidRPr="00897EFA">
        <w:rPr>
          <w:b/>
          <w:bCs/>
          <w:color w:val="1F3864" w:themeColor="accent1" w:themeShade="80"/>
        </w:rPr>
        <w:t>headline indicators 2.2 (Table 2), 3.1 (Table 3), and 5.1 and 9.1 (Table 4), consistent with the AHTEG indicator metadata templates.</w:t>
      </w:r>
      <w:r w:rsidR="001534DD" w:rsidRPr="00897EFA">
        <w:rPr>
          <w:color w:val="1F3864" w:themeColor="accent1" w:themeShade="80"/>
        </w:rPr>
        <w:t xml:space="preserve"> </w:t>
      </w:r>
      <w:r w:rsidR="001534DD" w:rsidRPr="00930BF6">
        <w:rPr>
          <w:color w:val="000000"/>
        </w:rPr>
        <w:t>As described above, these are preliminary recommendations recognizing the draft headline indicator methods are not yet publicly available. In addition</w:t>
      </w:r>
      <w:r w:rsidR="00AF1341" w:rsidRPr="00930BF6">
        <w:rPr>
          <w:color w:val="000000"/>
        </w:rPr>
        <w:t xml:space="preserve"> to Tables 2, 3 and 4</w:t>
      </w:r>
      <w:r w:rsidR="001534DD" w:rsidRPr="00930BF6">
        <w:rPr>
          <w:color w:val="000000"/>
        </w:rPr>
        <w:t>, we share a few considerations for the AHTEG below</w:t>
      </w:r>
      <w:r w:rsidR="00AF1341" w:rsidRPr="00930BF6">
        <w:rPr>
          <w:color w:val="000000"/>
        </w:rPr>
        <w:t xml:space="preserve"> based on the rationale provided in the published resources on page 2, above</w:t>
      </w:r>
      <w:r w:rsidR="001534DD" w:rsidRPr="00930BF6">
        <w:rPr>
          <w:color w:val="000000"/>
        </w:rPr>
        <w:t>.</w:t>
      </w:r>
    </w:p>
    <w:p w14:paraId="7BF71315" w14:textId="46D96113" w:rsidR="00F979BF" w:rsidRPr="00F979BF" w:rsidRDefault="009F16F4" w:rsidP="001534DD">
      <w:pPr>
        <w:pStyle w:val="ListParagraph"/>
        <w:numPr>
          <w:ilvl w:val="0"/>
          <w:numId w:val="2"/>
        </w:numPr>
        <w:spacing w:after="120"/>
        <w:jc w:val="both"/>
        <w:rPr>
          <w:rFonts w:cstheme="minorHAnsi"/>
          <w:sz w:val="20"/>
          <w:szCs w:val="20"/>
        </w:rPr>
      </w:pPr>
      <w:r w:rsidRPr="00F979BF">
        <w:rPr>
          <w:color w:val="000000"/>
        </w:rPr>
        <w:t xml:space="preserve">All area-based goal and target indicators should </w:t>
      </w:r>
      <w:r>
        <w:rPr>
          <w:color w:val="000000"/>
        </w:rPr>
        <w:t>explicitly track</w:t>
      </w:r>
      <w:r w:rsidRPr="00F979BF">
        <w:rPr>
          <w:color w:val="000000"/>
        </w:rPr>
        <w:t xml:space="preserve"> inland water</w:t>
      </w:r>
      <w:r>
        <w:rPr>
          <w:color w:val="000000"/>
        </w:rPr>
        <w:t xml:space="preserve"> extent. In addition to </w:t>
      </w:r>
      <w:r w:rsidR="00EE0BCB">
        <w:rPr>
          <w:color w:val="000000"/>
        </w:rPr>
        <w:t>their concerning status</w:t>
      </w:r>
      <w:r>
        <w:rPr>
          <w:color w:val="000000"/>
        </w:rPr>
        <w:t>, i</w:t>
      </w:r>
      <w:r w:rsidRPr="004E7FDF">
        <w:rPr>
          <w:rFonts w:cstheme="minorHAnsi"/>
        </w:rPr>
        <w:t xml:space="preserve">nland water ecosystems, including lakes, rivers, peatlands and other wetlands, cover </w:t>
      </w:r>
      <w:r w:rsidRPr="00EE0BCB">
        <w:rPr>
          <w:rFonts w:cstheme="minorHAnsi"/>
          <w:i/>
          <w:iCs/>
        </w:rPr>
        <w:t>a very small fraction</w:t>
      </w:r>
      <w:r w:rsidRPr="004E7FDF">
        <w:rPr>
          <w:rFonts w:cstheme="minorHAnsi"/>
        </w:rPr>
        <w:t xml:space="preserve"> of total global area</w:t>
      </w:r>
      <w:r>
        <w:rPr>
          <w:rFonts w:cstheme="minorHAnsi"/>
        </w:rPr>
        <w:t>. L</w:t>
      </w:r>
      <w:r w:rsidRPr="004E7FDF">
        <w:rPr>
          <w:rFonts w:cstheme="minorHAnsi"/>
        </w:rPr>
        <w:t xml:space="preserve">umping the </w:t>
      </w:r>
      <w:r>
        <w:rPr>
          <w:rFonts w:cstheme="minorHAnsi"/>
        </w:rPr>
        <w:t>measurement</w:t>
      </w:r>
      <w:r w:rsidRPr="004E7FDF">
        <w:rPr>
          <w:rFonts w:cstheme="minorHAnsi"/>
        </w:rPr>
        <w:t xml:space="preserve"> for inland waters </w:t>
      </w:r>
      <w:r>
        <w:rPr>
          <w:rFonts w:cstheme="minorHAnsi"/>
        </w:rPr>
        <w:t xml:space="preserve">(extent, restoration, conservation) </w:t>
      </w:r>
      <w:r w:rsidRPr="004E7FDF">
        <w:rPr>
          <w:rFonts w:cstheme="minorHAnsi"/>
        </w:rPr>
        <w:t>with terrestrial and marine areas</w:t>
      </w:r>
      <w:r>
        <w:rPr>
          <w:rFonts w:cstheme="minorHAnsi"/>
        </w:rPr>
        <w:t xml:space="preserve"> will not provide an </w:t>
      </w:r>
      <w:r>
        <w:rPr>
          <w:rFonts w:cstheme="minorHAnsi"/>
        </w:rPr>
        <w:lastRenderedPageBreak/>
        <w:t>indicative or meaningful indicat</w:t>
      </w:r>
      <w:r w:rsidR="00EE0BCB">
        <w:rPr>
          <w:rFonts w:cstheme="minorHAnsi"/>
        </w:rPr>
        <w:t>or</w:t>
      </w:r>
      <w:r>
        <w:rPr>
          <w:rFonts w:cstheme="minorHAnsi"/>
        </w:rPr>
        <w:t xml:space="preserve">. Inland water-specific </w:t>
      </w:r>
      <w:r w:rsidR="00EE0BCB">
        <w:rPr>
          <w:rFonts w:cstheme="minorHAnsi"/>
        </w:rPr>
        <w:t>metrics</w:t>
      </w:r>
      <w:r>
        <w:rPr>
          <w:rFonts w:cstheme="minorHAnsi"/>
        </w:rPr>
        <w:t xml:space="preserve"> should be </w:t>
      </w:r>
      <w:r w:rsidR="00EE0BCB">
        <w:rPr>
          <w:rFonts w:cstheme="minorHAnsi"/>
        </w:rPr>
        <w:t xml:space="preserve">included in the </w:t>
      </w:r>
      <w:r w:rsidR="00F979BF" w:rsidRPr="00F979BF">
        <w:rPr>
          <w:color w:val="000000"/>
        </w:rPr>
        <w:t xml:space="preserve">goal and target </w:t>
      </w:r>
      <w:r w:rsidR="00EE0BCB">
        <w:rPr>
          <w:color w:val="000000"/>
        </w:rPr>
        <w:t xml:space="preserve">headline </w:t>
      </w:r>
      <w:r w:rsidR="00F979BF" w:rsidRPr="00F979BF">
        <w:rPr>
          <w:color w:val="000000"/>
        </w:rPr>
        <w:t>indicators</w:t>
      </w:r>
      <w:r>
        <w:rPr>
          <w:color w:val="000000"/>
        </w:rPr>
        <w:t>, including</w:t>
      </w:r>
      <w:r w:rsidR="00F979BF">
        <w:rPr>
          <w:color w:val="000000"/>
        </w:rPr>
        <w:t>:</w:t>
      </w:r>
      <w:r w:rsidR="00F979BF" w:rsidRPr="00F979BF">
        <w:rPr>
          <w:color w:val="000000"/>
        </w:rPr>
        <w:t xml:space="preserve"> </w:t>
      </w:r>
    </w:p>
    <w:p w14:paraId="426D239A" w14:textId="77777777" w:rsidR="00F979BF" w:rsidRPr="00F979BF" w:rsidRDefault="00460BAF" w:rsidP="001534DD">
      <w:pPr>
        <w:pStyle w:val="ListParagraph"/>
        <w:numPr>
          <w:ilvl w:val="2"/>
          <w:numId w:val="2"/>
        </w:numPr>
        <w:spacing w:after="120"/>
        <w:jc w:val="both"/>
        <w:rPr>
          <w:rFonts w:cstheme="minorHAnsi"/>
          <w:sz w:val="20"/>
          <w:szCs w:val="20"/>
        </w:rPr>
      </w:pPr>
      <w:r w:rsidRPr="00F979BF">
        <w:rPr>
          <w:color w:val="000000"/>
        </w:rPr>
        <w:t>A.2 Extent of natural ecosystems</w:t>
      </w:r>
      <w:r w:rsidR="00F979BF" w:rsidRPr="00F979BF">
        <w:rPr>
          <w:color w:val="000000"/>
        </w:rPr>
        <w:t xml:space="preserve">; </w:t>
      </w:r>
    </w:p>
    <w:p w14:paraId="264C0968" w14:textId="77777777" w:rsidR="00F979BF" w:rsidRPr="00F979BF" w:rsidRDefault="00460BAF" w:rsidP="001534DD">
      <w:pPr>
        <w:pStyle w:val="ListParagraph"/>
        <w:numPr>
          <w:ilvl w:val="2"/>
          <w:numId w:val="2"/>
        </w:numPr>
        <w:spacing w:after="120"/>
        <w:jc w:val="both"/>
        <w:rPr>
          <w:rFonts w:cstheme="minorHAnsi"/>
          <w:sz w:val="20"/>
          <w:szCs w:val="20"/>
        </w:rPr>
      </w:pPr>
      <w:r w:rsidRPr="00F979BF">
        <w:rPr>
          <w:color w:val="000000"/>
        </w:rPr>
        <w:t>1.1 Percentage of land and sea area covered by biodiversity-inclusive spatial plans</w:t>
      </w:r>
      <w:r w:rsidR="00F979BF" w:rsidRPr="00F979BF">
        <w:rPr>
          <w:color w:val="000000"/>
        </w:rPr>
        <w:t xml:space="preserve">; </w:t>
      </w:r>
    </w:p>
    <w:p w14:paraId="1468762F" w14:textId="728D02FD" w:rsidR="00F979BF" w:rsidRPr="00F979BF" w:rsidRDefault="00460BAF" w:rsidP="001534DD">
      <w:pPr>
        <w:pStyle w:val="ListParagraph"/>
        <w:numPr>
          <w:ilvl w:val="2"/>
          <w:numId w:val="2"/>
        </w:numPr>
        <w:spacing w:after="120"/>
        <w:jc w:val="both"/>
        <w:rPr>
          <w:rFonts w:cstheme="minorHAnsi"/>
          <w:sz w:val="20"/>
          <w:szCs w:val="20"/>
        </w:rPr>
      </w:pPr>
      <w:r w:rsidRPr="00F979BF">
        <w:rPr>
          <w:color w:val="000000"/>
        </w:rPr>
        <w:t>2.2 Area under restoration</w:t>
      </w:r>
      <w:r w:rsidR="00F979BF" w:rsidRPr="00F979BF">
        <w:rPr>
          <w:color w:val="000000"/>
        </w:rPr>
        <w:t xml:space="preserve">; and </w:t>
      </w:r>
    </w:p>
    <w:p w14:paraId="41A114FE" w14:textId="26B8A158" w:rsidR="00460BAF" w:rsidRPr="008B598E" w:rsidRDefault="00460BAF" w:rsidP="001534DD">
      <w:pPr>
        <w:pStyle w:val="ListParagraph"/>
        <w:numPr>
          <w:ilvl w:val="2"/>
          <w:numId w:val="2"/>
        </w:numPr>
        <w:spacing w:after="120"/>
        <w:jc w:val="both"/>
        <w:rPr>
          <w:rFonts w:cstheme="minorHAnsi"/>
          <w:sz w:val="20"/>
          <w:szCs w:val="20"/>
        </w:rPr>
      </w:pPr>
      <w:r w:rsidRPr="00F979BF">
        <w:rPr>
          <w:color w:val="000000"/>
        </w:rPr>
        <w:t>3.1 Coverage of protected areas and other effective area-based conservation measures</w:t>
      </w:r>
      <w:r w:rsidR="00F979BF">
        <w:rPr>
          <w:color w:val="000000"/>
        </w:rPr>
        <w:t>.</w:t>
      </w:r>
    </w:p>
    <w:p w14:paraId="1FA06497" w14:textId="59117FB5" w:rsidR="00EE0BCB" w:rsidRPr="00EE0BCB" w:rsidRDefault="00490AA1" w:rsidP="00EE0BCB">
      <w:pPr>
        <w:pStyle w:val="ListParagraph"/>
        <w:numPr>
          <w:ilvl w:val="0"/>
          <w:numId w:val="2"/>
        </w:numPr>
        <w:spacing w:before="120" w:after="120"/>
        <w:rPr>
          <w:rFonts w:cstheme="minorHAnsi"/>
        </w:rPr>
      </w:pPr>
      <w:r>
        <w:rPr>
          <w:rFonts w:cstheme="minorHAnsi"/>
          <w:kern w:val="2"/>
          <w:lang w:val="en-CA"/>
          <w14:ligatures w14:val="standardContextual"/>
        </w:rPr>
        <w:t xml:space="preserve">Given the importance </w:t>
      </w:r>
      <w:r w:rsidR="00227578">
        <w:rPr>
          <w:rFonts w:cstheme="minorHAnsi"/>
          <w:kern w:val="2"/>
          <w:lang w:val="en-CA"/>
          <w14:ligatures w14:val="standardContextual"/>
        </w:rPr>
        <w:t xml:space="preserve">of inland fisheries </w:t>
      </w:r>
      <w:r>
        <w:rPr>
          <w:rFonts w:cstheme="minorHAnsi"/>
          <w:kern w:val="2"/>
          <w:lang w:val="en-CA"/>
          <w14:ligatures w14:val="standardContextual"/>
        </w:rPr>
        <w:t>to the three goals of the convention, f</w:t>
      </w:r>
      <w:r w:rsidR="00EE0BCB" w:rsidRPr="00EE0BCB">
        <w:rPr>
          <w:rFonts w:cstheme="minorHAnsi"/>
          <w:kern w:val="2"/>
          <w:lang w:val="en-CA"/>
          <w14:ligatures w14:val="standardContextual"/>
        </w:rPr>
        <w:t xml:space="preserve">ishery-related indicators (e.g. Target 5 &amp; 9) must </w:t>
      </w:r>
      <w:r w:rsidR="00227578">
        <w:rPr>
          <w:rFonts w:cstheme="minorHAnsi"/>
          <w:kern w:val="2"/>
          <w:lang w:val="en-CA"/>
          <w14:ligatures w14:val="standardContextual"/>
        </w:rPr>
        <w:t xml:space="preserve">go beyond marine systems to </w:t>
      </w:r>
      <w:r w:rsidR="00EE0BCB" w:rsidRPr="00EE0BCB">
        <w:rPr>
          <w:rFonts w:cstheme="minorHAnsi"/>
          <w:kern w:val="2"/>
          <w:lang w:val="en-CA"/>
          <w14:ligatures w14:val="standardContextual"/>
        </w:rPr>
        <w:t>be relevant and accountable for the specific social, economic and environmental characteristics of inland fisheries. It should be noted that fishery indicators developed for marine fisheries are often inappropriate for use in inland fisheries</w:t>
      </w:r>
      <w:r w:rsidR="00EE0BCB">
        <w:rPr>
          <w:rFonts w:cstheme="minorHAnsi"/>
          <w:kern w:val="2"/>
          <w:lang w:val="en-CA"/>
          <w14:ligatures w14:val="standardContextual"/>
        </w:rPr>
        <w:t xml:space="preserve"> and alternative indicators are readily available for inland fisheries.</w:t>
      </w:r>
    </w:p>
    <w:p w14:paraId="7990C27C" w14:textId="77777777" w:rsidR="00FE31AC" w:rsidRPr="00FE31AC" w:rsidRDefault="00227578" w:rsidP="00FE31AC">
      <w:pPr>
        <w:pStyle w:val="ListParagraph"/>
        <w:numPr>
          <w:ilvl w:val="0"/>
          <w:numId w:val="2"/>
        </w:numPr>
        <w:spacing w:after="240"/>
        <w:ind w:left="360"/>
        <w:jc w:val="both"/>
      </w:pPr>
      <w:r w:rsidRPr="00227578">
        <w:rPr>
          <w:color w:val="000000"/>
        </w:rPr>
        <w:t>Lastly, headline indicators for Targets 10 (areas managed sustainably) and 11 (nature’s contributions to people), should include headline indicato</w:t>
      </w:r>
      <w:r>
        <w:rPr>
          <w:color w:val="000000"/>
        </w:rPr>
        <w:t xml:space="preserve">rs capable of representing </w:t>
      </w:r>
      <w:r w:rsidRPr="00227578">
        <w:rPr>
          <w:color w:val="000000"/>
        </w:rPr>
        <w:t>inland water</w:t>
      </w:r>
      <w:r>
        <w:rPr>
          <w:color w:val="000000"/>
        </w:rPr>
        <w:t>s consistent with the intent of the target</w:t>
      </w:r>
      <w:r w:rsidRPr="00227578">
        <w:rPr>
          <w:color w:val="000000"/>
        </w:rPr>
        <w:t xml:space="preserve">. </w:t>
      </w:r>
    </w:p>
    <w:p w14:paraId="242C1D7E" w14:textId="77777777" w:rsidR="00FE31AC" w:rsidRDefault="00FE31AC" w:rsidP="00FE31AC">
      <w:pPr>
        <w:spacing w:after="240"/>
        <w:jc w:val="both"/>
        <w:rPr>
          <w:b/>
          <w:bCs/>
          <w:sz w:val="24"/>
          <w:szCs w:val="24"/>
        </w:rPr>
      </w:pPr>
    </w:p>
    <w:p w14:paraId="60D51EC3" w14:textId="6401627C" w:rsidR="004570E4" w:rsidRPr="00FE31AC" w:rsidRDefault="004570E4" w:rsidP="00FE31AC">
      <w:pPr>
        <w:spacing w:after="240"/>
        <w:jc w:val="both"/>
      </w:pPr>
      <w:r w:rsidRPr="00FE31AC">
        <w:rPr>
          <w:b/>
          <w:bCs/>
          <w:sz w:val="24"/>
          <w:szCs w:val="24"/>
        </w:rPr>
        <w:t xml:space="preserve">Table 1. </w:t>
      </w:r>
      <w:r w:rsidR="006F4F23" w:rsidRPr="00FE31AC">
        <w:rPr>
          <w:sz w:val="24"/>
          <w:szCs w:val="24"/>
        </w:rPr>
        <w:t xml:space="preserve">Headline indicators that will be reviewed by the AHTEG that should be representative of inland water areas/and or dependent biodiversity (**). </w:t>
      </w:r>
    </w:p>
    <w:tbl>
      <w:tblPr>
        <w:tblStyle w:val="TableGrid"/>
        <w:tblW w:w="9956" w:type="dxa"/>
        <w:jc w:val="center"/>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90"/>
        <w:gridCol w:w="8730"/>
        <w:gridCol w:w="236"/>
      </w:tblGrid>
      <w:tr w:rsidR="004570E4" w:rsidRPr="004E7FDF" w14:paraId="7D0E2180" w14:textId="77777777" w:rsidTr="00FE31AC">
        <w:trPr>
          <w:gridAfter w:val="1"/>
          <w:wAfter w:w="236" w:type="dxa"/>
          <w:tblHeader/>
          <w:jc w:val="center"/>
        </w:trPr>
        <w:tc>
          <w:tcPr>
            <w:tcW w:w="990" w:type="dxa"/>
            <w:tcBorders>
              <w:top w:val="single" w:sz="4" w:space="0" w:color="auto"/>
              <w:bottom w:val="single" w:sz="4" w:space="0" w:color="auto"/>
            </w:tcBorders>
            <w:shd w:val="clear" w:color="auto" w:fill="8EAADB" w:themeFill="accent1" w:themeFillTint="99"/>
          </w:tcPr>
          <w:p w14:paraId="4D6A9638" w14:textId="5FE75107" w:rsidR="004570E4" w:rsidRPr="004E7FDF" w:rsidRDefault="004570E4" w:rsidP="00FB117F">
            <w:pPr>
              <w:rPr>
                <w:rFonts w:cstheme="minorHAnsi"/>
                <w:i/>
                <w:iCs/>
              </w:rPr>
            </w:pPr>
            <w:r w:rsidRPr="004E7FDF">
              <w:rPr>
                <w:rFonts w:cstheme="minorHAnsi"/>
                <w:i/>
                <w:iCs/>
              </w:rPr>
              <w:t>Goals</w:t>
            </w:r>
            <w:r w:rsidR="00460BAF">
              <w:rPr>
                <w:rFonts w:cstheme="minorHAnsi"/>
                <w:i/>
                <w:iCs/>
              </w:rPr>
              <w:t xml:space="preserve">, </w:t>
            </w:r>
            <w:r w:rsidRPr="004E7FDF">
              <w:rPr>
                <w:rFonts w:cstheme="minorHAnsi"/>
                <w:i/>
                <w:iCs/>
              </w:rPr>
              <w:t>Targets</w:t>
            </w:r>
          </w:p>
        </w:tc>
        <w:tc>
          <w:tcPr>
            <w:tcW w:w="8730" w:type="dxa"/>
            <w:tcBorders>
              <w:top w:val="single" w:sz="4" w:space="0" w:color="auto"/>
              <w:bottom w:val="single" w:sz="4" w:space="0" w:color="auto"/>
            </w:tcBorders>
            <w:shd w:val="clear" w:color="auto" w:fill="8EAADB" w:themeFill="accent1" w:themeFillTint="99"/>
          </w:tcPr>
          <w:p w14:paraId="6C3E5FDC" w14:textId="77777777" w:rsidR="004570E4" w:rsidRDefault="004570E4" w:rsidP="008F21B8">
            <w:pPr>
              <w:rPr>
                <w:rFonts w:cstheme="minorHAnsi"/>
                <w:i/>
                <w:iCs/>
              </w:rPr>
            </w:pPr>
            <w:r w:rsidRPr="004E7FDF">
              <w:rPr>
                <w:rFonts w:cstheme="minorHAnsi"/>
                <w:i/>
                <w:iCs/>
              </w:rPr>
              <w:t>Headline indicators that will be reviewed by AHTEG</w:t>
            </w:r>
          </w:p>
          <w:p w14:paraId="0D11C062" w14:textId="5CDB8306" w:rsidR="00460BAF" w:rsidRPr="004E7FDF" w:rsidRDefault="00460BAF" w:rsidP="008F21B8">
            <w:pPr>
              <w:rPr>
                <w:rFonts w:cstheme="minorHAnsi"/>
                <w:i/>
                <w:iCs/>
              </w:rPr>
            </w:pPr>
          </w:p>
        </w:tc>
      </w:tr>
      <w:tr w:rsidR="004570E4" w:rsidRPr="004E7FDF" w14:paraId="79F92BF2" w14:textId="77777777" w:rsidTr="00FE31AC">
        <w:trPr>
          <w:gridAfter w:val="1"/>
          <w:wAfter w:w="236" w:type="dxa"/>
          <w:jc w:val="center"/>
        </w:trPr>
        <w:tc>
          <w:tcPr>
            <w:tcW w:w="9720" w:type="dxa"/>
            <w:gridSpan w:val="2"/>
            <w:tcBorders>
              <w:top w:val="single" w:sz="4" w:space="0" w:color="auto"/>
            </w:tcBorders>
            <w:shd w:val="clear" w:color="auto" w:fill="auto"/>
          </w:tcPr>
          <w:p w14:paraId="22282AA8" w14:textId="4B5F8822" w:rsidR="004570E4" w:rsidRPr="004E7FDF" w:rsidRDefault="00460BAF" w:rsidP="00FB117F">
            <w:pPr>
              <w:spacing w:before="120" w:after="120"/>
              <w:rPr>
                <w:rFonts w:cstheme="minorHAnsi"/>
                <w:b/>
                <w:bCs/>
              </w:rPr>
            </w:pPr>
            <w:r>
              <w:rPr>
                <w:rFonts w:cstheme="minorHAnsi"/>
                <w:b/>
                <w:bCs/>
              </w:rPr>
              <w:t xml:space="preserve">AHTEG </w:t>
            </w:r>
            <w:r w:rsidR="004570E4" w:rsidRPr="004E7FDF">
              <w:rPr>
                <w:rFonts w:cstheme="minorHAnsi"/>
                <w:b/>
                <w:bCs/>
              </w:rPr>
              <w:t>Group 1</w:t>
            </w:r>
          </w:p>
        </w:tc>
      </w:tr>
      <w:tr w:rsidR="004570E4" w:rsidRPr="004E7FDF" w14:paraId="7605C952" w14:textId="77777777" w:rsidTr="00FE31AC">
        <w:trPr>
          <w:jc w:val="center"/>
        </w:trPr>
        <w:tc>
          <w:tcPr>
            <w:tcW w:w="990" w:type="dxa"/>
            <w:vMerge w:val="restart"/>
            <w:shd w:val="clear" w:color="auto" w:fill="auto"/>
          </w:tcPr>
          <w:p w14:paraId="6717D69A" w14:textId="77777777" w:rsidR="004570E4" w:rsidRPr="004E7FDF" w:rsidRDefault="004570E4" w:rsidP="00FB117F">
            <w:pPr>
              <w:rPr>
                <w:rFonts w:cstheme="minorHAnsi"/>
              </w:rPr>
            </w:pPr>
            <w:r w:rsidRPr="004E7FDF">
              <w:rPr>
                <w:rFonts w:cstheme="minorHAnsi"/>
              </w:rPr>
              <w:t>A, 4, 5</w:t>
            </w:r>
          </w:p>
        </w:tc>
        <w:tc>
          <w:tcPr>
            <w:tcW w:w="8730" w:type="dxa"/>
            <w:tcBorders>
              <w:top w:val="single" w:sz="4" w:space="0" w:color="auto"/>
              <w:bottom w:val="single" w:sz="4" w:space="0" w:color="auto"/>
              <w:right w:val="nil"/>
            </w:tcBorders>
            <w:shd w:val="clear" w:color="auto" w:fill="auto"/>
          </w:tcPr>
          <w:p w14:paraId="1890BD2C" w14:textId="0B3B325F" w:rsidR="004570E4" w:rsidRPr="004E7FDF" w:rsidRDefault="006F4F23" w:rsidP="00FB117F">
            <w:pPr>
              <w:rPr>
                <w:rFonts w:cstheme="minorHAnsi"/>
              </w:rPr>
            </w:pPr>
            <w:r>
              <w:rPr>
                <w:rFonts w:cstheme="minorHAnsi"/>
              </w:rPr>
              <w:t>**</w:t>
            </w:r>
            <w:r w:rsidR="004570E4" w:rsidRPr="004E7FDF">
              <w:rPr>
                <w:rFonts w:cstheme="minorHAnsi"/>
              </w:rPr>
              <w:t xml:space="preserve">A.1 Red List of Ecosystems </w:t>
            </w:r>
          </w:p>
        </w:tc>
        <w:tc>
          <w:tcPr>
            <w:tcW w:w="236" w:type="dxa"/>
            <w:vMerge w:val="restart"/>
            <w:tcBorders>
              <w:left w:val="nil"/>
            </w:tcBorders>
            <w:shd w:val="clear" w:color="auto" w:fill="auto"/>
          </w:tcPr>
          <w:p w14:paraId="03B5F1B1" w14:textId="77777777" w:rsidR="004570E4" w:rsidRPr="004E7FDF" w:rsidRDefault="004570E4" w:rsidP="00FB117F">
            <w:pPr>
              <w:rPr>
                <w:rFonts w:cstheme="minorHAnsi"/>
              </w:rPr>
            </w:pPr>
          </w:p>
        </w:tc>
      </w:tr>
      <w:tr w:rsidR="004570E4" w:rsidRPr="004E7FDF" w14:paraId="13C242B6" w14:textId="77777777" w:rsidTr="00FE31AC">
        <w:trPr>
          <w:jc w:val="center"/>
        </w:trPr>
        <w:tc>
          <w:tcPr>
            <w:tcW w:w="990" w:type="dxa"/>
            <w:vMerge/>
            <w:shd w:val="clear" w:color="auto" w:fill="auto"/>
          </w:tcPr>
          <w:p w14:paraId="57094D91"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shd w:val="clear" w:color="auto" w:fill="auto"/>
          </w:tcPr>
          <w:p w14:paraId="1AF19A68" w14:textId="499CF0C4" w:rsidR="004570E4" w:rsidRPr="004E7FDF" w:rsidRDefault="006F4F23" w:rsidP="00FB117F">
            <w:pPr>
              <w:tabs>
                <w:tab w:val="left" w:pos="4813"/>
              </w:tabs>
              <w:rPr>
                <w:rFonts w:cstheme="minorHAnsi"/>
              </w:rPr>
            </w:pPr>
            <w:r>
              <w:rPr>
                <w:rFonts w:cstheme="minorHAnsi"/>
              </w:rPr>
              <w:t>**</w:t>
            </w:r>
            <w:r w:rsidR="004570E4" w:rsidRPr="004E7FDF">
              <w:rPr>
                <w:rFonts w:cstheme="minorHAnsi"/>
              </w:rPr>
              <w:t xml:space="preserve">A.2 Extent of natural ecosystems </w:t>
            </w:r>
          </w:p>
        </w:tc>
        <w:tc>
          <w:tcPr>
            <w:tcW w:w="236" w:type="dxa"/>
            <w:vMerge/>
            <w:tcBorders>
              <w:left w:val="nil"/>
            </w:tcBorders>
            <w:shd w:val="clear" w:color="auto" w:fill="auto"/>
          </w:tcPr>
          <w:p w14:paraId="41BD3C62" w14:textId="77777777" w:rsidR="004570E4" w:rsidRPr="004E7FDF" w:rsidRDefault="004570E4" w:rsidP="00FB117F">
            <w:pPr>
              <w:rPr>
                <w:rFonts w:cstheme="minorHAnsi"/>
              </w:rPr>
            </w:pPr>
          </w:p>
        </w:tc>
      </w:tr>
      <w:tr w:rsidR="004570E4" w:rsidRPr="004E7FDF" w14:paraId="77EA34B3" w14:textId="77777777" w:rsidTr="00FE31AC">
        <w:trPr>
          <w:jc w:val="center"/>
        </w:trPr>
        <w:tc>
          <w:tcPr>
            <w:tcW w:w="990" w:type="dxa"/>
            <w:vMerge/>
            <w:shd w:val="clear" w:color="auto" w:fill="auto"/>
          </w:tcPr>
          <w:p w14:paraId="1E86020E"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shd w:val="clear" w:color="auto" w:fill="auto"/>
          </w:tcPr>
          <w:p w14:paraId="1609A6EF" w14:textId="24CD7EA0" w:rsidR="004570E4" w:rsidRPr="004E7FDF" w:rsidRDefault="006F4F23" w:rsidP="00FB117F">
            <w:pPr>
              <w:rPr>
                <w:rFonts w:cstheme="minorHAnsi"/>
              </w:rPr>
            </w:pPr>
            <w:r>
              <w:rPr>
                <w:rFonts w:cstheme="minorHAnsi"/>
              </w:rPr>
              <w:t>**</w:t>
            </w:r>
            <w:r w:rsidR="004570E4" w:rsidRPr="004E7FDF">
              <w:rPr>
                <w:rFonts w:cstheme="minorHAnsi"/>
              </w:rPr>
              <w:t>A.3 Red List Index</w:t>
            </w:r>
          </w:p>
        </w:tc>
        <w:tc>
          <w:tcPr>
            <w:tcW w:w="236" w:type="dxa"/>
            <w:vMerge/>
            <w:tcBorders>
              <w:left w:val="nil"/>
            </w:tcBorders>
            <w:shd w:val="clear" w:color="auto" w:fill="auto"/>
          </w:tcPr>
          <w:p w14:paraId="0B55DC1E" w14:textId="77777777" w:rsidR="004570E4" w:rsidRPr="004E7FDF" w:rsidRDefault="004570E4" w:rsidP="00FB117F">
            <w:pPr>
              <w:rPr>
                <w:rFonts w:cstheme="minorHAnsi"/>
              </w:rPr>
            </w:pPr>
          </w:p>
        </w:tc>
      </w:tr>
      <w:tr w:rsidR="004570E4" w:rsidRPr="004E7FDF" w14:paraId="6BED4EE7" w14:textId="77777777" w:rsidTr="00FE31AC">
        <w:trPr>
          <w:trHeight w:val="638"/>
          <w:jc w:val="center"/>
        </w:trPr>
        <w:tc>
          <w:tcPr>
            <w:tcW w:w="990" w:type="dxa"/>
            <w:vMerge/>
            <w:shd w:val="clear" w:color="auto" w:fill="auto"/>
          </w:tcPr>
          <w:p w14:paraId="6EF4B401"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shd w:val="clear" w:color="auto" w:fill="auto"/>
          </w:tcPr>
          <w:p w14:paraId="3CAA89AB" w14:textId="7A7F776B" w:rsidR="004570E4" w:rsidRPr="004E7FDF" w:rsidRDefault="006F4F23" w:rsidP="00FB117F">
            <w:pPr>
              <w:rPr>
                <w:rFonts w:cstheme="minorHAnsi"/>
              </w:rPr>
            </w:pPr>
            <w:r>
              <w:rPr>
                <w:rFonts w:cstheme="minorHAnsi"/>
              </w:rPr>
              <w:t>**</w:t>
            </w:r>
            <w:r w:rsidR="004570E4" w:rsidRPr="004E7FDF">
              <w:rPr>
                <w:rFonts w:cstheme="minorHAnsi"/>
              </w:rPr>
              <w:t>A.4 The proportion of populations within species with an effective population size &gt; 500</w:t>
            </w:r>
          </w:p>
        </w:tc>
        <w:tc>
          <w:tcPr>
            <w:tcW w:w="236" w:type="dxa"/>
            <w:vMerge/>
            <w:tcBorders>
              <w:left w:val="nil"/>
            </w:tcBorders>
            <w:shd w:val="clear" w:color="auto" w:fill="auto"/>
          </w:tcPr>
          <w:p w14:paraId="75702FF9" w14:textId="77777777" w:rsidR="004570E4" w:rsidRPr="004E7FDF" w:rsidRDefault="004570E4" w:rsidP="00FB117F">
            <w:pPr>
              <w:rPr>
                <w:rFonts w:cstheme="minorHAnsi"/>
              </w:rPr>
            </w:pPr>
          </w:p>
        </w:tc>
      </w:tr>
      <w:tr w:rsidR="004570E4" w:rsidRPr="004E7FDF" w14:paraId="2AB1ABC2" w14:textId="77777777" w:rsidTr="00FE31AC">
        <w:tblPrEx>
          <w:jc w:val="left"/>
        </w:tblPrEx>
        <w:tc>
          <w:tcPr>
            <w:tcW w:w="990" w:type="dxa"/>
            <w:vMerge/>
          </w:tcPr>
          <w:p w14:paraId="09F8E00B"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2BB7BDAB" w14:textId="07154606" w:rsidR="004570E4" w:rsidRPr="004E7FDF" w:rsidRDefault="006F4F23" w:rsidP="00FB117F">
            <w:pPr>
              <w:rPr>
                <w:rFonts w:cstheme="minorHAnsi"/>
              </w:rPr>
            </w:pPr>
            <w:r>
              <w:rPr>
                <w:rFonts w:cstheme="minorHAnsi"/>
              </w:rPr>
              <w:t>**</w:t>
            </w:r>
            <w:r w:rsidR="004570E4" w:rsidRPr="004E7FDF">
              <w:rPr>
                <w:rFonts w:cstheme="minorHAnsi"/>
              </w:rPr>
              <w:t>5.1 Proportion of fish stocks within biologically sustainable levels</w:t>
            </w:r>
          </w:p>
        </w:tc>
        <w:tc>
          <w:tcPr>
            <w:tcW w:w="236" w:type="dxa"/>
            <w:vMerge/>
            <w:tcBorders>
              <w:left w:val="nil"/>
            </w:tcBorders>
          </w:tcPr>
          <w:p w14:paraId="42F42163" w14:textId="77777777" w:rsidR="004570E4" w:rsidRPr="004E7FDF" w:rsidRDefault="004570E4" w:rsidP="00FB117F">
            <w:pPr>
              <w:rPr>
                <w:rFonts w:cstheme="minorHAnsi"/>
              </w:rPr>
            </w:pPr>
          </w:p>
        </w:tc>
      </w:tr>
      <w:tr w:rsidR="004570E4" w:rsidRPr="004E7FDF" w14:paraId="73C18625" w14:textId="77777777" w:rsidTr="00FE31AC">
        <w:tblPrEx>
          <w:jc w:val="left"/>
        </w:tblPrEx>
        <w:trPr>
          <w:gridAfter w:val="1"/>
          <w:wAfter w:w="236" w:type="dxa"/>
        </w:trPr>
        <w:tc>
          <w:tcPr>
            <w:tcW w:w="9720" w:type="dxa"/>
            <w:gridSpan w:val="2"/>
          </w:tcPr>
          <w:p w14:paraId="7D16EE51" w14:textId="63563CE6" w:rsidR="004570E4" w:rsidRPr="004E7FDF" w:rsidRDefault="00460BAF" w:rsidP="00FB117F">
            <w:pPr>
              <w:spacing w:before="120" w:after="120"/>
              <w:rPr>
                <w:rFonts w:cstheme="minorHAnsi"/>
                <w:b/>
                <w:bCs/>
              </w:rPr>
            </w:pPr>
            <w:r>
              <w:rPr>
                <w:rFonts w:cstheme="minorHAnsi"/>
                <w:b/>
                <w:bCs/>
              </w:rPr>
              <w:t xml:space="preserve">AHTEG </w:t>
            </w:r>
            <w:r w:rsidR="004570E4" w:rsidRPr="004E7FDF">
              <w:rPr>
                <w:rFonts w:cstheme="minorHAnsi"/>
                <w:b/>
                <w:bCs/>
              </w:rPr>
              <w:t>Group 2</w:t>
            </w:r>
          </w:p>
        </w:tc>
      </w:tr>
      <w:tr w:rsidR="004570E4" w:rsidRPr="004E7FDF" w14:paraId="590A8071" w14:textId="77777777" w:rsidTr="00FE31AC">
        <w:tblPrEx>
          <w:jc w:val="left"/>
        </w:tblPrEx>
        <w:trPr>
          <w:trHeight w:val="274"/>
        </w:trPr>
        <w:tc>
          <w:tcPr>
            <w:tcW w:w="990" w:type="dxa"/>
            <w:vMerge w:val="restart"/>
          </w:tcPr>
          <w:p w14:paraId="624428DC" w14:textId="77777777" w:rsidR="004570E4" w:rsidRPr="004E7FDF" w:rsidRDefault="004570E4" w:rsidP="00FB117F">
            <w:pPr>
              <w:rPr>
                <w:rFonts w:cstheme="minorHAnsi"/>
              </w:rPr>
            </w:pPr>
            <w:r w:rsidRPr="004E7FDF">
              <w:rPr>
                <w:rFonts w:cstheme="minorHAnsi"/>
              </w:rPr>
              <w:t xml:space="preserve">B, 9, 10, 11 </w:t>
            </w:r>
          </w:p>
        </w:tc>
        <w:tc>
          <w:tcPr>
            <w:tcW w:w="8730" w:type="dxa"/>
            <w:tcBorders>
              <w:top w:val="single" w:sz="4" w:space="0" w:color="auto"/>
              <w:bottom w:val="single" w:sz="4" w:space="0" w:color="auto"/>
              <w:right w:val="nil"/>
            </w:tcBorders>
          </w:tcPr>
          <w:p w14:paraId="6BE05DA8" w14:textId="562C1B49" w:rsidR="004570E4" w:rsidRPr="004E7FDF" w:rsidRDefault="006F4F23" w:rsidP="00FB117F">
            <w:pPr>
              <w:rPr>
                <w:rFonts w:cstheme="minorHAnsi"/>
              </w:rPr>
            </w:pPr>
            <w:r>
              <w:rPr>
                <w:rFonts w:cstheme="minorHAnsi"/>
              </w:rPr>
              <w:t>**</w:t>
            </w:r>
            <w:r w:rsidR="004570E4" w:rsidRPr="004E7FDF">
              <w:rPr>
                <w:rFonts w:cstheme="minorHAnsi"/>
              </w:rPr>
              <w:t>B.1 Services provided by ecosystems</w:t>
            </w:r>
            <w:r w:rsidR="004570E4" w:rsidRPr="004E7FDF">
              <w:rPr>
                <w:rFonts w:cstheme="minorHAnsi"/>
                <w:i/>
                <w:vertAlign w:val="superscript"/>
              </w:rPr>
              <w:t>a</w:t>
            </w:r>
          </w:p>
        </w:tc>
        <w:tc>
          <w:tcPr>
            <w:tcW w:w="236" w:type="dxa"/>
            <w:vMerge w:val="restart"/>
            <w:tcBorders>
              <w:left w:val="nil"/>
            </w:tcBorders>
          </w:tcPr>
          <w:p w14:paraId="1975D8CA" w14:textId="77777777" w:rsidR="004570E4" w:rsidRPr="004E7FDF" w:rsidRDefault="004570E4" w:rsidP="00FB117F">
            <w:pPr>
              <w:rPr>
                <w:rFonts w:cstheme="minorHAnsi"/>
              </w:rPr>
            </w:pPr>
          </w:p>
        </w:tc>
      </w:tr>
      <w:tr w:rsidR="004570E4" w:rsidRPr="004E7FDF" w14:paraId="11720A10" w14:textId="77777777" w:rsidTr="00FE31AC">
        <w:tblPrEx>
          <w:jc w:val="left"/>
        </w:tblPrEx>
        <w:tc>
          <w:tcPr>
            <w:tcW w:w="990" w:type="dxa"/>
            <w:vMerge/>
          </w:tcPr>
          <w:p w14:paraId="02EE5EB3"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0DB39EDF" w14:textId="751FA7D1" w:rsidR="004570E4" w:rsidRPr="004E7FDF" w:rsidRDefault="006F4F23" w:rsidP="00FB117F">
            <w:pPr>
              <w:rPr>
                <w:rFonts w:cstheme="minorHAnsi"/>
              </w:rPr>
            </w:pPr>
            <w:r>
              <w:rPr>
                <w:rFonts w:cstheme="minorHAnsi"/>
              </w:rPr>
              <w:t>**</w:t>
            </w:r>
            <w:r w:rsidR="004570E4" w:rsidRPr="004E7FDF">
              <w:rPr>
                <w:rFonts w:cstheme="minorHAnsi"/>
              </w:rPr>
              <w:t>9.1 Benefits from the sustainable use of wild species</w:t>
            </w:r>
            <w:r w:rsidR="004570E4" w:rsidRPr="004E7FDF">
              <w:rPr>
                <w:rFonts w:cstheme="minorHAnsi"/>
                <w:i/>
                <w:vertAlign w:val="superscript"/>
              </w:rPr>
              <w:t>a</w:t>
            </w:r>
          </w:p>
        </w:tc>
        <w:tc>
          <w:tcPr>
            <w:tcW w:w="236" w:type="dxa"/>
            <w:vMerge/>
            <w:tcBorders>
              <w:left w:val="nil"/>
            </w:tcBorders>
          </w:tcPr>
          <w:p w14:paraId="3EE27A13" w14:textId="77777777" w:rsidR="004570E4" w:rsidRPr="004E7FDF" w:rsidRDefault="004570E4" w:rsidP="00FB117F">
            <w:pPr>
              <w:rPr>
                <w:rFonts w:cstheme="minorHAnsi"/>
              </w:rPr>
            </w:pPr>
          </w:p>
        </w:tc>
      </w:tr>
      <w:tr w:rsidR="004570E4" w:rsidRPr="004E7FDF" w14:paraId="5BAE5B03" w14:textId="77777777" w:rsidTr="00FE31AC">
        <w:tblPrEx>
          <w:jc w:val="left"/>
        </w:tblPrEx>
        <w:tc>
          <w:tcPr>
            <w:tcW w:w="990" w:type="dxa"/>
            <w:vMerge/>
          </w:tcPr>
          <w:p w14:paraId="5EF8D583"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0B23EA4B" w14:textId="5A75F722" w:rsidR="004570E4" w:rsidRPr="004E7FDF" w:rsidRDefault="006F4F23" w:rsidP="00FB117F">
            <w:pPr>
              <w:rPr>
                <w:rFonts w:cstheme="minorHAnsi"/>
              </w:rPr>
            </w:pPr>
            <w:r>
              <w:rPr>
                <w:rFonts w:cstheme="minorHAnsi"/>
              </w:rPr>
              <w:t>**</w:t>
            </w:r>
            <w:r w:rsidR="004570E4" w:rsidRPr="004E7FDF">
              <w:rPr>
                <w:rFonts w:cstheme="minorHAnsi"/>
              </w:rPr>
              <w:t>9.2 Percentage of the population in traditional occupations</w:t>
            </w:r>
            <w:r w:rsidR="004570E4" w:rsidRPr="004E7FDF">
              <w:rPr>
                <w:rFonts w:cstheme="minorHAnsi"/>
                <w:i/>
                <w:vertAlign w:val="superscript"/>
              </w:rPr>
              <w:t>a</w:t>
            </w:r>
          </w:p>
        </w:tc>
        <w:tc>
          <w:tcPr>
            <w:tcW w:w="236" w:type="dxa"/>
            <w:vMerge/>
            <w:tcBorders>
              <w:left w:val="nil"/>
            </w:tcBorders>
          </w:tcPr>
          <w:p w14:paraId="7BE001B4" w14:textId="77777777" w:rsidR="004570E4" w:rsidRPr="004E7FDF" w:rsidRDefault="004570E4" w:rsidP="00FB117F">
            <w:pPr>
              <w:rPr>
                <w:rFonts w:cstheme="minorHAnsi"/>
              </w:rPr>
            </w:pPr>
          </w:p>
        </w:tc>
      </w:tr>
      <w:tr w:rsidR="004570E4" w:rsidRPr="004E7FDF" w14:paraId="0B2A6BF9" w14:textId="77777777" w:rsidTr="00FE31AC">
        <w:tblPrEx>
          <w:jc w:val="left"/>
        </w:tblPrEx>
        <w:tc>
          <w:tcPr>
            <w:tcW w:w="990" w:type="dxa"/>
            <w:vMerge/>
          </w:tcPr>
          <w:p w14:paraId="4AE66F69"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054CE983" w14:textId="77777777" w:rsidR="004570E4" w:rsidRPr="004E7FDF" w:rsidRDefault="004570E4" w:rsidP="00FB117F">
            <w:pPr>
              <w:rPr>
                <w:rFonts w:cstheme="minorHAnsi"/>
              </w:rPr>
            </w:pPr>
            <w:r w:rsidRPr="004E7FDF">
              <w:rPr>
                <w:rFonts w:cstheme="minorHAnsi"/>
              </w:rPr>
              <w:t>10.1 Proportion of agricultural area under productive and sustainable agriculture</w:t>
            </w:r>
          </w:p>
        </w:tc>
        <w:tc>
          <w:tcPr>
            <w:tcW w:w="236" w:type="dxa"/>
            <w:vMerge/>
            <w:tcBorders>
              <w:left w:val="nil"/>
            </w:tcBorders>
          </w:tcPr>
          <w:p w14:paraId="72A6FC50" w14:textId="77777777" w:rsidR="004570E4" w:rsidRPr="004E7FDF" w:rsidRDefault="004570E4" w:rsidP="00FB117F">
            <w:pPr>
              <w:rPr>
                <w:rFonts w:cstheme="minorHAnsi"/>
              </w:rPr>
            </w:pPr>
          </w:p>
        </w:tc>
      </w:tr>
      <w:tr w:rsidR="004570E4" w:rsidRPr="004E7FDF" w14:paraId="662589AD" w14:textId="77777777" w:rsidTr="00FE31AC">
        <w:tblPrEx>
          <w:jc w:val="left"/>
        </w:tblPrEx>
        <w:trPr>
          <w:trHeight w:val="342"/>
        </w:trPr>
        <w:tc>
          <w:tcPr>
            <w:tcW w:w="990" w:type="dxa"/>
            <w:vMerge/>
          </w:tcPr>
          <w:p w14:paraId="757CD9F0"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51C1CC04" w14:textId="77777777" w:rsidR="004570E4" w:rsidRPr="004E7FDF" w:rsidRDefault="004570E4" w:rsidP="00FB117F">
            <w:pPr>
              <w:rPr>
                <w:rFonts w:cstheme="minorHAnsi"/>
              </w:rPr>
            </w:pPr>
            <w:r w:rsidRPr="004E7FDF">
              <w:rPr>
                <w:rFonts w:cstheme="minorHAnsi"/>
              </w:rPr>
              <w:t>10.2 Progress towards sustainable forest management</w:t>
            </w:r>
          </w:p>
        </w:tc>
        <w:tc>
          <w:tcPr>
            <w:tcW w:w="236" w:type="dxa"/>
            <w:vMerge/>
            <w:tcBorders>
              <w:left w:val="nil"/>
            </w:tcBorders>
          </w:tcPr>
          <w:p w14:paraId="12BC8ACD" w14:textId="77777777" w:rsidR="004570E4" w:rsidRPr="004E7FDF" w:rsidRDefault="004570E4" w:rsidP="00FB117F">
            <w:pPr>
              <w:rPr>
                <w:rFonts w:cstheme="minorHAnsi"/>
              </w:rPr>
            </w:pPr>
          </w:p>
        </w:tc>
      </w:tr>
      <w:tr w:rsidR="004570E4" w:rsidRPr="004E7FDF" w14:paraId="5CBCD3E6" w14:textId="77777777" w:rsidTr="00FE31AC">
        <w:tblPrEx>
          <w:jc w:val="left"/>
        </w:tblPrEx>
        <w:trPr>
          <w:gridAfter w:val="1"/>
          <w:wAfter w:w="236" w:type="dxa"/>
        </w:trPr>
        <w:tc>
          <w:tcPr>
            <w:tcW w:w="9720" w:type="dxa"/>
            <w:gridSpan w:val="2"/>
          </w:tcPr>
          <w:p w14:paraId="491F9C52" w14:textId="21E5D750" w:rsidR="004570E4" w:rsidRPr="004E7FDF" w:rsidRDefault="00460BAF" w:rsidP="00FB117F">
            <w:pPr>
              <w:spacing w:before="120" w:after="120"/>
              <w:rPr>
                <w:rFonts w:cstheme="minorHAnsi"/>
                <w:b/>
                <w:bCs/>
              </w:rPr>
            </w:pPr>
            <w:r>
              <w:rPr>
                <w:rFonts w:cstheme="minorHAnsi"/>
                <w:b/>
                <w:bCs/>
              </w:rPr>
              <w:t xml:space="preserve">AHTEG </w:t>
            </w:r>
            <w:r w:rsidR="004570E4" w:rsidRPr="004E7FDF">
              <w:rPr>
                <w:rFonts w:cstheme="minorHAnsi"/>
                <w:b/>
                <w:bCs/>
              </w:rPr>
              <w:t>Group 3</w:t>
            </w:r>
          </w:p>
        </w:tc>
      </w:tr>
      <w:tr w:rsidR="004570E4" w:rsidRPr="004E7FDF" w14:paraId="24738C2D" w14:textId="77777777" w:rsidTr="00FE31AC">
        <w:tblPrEx>
          <w:jc w:val="left"/>
        </w:tblPrEx>
        <w:tc>
          <w:tcPr>
            <w:tcW w:w="990" w:type="dxa"/>
            <w:vMerge w:val="restart"/>
          </w:tcPr>
          <w:p w14:paraId="5319FDCA" w14:textId="77777777" w:rsidR="004570E4" w:rsidRPr="004E7FDF" w:rsidRDefault="004570E4" w:rsidP="00FB117F">
            <w:pPr>
              <w:rPr>
                <w:rFonts w:cstheme="minorHAnsi"/>
              </w:rPr>
            </w:pPr>
            <w:r w:rsidRPr="004E7FDF">
              <w:rPr>
                <w:rFonts w:cstheme="minorHAnsi"/>
              </w:rPr>
              <w:t>C, 13, 15</w:t>
            </w:r>
          </w:p>
        </w:tc>
        <w:tc>
          <w:tcPr>
            <w:tcW w:w="8730" w:type="dxa"/>
            <w:tcBorders>
              <w:top w:val="single" w:sz="4" w:space="0" w:color="auto"/>
              <w:bottom w:val="single" w:sz="4" w:space="0" w:color="auto"/>
              <w:right w:val="nil"/>
            </w:tcBorders>
          </w:tcPr>
          <w:p w14:paraId="272A030E" w14:textId="41EE754E" w:rsidR="004570E4" w:rsidRPr="004E7FDF" w:rsidRDefault="006F4F23" w:rsidP="00FB117F">
            <w:pPr>
              <w:rPr>
                <w:rFonts w:cstheme="minorHAnsi"/>
              </w:rPr>
            </w:pPr>
            <w:r>
              <w:rPr>
                <w:rFonts w:cstheme="minorHAnsi"/>
              </w:rPr>
              <w:t>**</w:t>
            </w:r>
            <w:r w:rsidR="004570E4" w:rsidRPr="004E7FDF">
              <w:rPr>
                <w:rFonts w:cstheme="minorHAnsi"/>
              </w:rPr>
              <w:t>C.1 Indicator on monetary benefits received</w:t>
            </w:r>
            <w:r w:rsidR="004570E4" w:rsidRPr="004E7FDF">
              <w:rPr>
                <w:rFonts w:cstheme="minorHAnsi"/>
                <w:i/>
                <w:vertAlign w:val="superscript"/>
              </w:rPr>
              <w:t>a</w:t>
            </w:r>
          </w:p>
        </w:tc>
        <w:tc>
          <w:tcPr>
            <w:tcW w:w="236" w:type="dxa"/>
            <w:vMerge w:val="restart"/>
            <w:tcBorders>
              <w:left w:val="nil"/>
            </w:tcBorders>
          </w:tcPr>
          <w:p w14:paraId="11C3ED4E" w14:textId="77777777" w:rsidR="004570E4" w:rsidRPr="004E7FDF" w:rsidRDefault="004570E4" w:rsidP="00FB117F">
            <w:pPr>
              <w:rPr>
                <w:rFonts w:cstheme="minorHAnsi"/>
              </w:rPr>
            </w:pPr>
          </w:p>
        </w:tc>
      </w:tr>
      <w:tr w:rsidR="004570E4" w:rsidRPr="004E7FDF" w14:paraId="2AA71AE6" w14:textId="77777777" w:rsidTr="00FE31AC">
        <w:tblPrEx>
          <w:jc w:val="left"/>
        </w:tblPrEx>
        <w:tc>
          <w:tcPr>
            <w:tcW w:w="990" w:type="dxa"/>
            <w:vMerge/>
          </w:tcPr>
          <w:p w14:paraId="7FD54EB8"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3539E7C6" w14:textId="35257739" w:rsidR="004570E4" w:rsidRPr="004E7FDF" w:rsidRDefault="006F4F23" w:rsidP="00FB117F">
            <w:pPr>
              <w:rPr>
                <w:rFonts w:cstheme="minorHAnsi"/>
              </w:rPr>
            </w:pPr>
            <w:r>
              <w:rPr>
                <w:rFonts w:cstheme="minorHAnsi"/>
              </w:rPr>
              <w:t>**</w:t>
            </w:r>
            <w:r w:rsidR="004570E4" w:rsidRPr="004E7FDF">
              <w:rPr>
                <w:rFonts w:cstheme="minorHAnsi"/>
              </w:rPr>
              <w:t>C.2 Indicator on non-monetary benefits</w:t>
            </w:r>
            <w:r w:rsidR="004570E4" w:rsidRPr="004E7FDF">
              <w:rPr>
                <w:rFonts w:cstheme="minorHAnsi"/>
                <w:i/>
                <w:vertAlign w:val="superscript"/>
              </w:rPr>
              <w:t>a</w:t>
            </w:r>
          </w:p>
        </w:tc>
        <w:tc>
          <w:tcPr>
            <w:tcW w:w="236" w:type="dxa"/>
            <w:vMerge/>
            <w:tcBorders>
              <w:left w:val="nil"/>
            </w:tcBorders>
          </w:tcPr>
          <w:p w14:paraId="097D6562" w14:textId="77777777" w:rsidR="004570E4" w:rsidRPr="004E7FDF" w:rsidRDefault="004570E4" w:rsidP="00FB117F">
            <w:pPr>
              <w:rPr>
                <w:rFonts w:cstheme="minorHAnsi"/>
              </w:rPr>
            </w:pPr>
          </w:p>
        </w:tc>
      </w:tr>
      <w:tr w:rsidR="004570E4" w:rsidRPr="004E7FDF" w14:paraId="737C4D9A" w14:textId="77777777" w:rsidTr="00FE31AC">
        <w:tblPrEx>
          <w:jc w:val="left"/>
        </w:tblPrEx>
        <w:tc>
          <w:tcPr>
            <w:tcW w:w="990" w:type="dxa"/>
            <w:vMerge/>
          </w:tcPr>
          <w:p w14:paraId="67BFA92B"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3EC9B8A1" w14:textId="4C520087" w:rsidR="004570E4" w:rsidRPr="004E7FDF" w:rsidRDefault="006F4F23" w:rsidP="00FB117F">
            <w:pPr>
              <w:rPr>
                <w:rFonts w:cstheme="minorHAnsi"/>
              </w:rPr>
            </w:pPr>
            <w:r>
              <w:rPr>
                <w:rFonts w:cstheme="minorHAnsi"/>
              </w:rPr>
              <w:t>**</w:t>
            </w:r>
            <w:r w:rsidR="004570E4" w:rsidRPr="004E7FDF">
              <w:rPr>
                <w:rFonts w:cstheme="minorHAnsi"/>
              </w:rPr>
              <w:t>15.1 Number of companies reporting on disclosures of risks, dependencies and impacts on biodiversity</w:t>
            </w:r>
            <w:r w:rsidR="004570E4" w:rsidRPr="004E7FDF">
              <w:rPr>
                <w:rFonts w:cstheme="minorHAnsi"/>
                <w:i/>
                <w:vertAlign w:val="superscript"/>
              </w:rPr>
              <w:t>a</w:t>
            </w:r>
          </w:p>
        </w:tc>
        <w:tc>
          <w:tcPr>
            <w:tcW w:w="236" w:type="dxa"/>
            <w:vMerge/>
            <w:tcBorders>
              <w:left w:val="nil"/>
            </w:tcBorders>
          </w:tcPr>
          <w:p w14:paraId="5BBCC271" w14:textId="77777777" w:rsidR="004570E4" w:rsidRPr="004E7FDF" w:rsidRDefault="004570E4" w:rsidP="00FB117F">
            <w:pPr>
              <w:rPr>
                <w:rFonts w:cstheme="minorHAnsi"/>
              </w:rPr>
            </w:pPr>
          </w:p>
        </w:tc>
      </w:tr>
      <w:tr w:rsidR="004570E4" w:rsidRPr="004E7FDF" w14:paraId="35388C55" w14:textId="77777777" w:rsidTr="00FE31AC">
        <w:tblPrEx>
          <w:jc w:val="left"/>
        </w:tblPrEx>
        <w:trPr>
          <w:gridAfter w:val="1"/>
          <w:wAfter w:w="236" w:type="dxa"/>
        </w:trPr>
        <w:tc>
          <w:tcPr>
            <w:tcW w:w="9720" w:type="dxa"/>
            <w:gridSpan w:val="2"/>
          </w:tcPr>
          <w:p w14:paraId="18310689" w14:textId="3D09503E" w:rsidR="004570E4" w:rsidRDefault="004570E4" w:rsidP="00FB117F">
            <w:pPr>
              <w:spacing w:before="120" w:after="120"/>
              <w:rPr>
                <w:rFonts w:cstheme="minorHAnsi"/>
                <w:b/>
                <w:bCs/>
              </w:rPr>
            </w:pPr>
          </w:p>
          <w:tbl>
            <w:tblPr>
              <w:tblStyle w:val="TableGrid"/>
              <w:tblW w:w="9960" w:type="dxa"/>
              <w:jc w:val="center"/>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960"/>
            </w:tblGrid>
            <w:tr w:rsidR="00A85BC0" w14:paraId="4B68B248" w14:textId="77777777" w:rsidTr="0078036F">
              <w:trPr>
                <w:jc w:val="center"/>
              </w:trPr>
              <w:tc>
                <w:tcPr>
                  <w:tcW w:w="9960" w:type="dxa"/>
                  <w:tcBorders>
                    <w:top w:val="single" w:sz="4" w:space="0" w:color="auto"/>
                    <w:left w:val="nil"/>
                    <w:bottom w:val="nil"/>
                    <w:right w:val="nil"/>
                  </w:tcBorders>
                  <w:hideMark/>
                </w:tcPr>
                <w:p w14:paraId="2F5783D1" w14:textId="50A09047" w:rsidR="00A85BC0" w:rsidRDefault="00A85BC0" w:rsidP="00A85BC0">
                  <w:pPr>
                    <w:spacing w:before="120" w:after="120"/>
                    <w:rPr>
                      <w:rFonts w:cstheme="minorHAnsi"/>
                      <w:b/>
                      <w:bCs/>
                    </w:rPr>
                  </w:pPr>
                  <w:r>
                    <w:rPr>
                      <w:rFonts w:cstheme="minorHAnsi"/>
                      <w:b/>
                      <w:bCs/>
                    </w:rPr>
                    <w:t xml:space="preserve">AHTEG Group </w:t>
                  </w:r>
                  <w:r w:rsidR="00126389">
                    <w:rPr>
                      <w:rFonts w:cstheme="minorHAnsi"/>
                      <w:b/>
                      <w:bCs/>
                    </w:rPr>
                    <w:t>4</w:t>
                  </w:r>
                </w:p>
              </w:tc>
            </w:tr>
          </w:tbl>
          <w:p w14:paraId="02BA0403" w14:textId="08EC802D" w:rsidR="00A85BC0" w:rsidRPr="004E7FDF" w:rsidRDefault="00A85BC0" w:rsidP="00FB117F">
            <w:pPr>
              <w:spacing w:before="120" w:after="120"/>
              <w:rPr>
                <w:rFonts w:cstheme="minorHAnsi"/>
                <w:b/>
                <w:bCs/>
              </w:rPr>
            </w:pPr>
          </w:p>
        </w:tc>
      </w:tr>
      <w:tr w:rsidR="004570E4" w:rsidRPr="004E7FDF" w14:paraId="5F6BFA66" w14:textId="77777777" w:rsidTr="00FE31AC">
        <w:tblPrEx>
          <w:jc w:val="left"/>
        </w:tblPrEx>
        <w:tc>
          <w:tcPr>
            <w:tcW w:w="990" w:type="dxa"/>
            <w:vMerge w:val="restart"/>
          </w:tcPr>
          <w:p w14:paraId="556C56EC" w14:textId="77777777" w:rsidR="004570E4" w:rsidRPr="004E7FDF" w:rsidRDefault="004570E4" w:rsidP="00FB117F">
            <w:pPr>
              <w:rPr>
                <w:rFonts w:cstheme="minorHAnsi"/>
              </w:rPr>
            </w:pPr>
            <w:r w:rsidRPr="004E7FDF">
              <w:rPr>
                <w:rFonts w:cstheme="minorHAnsi"/>
              </w:rPr>
              <w:t>1, 2, 3, 12</w:t>
            </w:r>
          </w:p>
        </w:tc>
        <w:tc>
          <w:tcPr>
            <w:tcW w:w="8730" w:type="dxa"/>
            <w:tcBorders>
              <w:top w:val="single" w:sz="4" w:space="0" w:color="auto"/>
              <w:bottom w:val="single" w:sz="4" w:space="0" w:color="auto"/>
              <w:right w:val="nil"/>
            </w:tcBorders>
          </w:tcPr>
          <w:p w14:paraId="384F7580" w14:textId="589AD098" w:rsidR="004570E4" w:rsidRPr="004E7FDF" w:rsidRDefault="006F4F23" w:rsidP="00FB117F">
            <w:pPr>
              <w:rPr>
                <w:rFonts w:cstheme="minorHAnsi"/>
              </w:rPr>
            </w:pPr>
            <w:r>
              <w:rPr>
                <w:rFonts w:cstheme="minorHAnsi"/>
              </w:rPr>
              <w:t>**</w:t>
            </w:r>
            <w:r w:rsidR="004570E4" w:rsidRPr="004E7FDF">
              <w:rPr>
                <w:rFonts w:cstheme="minorHAnsi"/>
              </w:rPr>
              <w:t>1.1 Percentage of land and sea area covered by biodiversity-inclusive spatial plans</w:t>
            </w:r>
            <w:r w:rsidR="004570E4" w:rsidRPr="004E7FDF">
              <w:rPr>
                <w:rFonts w:cstheme="minorHAnsi"/>
                <w:i/>
                <w:vertAlign w:val="superscript"/>
              </w:rPr>
              <w:t>a</w:t>
            </w:r>
          </w:p>
        </w:tc>
        <w:tc>
          <w:tcPr>
            <w:tcW w:w="236" w:type="dxa"/>
            <w:vMerge w:val="restart"/>
            <w:tcBorders>
              <w:left w:val="nil"/>
            </w:tcBorders>
          </w:tcPr>
          <w:p w14:paraId="0CACBE25" w14:textId="77777777" w:rsidR="004570E4" w:rsidRDefault="004570E4" w:rsidP="00FB117F">
            <w:pPr>
              <w:rPr>
                <w:rFonts w:cstheme="minorHAnsi"/>
              </w:rPr>
            </w:pPr>
          </w:p>
          <w:p w14:paraId="5B5B7A34" w14:textId="77777777" w:rsidR="000336F2" w:rsidRPr="004E7FDF" w:rsidRDefault="000336F2" w:rsidP="00FB117F">
            <w:pPr>
              <w:rPr>
                <w:rFonts w:cstheme="minorHAnsi"/>
              </w:rPr>
            </w:pPr>
          </w:p>
        </w:tc>
      </w:tr>
      <w:tr w:rsidR="004570E4" w:rsidRPr="004E7FDF" w14:paraId="79673372" w14:textId="77777777" w:rsidTr="00FE31AC">
        <w:tblPrEx>
          <w:jc w:val="left"/>
        </w:tblPrEx>
        <w:tc>
          <w:tcPr>
            <w:tcW w:w="990" w:type="dxa"/>
            <w:vMerge/>
          </w:tcPr>
          <w:p w14:paraId="4C720F45"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4EC09957" w14:textId="527076A1" w:rsidR="004570E4" w:rsidRPr="004E7FDF" w:rsidRDefault="006F4F23" w:rsidP="00FB117F">
            <w:pPr>
              <w:rPr>
                <w:rFonts w:cstheme="minorHAnsi"/>
              </w:rPr>
            </w:pPr>
            <w:r>
              <w:rPr>
                <w:rFonts w:cstheme="minorHAnsi"/>
              </w:rPr>
              <w:t>**</w:t>
            </w:r>
            <w:r w:rsidR="004570E4" w:rsidRPr="004E7FDF">
              <w:rPr>
                <w:rFonts w:cstheme="minorHAnsi"/>
              </w:rPr>
              <w:t>2.2 Area under restoration</w:t>
            </w:r>
            <w:r w:rsidR="004570E4" w:rsidRPr="004E7FDF">
              <w:rPr>
                <w:rFonts w:cstheme="minorHAnsi"/>
                <w:i/>
                <w:vertAlign w:val="superscript"/>
              </w:rPr>
              <w:t>a</w:t>
            </w:r>
            <w:r w:rsidR="004570E4" w:rsidRPr="004E7FDF">
              <w:rPr>
                <w:rFonts w:cstheme="minorHAnsi"/>
              </w:rPr>
              <w:t xml:space="preserve"> </w:t>
            </w:r>
          </w:p>
        </w:tc>
        <w:tc>
          <w:tcPr>
            <w:tcW w:w="236" w:type="dxa"/>
            <w:vMerge/>
            <w:tcBorders>
              <w:left w:val="nil"/>
            </w:tcBorders>
          </w:tcPr>
          <w:p w14:paraId="4DC77F30" w14:textId="77777777" w:rsidR="004570E4" w:rsidRPr="004E7FDF" w:rsidRDefault="004570E4" w:rsidP="00FB117F">
            <w:pPr>
              <w:rPr>
                <w:rFonts w:cstheme="minorHAnsi"/>
              </w:rPr>
            </w:pPr>
          </w:p>
        </w:tc>
      </w:tr>
      <w:tr w:rsidR="004570E4" w:rsidRPr="004E7FDF" w14:paraId="0D301E2B" w14:textId="77777777" w:rsidTr="00FE31AC">
        <w:tblPrEx>
          <w:jc w:val="left"/>
        </w:tblPrEx>
        <w:tc>
          <w:tcPr>
            <w:tcW w:w="990" w:type="dxa"/>
            <w:vMerge/>
          </w:tcPr>
          <w:p w14:paraId="072D828C"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77F5D826" w14:textId="42ACA20E" w:rsidR="004570E4" w:rsidRPr="004E7FDF" w:rsidRDefault="006F4F23" w:rsidP="00FB117F">
            <w:pPr>
              <w:rPr>
                <w:rFonts w:eastAsia="DengXian" w:cstheme="minorHAnsi"/>
              </w:rPr>
            </w:pPr>
            <w:r>
              <w:rPr>
                <w:rFonts w:cstheme="minorHAnsi"/>
              </w:rPr>
              <w:t>**</w:t>
            </w:r>
            <w:r w:rsidR="004570E4" w:rsidRPr="004E7FDF">
              <w:rPr>
                <w:rFonts w:cstheme="minorHAnsi"/>
              </w:rPr>
              <w:t>3.1 Coverage of protected areas and other effective area-based conservation measures</w:t>
            </w:r>
          </w:p>
        </w:tc>
        <w:tc>
          <w:tcPr>
            <w:tcW w:w="236" w:type="dxa"/>
            <w:vMerge/>
            <w:tcBorders>
              <w:left w:val="nil"/>
            </w:tcBorders>
          </w:tcPr>
          <w:p w14:paraId="2D7218DA" w14:textId="77777777" w:rsidR="004570E4" w:rsidRPr="004E7FDF" w:rsidRDefault="004570E4" w:rsidP="00FB117F">
            <w:pPr>
              <w:rPr>
                <w:rFonts w:cstheme="minorHAnsi"/>
              </w:rPr>
            </w:pPr>
          </w:p>
        </w:tc>
      </w:tr>
      <w:tr w:rsidR="004570E4" w:rsidRPr="004E7FDF" w14:paraId="200A2606" w14:textId="77777777" w:rsidTr="00FE31AC">
        <w:tblPrEx>
          <w:jc w:val="left"/>
        </w:tblPrEx>
        <w:trPr>
          <w:trHeight w:val="593"/>
        </w:trPr>
        <w:tc>
          <w:tcPr>
            <w:tcW w:w="990" w:type="dxa"/>
            <w:vMerge/>
          </w:tcPr>
          <w:p w14:paraId="0A02093A"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0B28B2FE" w14:textId="5273147C" w:rsidR="004570E4" w:rsidRPr="004E7FDF" w:rsidRDefault="006F4F23" w:rsidP="00FB117F">
            <w:pPr>
              <w:rPr>
                <w:rFonts w:cstheme="minorHAnsi"/>
                <w:color w:val="000000"/>
              </w:rPr>
            </w:pPr>
            <w:r>
              <w:rPr>
                <w:rFonts w:cstheme="minorHAnsi"/>
              </w:rPr>
              <w:t>**</w:t>
            </w:r>
            <w:r w:rsidR="004570E4" w:rsidRPr="004E7FDF">
              <w:rPr>
                <w:rFonts w:cstheme="minorHAnsi"/>
              </w:rPr>
              <w:t>12.1 Average share of the built-up area of cities that is green/blue space for public use for all</w:t>
            </w:r>
          </w:p>
        </w:tc>
        <w:tc>
          <w:tcPr>
            <w:tcW w:w="236" w:type="dxa"/>
            <w:vMerge/>
            <w:tcBorders>
              <w:left w:val="nil"/>
            </w:tcBorders>
          </w:tcPr>
          <w:p w14:paraId="3367613D" w14:textId="77777777" w:rsidR="004570E4" w:rsidRPr="004E7FDF" w:rsidRDefault="004570E4" w:rsidP="00FB117F">
            <w:pPr>
              <w:rPr>
                <w:rFonts w:cstheme="minorHAnsi"/>
              </w:rPr>
            </w:pPr>
          </w:p>
        </w:tc>
      </w:tr>
      <w:tr w:rsidR="004570E4" w:rsidRPr="004E7FDF" w14:paraId="7A00A9D3" w14:textId="77777777" w:rsidTr="00FE31AC">
        <w:tblPrEx>
          <w:jc w:val="left"/>
        </w:tblPrEx>
        <w:trPr>
          <w:gridAfter w:val="1"/>
          <w:wAfter w:w="236" w:type="dxa"/>
        </w:trPr>
        <w:tc>
          <w:tcPr>
            <w:tcW w:w="9720" w:type="dxa"/>
            <w:gridSpan w:val="2"/>
            <w:tcBorders>
              <w:bottom w:val="single" w:sz="4" w:space="0" w:color="auto"/>
            </w:tcBorders>
          </w:tcPr>
          <w:p w14:paraId="406164E2" w14:textId="0B13F235" w:rsidR="004570E4" w:rsidRPr="004E7FDF" w:rsidRDefault="00460BAF" w:rsidP="00FB117F">
            <w:pPr>
              <w:keepNext/>
              <w:rPr>
                <w:rFonts w:cstheme="minorHAnsi"/>
                <w:b/>
                <w:bCs/>
              </w:rPr>
            </w:pPr>
            <w:r>
              <w:rPr>
                <w:rFonts w:cstheme="minorHAnsi"/>
                <w:b/>
                <w:bCs/>
              </w:rPr>
              <w:t xml:space="preserve">AHTEG </w:t>
            </w:r>
            <w:r w:rsidR="004570E4" w:rsidRPr="004E7FDF">
              <w:rPr>
                <w:rFonts w:cstheme="minorHAnsi"/>
                <w:b/>
                <w:bCs/>
              </w:rPr>
              <w:t>Group 5</w:t>
            </w:r>
          </w:p>
          <w:p w14:paraId="73680E7C" w14:textId="77777777" w:rsidR="004570E4" w:rsidRPr="004E7FDF" w:rsidRDefault="004570E4" w:rsidP="00FB117F">
            <w:pPr>
              <w:keepNext/>
              <w:rPr>
                <w:rFonts w:cstheme="minorHAnsi"/>
                <w:b/>
                <w:bCs/>
              </w:rPr>
            </w:pPr>
          </w:p>
        </w:tc>
      </w:tr>
      <w:tr w:rsidR="004570E4" w:rsidRPr="004E7FDF" w14:paraId="781D4BF9" w14:textId="77777777" w:rsidTr="00FE31AC">
        <w:tblPrEx>
          <w:jc w:val="left"/>
        </w:tblPrEx>
        <w:tc>
          <w:tcPr>
            <w:tcW w:w="990" w:type="dxa"/>
            <w:vMerge w:val="restart"/>
            <w:tcBorders>
              <w:top w:val="single" w:sz="4" w:space="0" w:color="auto"/>
              <w:bottom w:val="single" w:sz="4" w:space="0" w:color="auto"/>
            </w:tcBorders>
          </w:tcPr>
          <w:p w14:paraId="067FEA62" w14:textId="77777777" w:rsidR="004570E4" w:rsidRPr="004E7FDF" w:rsidRDefault="004570E4" w:rsidP="00FB117F">
            <w:pPr>
              <w:rPr>
                <w:rFonts w:cstheme="minorHAnsi"/>
              </w:rPr>
            </w:pPr>
            <w:r w:rsidRPr="004E7FDF">
              <w:rPr>
                <w:rFonts w:cstheme="minorHAnsi"/>
              </w:rPr>
              <w:t>6, 7, 21</w:t>
            </w:r>
          </w:p>
        </w:tc>
        <w:tc>
          <w:tcPr>
            <w:tcW w:w="8730" w:type="dxa"/>
            <w:tcBorders>
              <w:top w:val="single" w:sz="4" w:space="0" w:color="auto"/>
              <w:bottom w:val="single" w:sz="4" w:space="0" w:color="auto"/>
              <w:right w:val="nil"/>
            </w:tcBorders>
          </w:tcPr>
          <w:p w14:paraId="744F6646" w14:textId="3F76AFD8" w:rsidR="004570E4" w:rsidRPr="004E7FDF" w:rsidRDefault="006F4F23" w:rsidP="00FB117F">
            <w:pPr>
              <w:rPr>
                <w:rFonts w:eastAsia="DengXian" w:cstheme="minorHAnsi"/>
              </w:rPr>
            </w:pPr>
            <w:r>
              <w:rPr>
                <w:rFonts w:cstheme="minorHAnsi"/>
              </w:rPr>
              <w:t>**</w:t>
            </w:r>
            <w:r w:rsidR="004570E4" w:rsidRPr="004E7FDF">
              <w:rPr>
                <w:rFonts w:cstheme="minorHAnsi"/>
              </w:rPr>
              <w:t>6.1 Rate of invasive alien species establishment</w:t>
            </w:r>
          </w:p>
        </w:tc>
        <w:tc>
          <w:tcPr>
            <w:tcW w:w="236" w:type="dxa"/>
            <w:vMerge w:val="restart"/>
            <w:tcBorders>
              <w:left w:val="nil"/>
            </w:tcBorders>
          </w:tcPr>
          <w:p w14:paraId="25137FDF" w14:textId="77777777" w:rsidR="004570E4" w:rsidRPr="004E7FDF" w:rsidRDefault="004570E4" w:rsidP="00FB117F">
            <w:pPr>
              <w:rPr>
                <w:rFonts w:cstheme="minorHAnsi"/>
              </w:rPr>
            </w:pPr>
          </w:p>
        </w:tc>
      </w:tr>
      <w:tr w:rsidR="004570E4" w:rsidRPr="004E7FDF" w14:paraId="1832AC31" w14:textId="77777777" w:rsidTr="00FE31AC">
        <w:tblPrEx>
          <w:jc w:val="left"/>
        </w:tblPrEx>
        <w:tc>
          <w:tcPr>
            <w:tcW w:w="990" w:type="dxa"/>
            <w:vMerge/>
            <w:tcBorders>
              <w:top w:val="single" w:sz="4" w:space="0" w:color="auto"/>
              <w:bottom w:val="single" w:sz="4" w:space="0" w:color="auto"/>
            </w:tcBorders>
          </w:tcPr>
          <w:p w14:paraId="16F897FB"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59EB29DC" w14:textId="32138B95" w:rsidR="004570E4" w:rsidRPr="004E7FDF" w:rsidRDefault="006F4F23" w:rsidP="00FB117F">
            <w:pPr>
              <w:rPr>
                <w:rFonts w:cstheme="minorHAnsi"/>
              </w:rPr>
            </w:pPr>
            <w:r>
              <w:rPr>
                <w:rFonts w:cstheme="minorHAnsi"/>
              </w:rPr>
              <w:t>**</w:t>
            </w:r>
            <w:r w:rsidR="004570E4" w:rsidRPr="004E7FDF">
              <w:rPr>
                <w:rFonts w:cstheme="minorHAnsi"/>
              </w:rPr>
              <w:t>7.1 Index of coastal eutrophication potential</w:t>
            </w:r>
          </w:p>
        </w:tc>
        <w:tc>
          <w:tcPr>
            <w:tcW w:w="236" w:type="dxa"/>
            <w:vMerge/>
            <w:tcBorders>
              <w:left w:val="nil"/>
            </w:tcBorders>
          </w:tcPr>
          <w:p w14:paraId="2DB1C72C" w14:textId="77777777" w:rsidR="004570E4" w:rsidRPr="004E7FDF" w:rsidRDefault="004570E4" w:rsidP="00FB117F">
            <w:pPr>
              <w:rPr>
                <w:rFonts w:cstheme="minorHAnsi"/>
              </w:rPr>
            </w:pPr>
          </w:p>
        </w:tc>
      </w:tr>
      <w:tr w:rsidR="004570E4" w:rsidRPr="004E7FDF" w14:paraId="582177E9" w14:textId="77777777" w:rsidTr="00FE31AC">
        <w:tblPrEx>
          <w:jc w:val="left"/>
        </w:tblPrEx>
        <w:tc>
          <w:tcPr>
            <w:tcW w:w="990" w:type="dxa"/>
            <w:vMerge/>
            <w:tcBorders>
              <w:top w:val="single" w:sz="4" w:space="0" w:color="auto"/>
              <w:bottom w:val="single" w:sz="4" w:space="0" w:color="auto"/>
            </w:tcBorders>
          </w:tcPr>
          <w:p w14:paraId="6B049908"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2A6FC1D1" w14:textId="2400335F" w:rsidR="004570E4" w:rsidRPr="004E7FDF" w:rsidRDefault="006F4F23" w:rsidP="00FB117F">
            <w:pPr>
              <w:rPr>
                <w:rFonts w:cstheme="minorHAnsi"/>
              </w:rPr>
            </w:pPr>
            <w:r>
              <w:rPr>
                <w:rFonts w:cstheme="minorHAnsi"/>
              </w:rPr>
              <w:t>**</w:t>
            </w:r>
            <w:r w:rsidR="004570E4" w:rsidRPr="004E7FDF">
              <w:rPr>
                <w:rFonts w:cstheme="minorHAnsi"/>
              </w:rPr>
              <w:t>7.2 Pesticide environment concentration</w:t>
            </w:r>
            <w:r w:rsidR="004570E4" w:rsidRPr="004E7FDF">
              <w:rPr>
                <w:rFonts w:cstheme="minorHAnsi"/>
                <w:i/>
                <w:vertAlign w:val="superscript"/>
              </w:rPr>
              <w:t>a</w:t>
            </w:r>
          </w:p>
        </w:tc>
        <w:tc>
          <w:tcPr>
            <w:tcW w:w="236" w:type="dxa"/>
            <w:vMerge/>
            <w:tcBorders>
              <w:left w:val="nil"/>
            </w:tcBorders>
          </w:tcPr>
          <w:p w14:paraId="1C6B36C9" w14:textId="77777777" w:rsidR="004570E4" w:rsidRPr="004E7FDF" w:rsidRDefault="004570E4" w:rsidP="00FB117F">
            <w:pPr>
              <w:rPr>
                <w:rFonts w:cstheme="minorHAnsi"/>
              </w:rPr>
            </w:pPr>
          </w:p>
        </w:tc>
      </w:tr>
      <w:tr w:rsidR="004570E4" w:rsidRPr="004E7FDF" w14:paraId="4F7788E9" w14:textId="77777777" w:rsidTr="00FE31AC">
        <w:tblPrEx>
          <w:jc w:val="left"/>
        </w:tblPrEx>
        <w:tc>
          <w:tcPr>
            <w:tcW w:w="990" w:type="dxa"/>
            <w:vMerge/>
            <w:tcBorders>
              <w:top w:val="single" w:sz="4" w:space="0" w:color="auto"/>
              <w:bottom w:val="single" w:sz="4" w:space="0" w:color="auto"/>
            </w:tcBorders>
          </w:tcPr>
          <w:p w14:paraId="17021D02" w14:textId="77777777" w:rsidR="004570E4" w:rsidRPr="004E7FDF" w:rsidRDefault="004570E4" w:rsidP="00FB117F">
            <w:pPr>
              <w:rPr>
                <w:rFonts w:cstheme="minorHAnsi"/>
              </w:rPr>
            </w:pPr>
          </w:p>
        </w:tc>
        <w:tc>
          <w:tcPr>
            <w:tcW w:w="8730" w:type="dxa"/>
            <w:tcBorders>
              <w:top w:val="single" w:sz="4" w:space="0" w:color="auto"/>
              <w:bottom w:val="single" w:sz="4" w:space="0" w:color="auto"/>
              <w:right w:val="nil"/>
            </w:tcBorders>
          </w:tcPr>
          <w:p w14:paraId="471F96C4" w14:textId="77777777" w:rsidR="004570E4" w:rsidRPr="004E7FDF" w:rsidRDefault="004570E4" w:rsidP="00FB117F">
            <w:pPr>
              <w:rPr>
                <w:rFonts w:cstheme="minorHAnsi"/>
              </w:rPr>
            </w:pPr>
            <w:r w:rsidRPr="004E7FDF">
              <w:rPr>
                <w:rFonts w:cstheme="minorHAnsi"/>
              </w:rPr>
              <w:t xml:space="preserve">21.1 Indicator on biodiversity information for monitoring the Kunming-Montreal Global Biodiversity Framework </w:t>
            </w:r>
          </w:p>
        </w:tc>
        <w:tc>
          <w:tcPr>
            <w:tcW w:w="236" w:type="dxa"/>
            <w:vMerge/>
            <w:tcBorders>
              <w:left w:val="nil"/>
            </w:tcBorders>
          </w:tcPr>
          <w:p w14:paraId="21E7AA28" w14:textId="77777777" w:rsidR="004570E4" w:rsidRPr="004E7FDF" w:rsidRDefault="004570E4" w:rsidP="00FB117F">
            <w:pPr>
              <w:rPr>
                <w:rFonts w:cstheme="minorHAnsi"/>
              </w:rPr>
            </w:pPr>
          </w:p>
        </w:tc>
      </w:tr>
    </w:tbl>
    <w:p w14:paraId="238B74EC" w14:textId="77777777" w:rsidR="005754AB" w:rsidRDefault="005754AB" w:rsidP="006D0EA5">
      <w:pPr>
        <w:jc w:val="both"/>
        <w:rPr>
          <w:rFonts w:cstheme="minorHAnsi"/>
          <w:b/>
          <w:bCs/>
          <w:sz w:val="24"/>
          <w:szCs w:val="24"/>
        </w:rPr>
      </w:pPr>
    </w:p>
    <w:p w14:paraId="08D6D769" w14:textId="77777777" w:rsidR="005754AB" w:rsidRDefault="005754AB" w:rsidP="006D0EA5">
      <w:pPr>
        <w:jc w:val="both"/>
        <w:rPr>
          <w:rFonts w:cstheme="minorHAnsi"/>
          <w:b/>
          <w:bCs/>
          <w:sz w:val="24"/>
          <w:szCs w:val="24"/>
        </w:rPr>
      </w:pPr>
    </w:p>
    <w:p w14:paraId="20F057E8" w14:textId="0A0503C1" w:rsidR="003752C3" w:rsidRPr="00FE31AC" w:rsidRDefault="00AA37AB" w:rsidP="006D0EA5">
      <w:pPr>
        <w:jc w:val="both"/>
        <w:rPr>
          <w:rFonts w:cstheme="minorHAnsi"/>
          <w:sz w:val="24"/>
          <w:szCs w:val="24"/>
        </w:rPr>
      </w:pPr>
      <w:r w:rsidRPr="00460BAF">
        <w:rPr>
          <w:rFonts w:cstheme="minorHAnsi"/>
          <w:b/>
          <w:bCs/>
          <w:sz w:val="24"/>
          <w:szCs w:val="24"/>
        </w:rPr>
        <w:t xml:space="preserve">Table 2. </w:t>
      </w:r>
      <w:r w:rsidRPr="00FE31AC">
        <w:rPr>
          <w:rFonts w:cstheme="minorHAnsi"/>
          <w:sz w:val="24"/>
          <w:szCs w:val="24"/>
        </w:rPr>
        <w:t xml:space="preserve">Information to support AHTEG </w:t>
      </w:r>
      <w:r w:rsidR="007A2AC8" w:rsidRPr="00FE31AC">
        <w:rPr>
          <w:rFonts w:cstheme="minorHAnsi"/>
          <w:sz w:val="24"/>
          <w:szCs w:val="24"/>
        </w:rPr>
        <w:t xml:space="preserve">GROUP 4 - </w:t>
      </w:r>
      <w:r w:rsidRPr="00FE31AC">
        <w:rPr>
          <w:rFonts w:cstheme="minorHAnsi"/>
          <w:sz w:val="24"/>
          <w:szCs w:val="24"/>
        </w:rPr>
        <w:t xml:space="preserve">template </w:t>
      </w:r>
      <w:r w:rsidR="00C05CC5" w:rsidRPr="00FE31AC">
        <w:rPr>
          <w:rFonts w:cstheme="minorHAnsi"/>
          <w:sz w:val="24"/>
          <w:szCs w:val="24"/>
        </w:rPr>
        <w:t xml:space="preserve">for </w:t>
      </w:r>
      <w:r w:rsidR="003752C3" w:rsidRPr="00FE31AC">
        <w:rPr>
          <w:rFonts w:cstheme="minorHAnsi"/>
          <w:sz w:val="24"/>
          <w:szCs w:val="24"/>
        </w:rPr>
        <w:t xml:space="preserve">observations regarding indicator </w:t>
      </w:r>
      <w:r w:rsidRPr="00FE31AC">
        <w:rPr>
          <w:rFonts w:cstheme="minorHAnsi"/>
          <w:sz w:val="24"/>
          <w:szCs w:val="24"/>
        </w:rPr>
        <w:t>2.2</w:t>
      </w:r>
      <w:r w:rsidR="006375B2" w:rsidRPr="00FE31AC">
        <w:rPr>
          <w:rFonts w:cstheme="minorHAnsi"/>
          <w:sz w:val="24"/>
          <w:szCs w:val="24"/>
        </w:rPr>
        <w:t>.</w:t>
      </w:r>
      <w:r w:rsidR="00EC0561" w:rsidRPr="00FE31AC">
        <w:rPr>
          <w:rFonts w:cstheme="minorHAnsi"/>
          <w:sz w:val="24"/>
          <w:szCs w:val="24"/>
        </w:rPr>
        <w:t xml:space="preserve"> for inland waters</w:t>
      </w:r>
      <w:r w:rsidR="006375B2" w:rsidRPr="00FE31AC">
        <w:rPr>
          <w:rFonts w:cstheme="minorHAnsi"/>
          <w:sz w:val="24"/>
          <w:szCs w:val="24"/>
        </w:rPr>
        <w:t xml:space="preserve"> This information can be updated when the draft metadata sheet is made available publicly.</w:t>
      </w:r>
      <w:r w:rsidRPr="00FE31AC">
        <w:rPr>
          <w:rFonts w:cstheme="minorHAnsi"/>
          <w:sz w:val="24"/>
          <w:szCs w:val="24"/>
        </w:rPr>
        <w:t xml:space="preserve"> </w:t>
      </w:r>
    </w:p>
    <w:tbl>
      <w:tblPr>
        <w:tblStyle w:val="TableGrid"/>
        <w:tblW w:w="10395" w:type="dxa"/>
        <w:tblInd w:w="-95" w:type="dxa"/>
        <w:tblLook w:val="04A0" w:firstRow="1" w:lastRow="0" w:firstColumn="1" w:lastColumn="0" w:noHBand="0" w:noVBand="1"/>
      </w:tblPr>
      <w:tblGrid>
        <w:gridCol w:w="2048"/>
        <w:gridCol w:w="8347"/>
      </w:tblGrid>
      <w:tr w:rsidR="003752C3" w:rsidRPr="004E7FDF" w14:paraId="718694CE" w14:textId="77777777" w:rsidTr="005754AB">
        <w:tc>
          <w:tcPr>
            <w:tcW w:w="2352"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A3BAD51" w14:textId="77777777" w:rsidR="003752C3" w:rsidRPr="004E7FDF" w:rsidRDefault="003752C3" w:rsidP="00C42388">
            <w:pPr>
              <w:spacing w:before="120" w:after="120"/>
              <w:rPr>
                <w:rFonts w:cstheme="minorHAnsi"/>
                <w:b/>
                <w:bCs/>
              </w:rPr>
            </w:pPr>
            <w:r w:rsidRPr="004E7FDF">
              <w:rPr>
                <w:rFonts w:cstheme="minorHAnsi"/>
                <w:b/>
                <w:bCs/>
              </w:rPr>
              <w:t>Indicator</w:t>
            </w:r>
          </w:p>
        </w:tc>
        <w:tc>
          <w:tcPr>
            <w:tcW w:w="804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E74CA6D" w14:textId="20270367" w:rsidR="003752C3" w:rsidRPr="006F4F23" w:rsidRDefault="003752C3" w:rsidP="00C42388">
            <w:pPr>
              <w:spacing w:before="120" w:after="120"/>
              <w:rPr>
                <w:rFonts w:cstheme="minorHAnsi"/>
                <w:b/>
                <w:bCs/>
              </w:rPr>
            </w:pPr>
            <w:r w:rsidRPr="006F4F23">
              <w:rPr>
                <w:rFonts w:cstheme="minorHAnsi"/>
                <w:b/>
                <w:bCs/>
                <w:color w:val="000000"/>
                <w:sz w:val="24"/>
                <w:szCs w:val="24"/>
              </w:rPr>
              <w:t>2.2 Area under restoration</w:t>
            </w:r>
          </w:p>
        </w:tc>
      </w:tr>
      <w:tr w:rsidR="003752C3" w:rsidRPr="004E7FDF" w14:paraId="632A8BC8" w14:textId="77777777" w:rsidTr="005754AB">
        <w:tc>
          <w:tcPr>
            <w:tcW w:w="2352"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307A18A" w14:textId="77777777" w:rsidR="003752C3" w:rsidRPr="004E7FDF" w:rsidRDefault="003752C3" w:rsidP="00C42388">
            <w:pPr>
              <w:spacing w:before="120" w:after="120"/>
              <w:rPr>
                <w:rFonts w:cstheme="minorHAnsi"/>
                <w:b/>
                <w:bCs/>
              </w:rPr>
            </w:pPr>
            <w:r w:rsidRPr="004E7FDF">
              <w:rPr>
                <w:rFonts w:cstheme="minorHAnsi"/>
                <w:b/>
                <w:bCs/>
              </w:rPr>
              <w:t>Goal/Target</w:t>
            </w:r>
          </w:p>
        </w:tc>
        <w:tc>
          <w:tcPr>
            <w:tcW w:w="804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6CD0AF7" w14:textId="19385E44" w:rsidR="003752C3" w:rsidRPr="004E7FDF" w:rsidRDefault="00C05CC5" w:rsidP="00C42388">
            <w:pPr>
              <w:spacing w:before="120" w:after="120"/>
              <w:rPr>
                <w:rFonts w:cstheme="minorHAnsi"/>
                <w:b/>
                <w:bCs/>
              </w:rPr>
            </w:pPr>
            <w:r w:rsidRPr="006F4F23">
              <w:rPr>
                <w:rFonts w:eastAsia="Times New Roman" w:cstheme="minorHAnsi"/>
                <w:b/>
                <w:sz w:val="24"/>
                <w:szCs w:val="24"/>
              </w:rPr>
              <w:t>Target 2</w:t>
            </w:r>
          </w:p>
        </w:tc>
      </w:tr>
      <w:tr w:rsidR="003752C3" w:rsidRPr="004E7FDF" w14:paraId="1098DA81" w14:textId="77777777" w:rsidTr="00C05CC5">
        <w:tc>
          <w:tcPr>
            <w:tcW w:w="23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160A1" w14:textId="77777777" w:rsidR="003752C3" w:rsidRPr="004E7FDF" w:rsidRDefault="003752C3" w:rsidP="00C42388">
            <w:pPr>
              <w:spacing w:before="120" w:after="120"/>
              <w:rPr>
                <w:rFonts w:cstheme="minorHAnsi"/>
                <w:b/>
                <w:bCs/>
              </w:rPr>
            </w:pPr>
            <w:r w:rsidRPr="004E7FDF">
              <w:rPr>
                <w:rFonts w:cstheme="minorHAnsi"/>
                <w:b/>
                <w:bCs/>
              </w:rPr>
              <w:t>Current status</w:t>
            </w:r>
          </w:p>
        </w:tc>
        <w:tc>
          <w:tcPr>
            <w:tcW w:w="8043" w:type="dxa"/>
            <w:tcBorders>
              <w:top w:val="single" w:sz="4" w:space="0" w:color="auto"/>
              <w:left w:val="single" w:sz="4" w:space="0" w:color="auto"/>
              <w:bottom w:val="single" w:sz="4" w:space="0" w:color="auto"/>
              <w:right w:val="single" w:sz="4" w:space="0" w:color="auto"/>
            </w:tcBorders>
            <w:shd w:val="clear" w:color="auto" w:fill="FFFFFF" w:themeFill="background1"/>
          </w:tcPr>
          <w:p w14:paraId="5124ECAF" w14:textId="6C63124C" w:rsidR="003752C3" w:rsidRPr="004E7FDF" w:rsidRDefault="00C05CC5" w:rsidP="00C42388">
            <w:pPr>
              <w:spacing w:before="120" w:after="120"/>
              <w:rPr>
                <w:rFonts w:cstheme="minorHAnsi"/>
                <w:bCs/>
              </w:rPr>
            </w:pPr>
            <w:r w:rsidRPr="004E7FDF">
              <w:rPr>
                <w:rFonts w:eastAsia="Times New Roman" w:cstheme="minorHAnsi"/>
                <w:bCs/>
              </w:rPr>
              <w:t>Need for harmonization and inclusion of inland water-specific metrics within the area under restoration indicator. Data and metrics exist that could be incorporated under this indicator (e.g., remote sensing measures of extent of riparian buffers along inland waters, kilometers of river affected by dam removals or environmental flow implementation, area of wetlands restored). We recommend that countries include specific national targets in ha and km for wetland restoration and plans to deliver, contributing to the restoration of at least 30 percent of areas of degraded terrestrial, inland water, and coastal and marine ecosystems by 2030. Global datasets exist for area of wetlands lost</w:t>
            </w:r>
            <w:r w:rsidRPr="004E7FDF">
              <w:rPr>
                <w:rStyle w:val="FootnoteReference"/>
                <w:rFonts w:eastAsia="Times New Roman" w:cstheme="minorHAnsi"/>
                <w:bCs/>
              </w:rPr>
              <w:footnoteReference w:id="9"/>
            </w:r>
            <w:r w:rsidRPr="004E7FDF">
              <w:rPr>
                <w:rStyle w:val="FootnoteReference"/>
                <w:rFonts w:eastAsia="Times New Roman" w:cstheme="minorHAnsi"/>
                <w:bCs/>
              </w:rPr>
              <w:footnoteReference w:id="10"/>
            </w:r>
            <w:r w:rsidRPr="004E7FDF">
              <w:rPr>
                <w:rFonts w:eastAsia="Times New Roman" w:cstheme="minorHAnsi"/>
                <w:bCs/>
              </w:rPr>
              <w:t xml:space="preserve"> and km of river with affected flows and connectivity impairment</w:t>
            </w:r>
            <w:r w:rsidRPr="004E7FDF">
              <w:rPr>
                <w:rStyle w:val="FootnoteReference"/>
                <w:rFonts w:eastAsia="Times New Roman" w:cstheme="minorHAnsi"/>
                <w:bCs/>
              </w:rPr>
              <w:footnoteReference w:id="11"/>
            </w:r>
            <w:r w:rsidRPr="004E7FDF">
              <w:rPr>
                <w:rFonts w:eastAsia="Times New Roman" w:cstheme="minorHAnsi"/>
                <w:bCs/>
              </w:rPr>
              <w:t>.</w:t>
            </w:r>
          </w:p>
        </w:tc>
      </w:tr>
      <w:tr w:rsidR="003752C3" w:rsidRPr="004E7FDF" w14:paraId="5FB076AE" w14:textId="77777777" w:rsidTr="00C05CC5">
        <w:tc>
          <w:tcPr>
            <w:tcW w:w="2352" w:type="dxa"/>
            <w:tcBorders>
              <w:top w:val="single" w:sz="4" w:space="0" w:color="auto"/>
              <w:left w:val="single" w:sz="4" w:space="0" w:color="auto"/>
              <w:bottom w:val="single" w:sz="4" w:space="0" w:color="auto"/>
              <w:right w:val="single" w:sz="4" w:space="0" w:color="auto"/>
            </w:tcBorders>
            <w:hideMark/>
          </w:tcPr>
          <w:p w14:paraId="5303540A" w14:textId="77777777" w:rsidR="003752C3" w:rsidRPr="004E7FDF" w:rsidRDefault="003752C3" w:rsidP="00C42388">
            <w:pPr>
              <w:spacing w:before="120" w:after="120"/>
              <w:rPr>
                <w:rFonts w:cstheme="minorHAnsi"/>
              </w:rPr>
            </w:pPr>
            <w:r w:rsidRPr="004E7FDF">
              <w:rPr>
                <w:rFonts w:cstheme="minorHAnsi"/>
              </w:rPr>
              <w:t xml:space="preserve">Next steps </w:t>
            </w:r>
            <w:r w:rsidRPr="004E7FDF">
              <w:rPr>
                <w:rStyle w:val="ui-provider"/>
                <w:rFonts w:cstheme="minorHAnsi"/>
              </w:rPr>
              <w:t>in terms of finalizing the metadata and operationalizing the indicator?</w:t>
            </w:r>
          </w:p>
        </w:tc>
        <w:tc>
          <w:tcPr>
            <w:tcW w:w="8043" w:type="dxa"/>
            <w:tcBorders>
              <w:top w:val="single" w:sz="4" w:space="0" w:color="auto"/>
              <w:left w:val="single" w:sz="4" w:space="0" w:color="auto"/>
              <w:bottom w:val="single" w:sz="4" w:space="0" w:color="auto"/>
              <w:right w:val="single" w:sz="4" w:space="0" w:color="auto"/>
            </w:tcBorders>
          </w:tcPr>
          <w:p w14:paraId="41BBE0EB" w14:textId="683FB9D5" w:rsidR="003752C3" w:rsidRPr="004E7FDF" w:rsidRDefault="00C05CC5" w:rsidP="00C42388">
            <w:pPr>
              <w:spacing w:before="120" w:after="120"/>
              <w:rPr>
                <w:rFonts w:cstheme="minorHAnsi"/>
              </w:rPr>
            </w:pPr>
            <w:r w:rsidRPr="004E7FDF">
              <w:rPr>
                <w:rFonts w:eastAsia="Times New Roman" w:cstheme="minorHAnsi"/>
              </w:rPr>
              <w:t>There are several ongoing efforts that could be combined to provide a consolidated set of recommendations for ensuring representation of inland waters within the measurement of area under restoration. Please contact Michele Thieme (</w:t>
            </w:r>
            <w:r w:rsidR="00773B86" w:rsidRPr="004E7FDF">
              <w:rPr>
                <w:rFonts w:cstheme="minorHAnsi"/>
                <w:color w:val="000000"/>
              </w:rPr>
              <w:t>michele.thieme@WWFUS.ORG</w:t>
            </w:r>
            <w:r w:rsidRPr="004E7FDF">
              <w:rPr>
                <w:rFonts w:eastAsia="Times New Roman" w:cstheme="minorHAnsi"/>
              </w:rPr>
              <w:t xml:space="preserve">) for more information. </w:t>
            </w:r>
          </w:p>
        </w:tc>
      </w:tr>
      <w:tr w:rsidR="003752C3" w:rsidRPr="004E7FDF" w14:paraId="55568075" w14:textId="77777777" w:rsidTr="00C05CC5">
        <w:tc>
          <w:tcPr>
            <w:tcW w:w="2352" w:type="dxa"/>
            <w:tcBorders>
              <w:top w:val="single" w:sz="4" w:space="0" w:color="auto"/>
              <w:left w:val="single" w:sz="4" w:space="0" w:color="auto"/>
              <w:bottom w:val="single" w:sz="4" w:space="0" w:color="auto"/>
              <w:right w:val="single" w:sz="4" w:space="0" w:color="auto"/>
            </w:tcBorders>
            <w:hideMark/>
          </w:tcPr>
          <w:p w14:paraId="0FC5CCDA" w14:textId="77777777" w:rsidR="003752C3" w:rsidRPr="004E7FDF" w:rsidRDefault="003752C3" w:rsidP="00C42388">
            <w:pPr>
              <w:spacing w:before="120" w:after="120"/>
              <w:rPr>
                <w:rFonts w:cstheme="minorHAnsi"/>
              </w:rPr>
            </w:pPr>
            <w:r w:rsidRPr="004E7FDF">
              <w:rPr>
                <w:rFonts w:cstheme="minorHAnsi"/>
              </w:rPr>
              <w:t>Who needs to be involved in finalizing the indicator, and have they been consulted or contacted?</w:t>
            </w:r>
          </w:p>
        </w:tc>
        <w:tc>
          <w:tcPr>
            <w:tcW w:w="8043" w:type="dxa"/>
            <w:tcBorders>
              <w:top w:val="single" w:sz="4" w:space="0" w:color="auto"/>
              <w:left w:val="single" w:sz="4" w:space="0" w:color="auto"/>
              <w:bottom w:val="single" w:sz="4" w:space="0" w:color="auto"/>
              <w:right w:val="single" w:sz="4" w:space="0" w:color="auto"/>
            </w:tcBorders>
          </w:tcPr>
          <w:p w14:paraId="3250804B" w14:textId="652049DE" w:rsidR="003752C3" w:rsidRPr="004E7FDF" w:rsidRDefault="00C05CC5" w:rsidP="00C42388">
            <w:pPr>
              <w:spacing w:before="120" w:after="120"/>
              <w:rPr>
                <w:rFonts w:cstheme="minorHAnsi"/>
              </w:rPr>
            </w:pPr>
            <w:r w:rsidRPr="004E7FDF">
              <w:rPr>
                <w:rFonts w:eastAsia="Times New Roman" w:cstheme="minorHAnsi"/>
              </w:rPr>
              <w:t>We would recommend consultation with the Task 5.2 working group of Ramsar’s SRTP (</w:t>
            </w:r>
            <w:hyperlink r:id="rId9" w:history="1">
              <w:r w:rsidRPr="004E7FDF">
                <w:rPr>
                  <w:rFonts w:eastAsia="Times New Roman" w:cstheme="minorHAnsi"/>
                  <w:color w:val="1155CC"/>
                  <w:u w:val="single"/>
                </w:rPr>
                <w:t>https://www.ramsar.org/sites/default/files/documents/library/sc62_19_strp_chair_e.pdf</w:t>
              </w:r>
            </w:hyperlink>
            <w:r w:rsidRPr="004E7FDF">
              <w:rPr>
                <w:rFonts w:eastAsia="Times New Roman" w:cstheme="minorHAnsi"/>
                <w:color w:val="1155CC"/>
                <w:u w:val="single"/>
              </w:rPr>
              <w:t xml:space="preserve">), </w:t>
            </w:r>
            <w:r w:rsidRPr="004E7FDF">
              <w:rPr>
                <w:rFonts w:eastAsia="Times New Roman" w:cstheme="minorHAnsi"/>
              </w:rPr>
              <w:t>Freshwater BON of GEO BON, and the working group of the Freshwater Challenge, each of which have been working to support the comprehensive inclusion of inland waters in the Kunming-Montreal Framework.</w:t>
            </w:r>
          </w:p>
        </w:tc>
      </w:tr>
      <w:tr w:rsidR="003752C3" w:rsidRPr="004E7FDF" w14:paraId="4DC6FDAA" w14:textId="77777777" w:rsidTr="00C05CC5">
        <w:tc>
          <w:tcPr>
            <w:tcW w:w="2352" w:type="dxa"/>
            <w:tcBorders>
              <w:top w:val="single" w:sz="4" w:space="0" w:color="auto"/>
              <w:left w:val="single" w:sz="4" w:space="0" w:color="auto"/>
              <w:bottom w:val="single" w:sz="4" w:space="0" w:color="auto"/>
              <w:right w:val="single" w:sz="4" w:space="0" w:color="auto"/>
            </w:tcBorders>
            <w:hideMark/>
          </w:tcPr>
          <w:p w14:paraId="354D3F73" w14:textId="77777777" w:rsidR="003752C3" w:rsidRPr="004E7FDF" w:rsidRDefault="003752C3" w:rsidP="00C42388">
            <w:pPr>
              <w:spacing w:before="120" w:after="120"/>
              <w:rPr>
                <w:rFonts w:cstheme="minorHAnsi"/>
              </w:rPr>
            </w:pPr>
            <w:r w:rsidRPr="004E7FDF">
              <w:rPr>
                <w:rFonts w:cstheme="minorHAnsi"/>
              </w:rPr>
              <w:t>How could issues related to indigenous peoples and local communities be reflected in the indicator?</w:t>
            </w:r>
          </w:p>
        </w:tc>
        <w:tc>
          <w:tcPr>
            <w:tcW w:w="8043" w:type="dxa"/>
            <w:tcBorders>
              <w:top w:val="single" w:sz="4" w:space="0" w:color="auto"/>
              <w:left w:val="single" w:sz="4" w:space="0" w:color="auto"/>
              <w:bottom w:val="single" w:sz="4" w:space="0" w:color="auto"/>
              <w:right w:val="single" w:sz="4" w:space="0" w:color="auto"/>
            </w:tcBorders>
          </w:tcPr>
          <w:p w14:paraId="6F87F4CB" w14:textId="19870DBD" w:rsidR="003752C3" w:rsidRPr="004E7FDF" w:rsidRDefault="00C05CC5" w:rsidP="00C42388">
            <w:pPr>
              <w:spacing w:before="120" w:after="120"/>
              <w:rPr>
                <w:rFonts w:cstheme="minorHAnsi"/>
              </w:rPr>
            </w:pPr>
            <w:r w:rsidRPr="004E7FDF">
              <w:rPr>
                <w:rFonts w:eastAsia="Times New Roman" w:cstheme="minorHAnsi"/>
              </w:rPr>
              <w:t>Indigenous peoples and local communities are at the forefront of experiencing the effects of degraded inland waters and are often at the forefront of restoration efforts such that inclusion of inland water restoration targets is critical to ensure that these efforts are well reflected in the monitoring of the GBF.</w:t>
            </w:r>
          </w:p>
        </w:tc>
      </w:tr>
      <w:tr w:rsidR="003752C3" w:rsidRPr="004E7FDF" w14:paraId="32595BC3" w14:textId="77777777" w:rsidTr="00C05CC5">
        <w:tc>
          <w:tcPr>
            <w:tcW w:w="2352" w:type="dxa"/>
            <w:tcBorders>
              <w:top w:val="single" w:sz="4" w:space="0" w:color="auto"/>
              <w:left w:val="single" w:sz="4" w:space="0" w:color="auto"/>
              <w:bottom w:val="single" w:sz="4" w:space="0" w:color="auto"/>
              <w:right w:val="single" w:sz="4" w:space="0" w:color="auto"/>
            </w:tcBorders>
            <w:hideMark/>
          </w:tcPr>
          <w:p w14:paraId="65FE4E94" w14:textId="77777777" w:rsidR="003752C3" w:rsidRPr="004E7FDF" w:rsidRDefault="003752C3" w:rsidP="00C42388">
            <w:pPr>
              <w:spacing w:before="120" w:after="120"/>
              <w:rPr>
                <w:rFonts w:cstheme="minorHAnsi"/>
              </w:rPr>
            </w:pPr>
            <w:r w:rsidRPr="004E7FDF">
              <w:rPr>
                <w:rFonts w:cstheme="minorHAnsi"/>
              </w:rPr>
              <w:t xml:space="preserve">Are there any critical gaps with regard to the indicators identified for the goals and targets being considered by the subgroup? </w:t>
            </w:r>
          </w:p>
        </w:tc>
        <w:tc>
          <w:tcPr>
            <w:tcW w:w="8043" w:type="dxa"/>
            <w:tcBorders>
              <w:top w:val="single" w:sz="4" w:space="0" w:color="auto"/>
              <w:left w:val="single" w:sz="4" w:space="0" w:color="auto"/>
              <w:bottom w:val="single" w:sz="4" w:space="0" w:color="auto"/>
              <w:right w:val="single" w:sz="4" w:space="0" w:color="auto"/>
            </w:tcBorders>
          </w:tcPr>
          <w:p w14:paraId="68196C37" w14:textId="54DC4736" w:rsidR="003752C3" w:rsidRPr="004E7FDF" w:rsidRDefault="00C05CC5" w:rsidP="00C42388">
            <w:pPr>
              <w:spacing w:before="120" w:after="120"/>
              <w:rPr>
                <w:rFonts w:cstheme="minorHAnsi"/>
              </w:rPr>
            </w:pPr>
            <w:r w:rsidRPr="004E7FDF">
              <w:rPr>
                <w:rFonts w:eastAsia="Times New Roman" w:cstheme="minorHAnsi"/>
              </w:rPr>
              <w:t>Water quality is not well reflected in a measure of areal extent of restoration and, thus, should be prioritized in other facets of the monitoring of the GBF or reconsidered within this indicator.</w:t>
            </w:r>
          </w:p>
        </w:tc>
      </w:tr>
    </w:tbl>
    <w:p w14:paraId="7DD46841" w14:textId="77777777" w:rsidR="003752C3" w:rsidRDefault="003752C3" w:rsidP="003752C3">
      <w:pPr>
        <w:jc w:val="center"/>
        <w:rPr>
          <w:rFonts w:ascii="Times New Roman" w:hAnsi="Times New Roman" w:cs="Times New Roman"/>
          <w:kern w:val="2"/>
          <w:lang w:val="en-CA"/>
          <w14:ligatures w14:val="standardContextual"/>
        </w:rPr>
      </w:pPr>
      <w:r>
        <w:rPr>
          <w:rFonts w:ascii="Times New Roman" w:hAnsi="Times New Roman" w:cs="Times New Roman"/>
        </w:rPr>
        <w:t>__________</w:t>
      </w:r>
    </w:p>
    <w:p w14:paraId="2C88EE6F" w14:textId="77777777" w:rsidR="00655994" w:rsidRDefault="00655994" w:rsidP="003752C3">
      <w:pPr>
        <w:rPr>
          <w:rFonts w:ascii="Times New Roman" w:hAnsi="Times New Roman" w:cs="Times New Roman"/>
          <w:b/>
          <w:bCs/>
          <w:sz w:val="24"/>
          <w:szCs w:val="24"/>
        </w:rPr>
      </w:pPr>
    </w:p>
    <w:p w14:paraId="183DF689" w14:textId="30C0E1B4" w:rsidR="006375B2" w:rsidRPr="00FE31AC" w:rsidRDefault="006375B2" w:rsidP="003752C3">
      <w:pPr>
        <w:rPr>
          <w:rFonts w:cstheme="minorHAnsi"/>
        </w:rPr>
      </w:pPr>
      <w:r w:rsidRPr="004E7FDF">
        <w:rPr>
          <w:rFonts w:cstheme="minorHAnsi"/>
          <w:b/>
          <w:bCs/>
          <w:sz w:val="24"/>
          <w:szCs w:val="24"/>
        </w:rPr>
        <w:t xml:space="preserve">Table 3. </w:t>
      </w:r>
      <w:r w:rsidRPr="00FE31AC">
        <w:rPr>
          <w:rFonts w:cstheme="minorHAnsi"/>
          <w:sz w:val="24"/>
          <w:szCs w:val="24"/>
        </w:rPr>
        <w:t xml:space="preserve">Information to support AHTEG </w:t>
      </w:r>
      <w:r w:rsidR="007A2AC8" w:rsidRPr="00FE31AC">
        <w:rPr>
          <w:rFonts w:cstheme="minorHAnsi"/>
          <w:sz w:val="24"/>
          <w:szCs w:val="24"/>
        </w:rPr>
        <w:t xml:space="preserve">GROUP 4 - </w:t>
      </w:r>
      <w:r w:rsidRPr="00FE31AC">
        <w:rPr>
          <w:rFonts w:cstheme="minorHAnsi"/>
          <w:sz w:val="24"/>
          <w:szCs w:val="24"/>
        </w:rPr>
        <w:t xml:space="preserve">template for observations regarding indicator 3.1. </w:t>
      </w:r>
      <w:r w:rsidR="00EC0561" w:rsidRPr="00FE31AC">
        <w:rPr>
          <w:rFonts w:cstheme="minorHAnsi"/>
          <w:sz w:val="24"/>
          <w:szCs w:val="24"/>
        </w:rPr>
        <w:t xml:space="preserve">for inland waters. </w:t>
      </w:r>
      <w:r w:rsidRPr="00FE31AC">
        <w:rPr>
          <w:rFonts w:cstheme="minorHAnsi"/>
          <w:sz w:val="24"/>
          <w:szCs w:val="24"/>
        </w:rPr>
        <w:t>This information can be updated when the draft metadata sheet is made available</w:t>
      </w:r>
      <w:r w:rsidR="0091445C" w:rsidRPr="00FE31AC">
        <w:rPr>
          <w:rFonts w:cstheme="minorHAnsi"/>
          <w:sz w:val="24"/>
          <w:szCs w:val="24"/>
        </w:rPr>
        <w:t xml:space="preserve"> publicly</w:t>
      </w:r>
      <w:r w:rsidRPr="00FE31AC">
        <w:rPr>
          <w:rFonts w:cstheme="minorHAnsi"/>
          <w:sz w:val="24"/>
          <w:szCs w:val="24"/>
        </w:rPr>
        <w:t>.</w:t>
      </w:r>
    </w:p>
    <w:tbl>
      <w:tblPr>
        <w:tblStyle w:val="TableGrid"/>
        <w:tblW w:w="10350" w:type="dxa"/>
        <w:tblInd w:w="-95" w:type="dxa"/>
        <w:tblLook w:val="04A0" w:firstRow="1" w:lastRow="0" w:firstColumn="1" w:lastColumn="0" w:noHBand="0" w:noVBand="1"/>
      </w:tblPr>
      <w:tblGrid>
        <w:gridCol w:w="2070"/>
        <w:gridCol w:w="8280"/>
      </w:tblGrid>
      <w:tr w:rsidR="003752C3" w14:paraId="7C36D3B8" w14:textId="77777777" w:rsidTr="005754AB">
        <w:tc>
          <w:tcPr>
            <w:tcW w:w="207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F692DCE" w14:textId="77777777" w:rsidR="003752C3" w:rsidRPr="004E7FDF" w:rsidRDefault="003752C3">
            <w:pPr>
              <w:spacing w:before="120" w:after="120"/>
              <w:rPr>
                <w:rFonts w:cstheme="minorHAnsi"/>
                <w:b/>
                <w:bCs/>
              </w:rPr>
            </w:pPr>
            <w:r w:rsidRPr="004E7FDF">
              <w:rPr>
                <w:rFonts w:cstheme="minorHAnsi"/>
                <w:b/>
                <w:bCs/>
              </w:rPr>
              <w:t>Indicator</w:t>
            </w:r>
          </w:p>
        </w:tc>
        <w:tc>
          <w:tcPr>
            <w:tcW w:w="828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10F1F76" w14:textId="00B26D25" w:rsidR="003752C3" w:rsidRPr="005754AB" w:rsidRDefault="003752C3">
            <w:pPr>
              <w:spacing w:before="120" w:after="120"/>
              <w:rPr>
                <w:rFonts w:cstheme="minorHAnsi"/>
                <w:b/>
                <w:bCs/>
                <w:sz w:val="24"/>
                <w:szCs w:val="24"/>
              </w:rPr>
            </w:pPr>
            <w:r w:rsidRPr="005754AB">
              <w:rPr>
                <w:rFonts w:cstheme="minorHAnsi"/>
                <w:b/>
                <w:bCs/>
                <w:color w:val="000000"/>
                <w:sz w:val="24"/>
                <w:szCs w:val="24"/>
              </w:rPr>
              <w:t>3.1 Coverage of protected areas and other effective area-based conservation measures</w:t>
            </w:r>
          </w:p>
        </w:tc>
      </w:tr>
      <w:tr w:rsidR="003752C3" w14:paraId="557C03B3" w14:textId="77777777" w:rsidTr="005754AB">
        <w:tc>
          <w:tcPr>
            <w:tcW w:w="207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E654296" w14:textId="77777777" w:rsidR="003752C3" w:rsidRPr="004E7FDF" w:rsidRDefault="003752C3">
            <w:pPr>
              <w:spacing w:before="120" w:after="120"/>
              <w:rPr>
                <w:rFonts w:cstheme="minorHAnsi"/>
                <w:b/>
                <w:bCs/>
              </w:rPr>
            </w:pPr>
            <w:r w:rsidRPr="004E7FDF">
              <w:rPr>
                <w:rFonts w:cstheme="minorHAnsi"/>
                <w:b/>
                <w:bCs/>
              </w:rPr>
              <w:t>Goal/Target</w:t>
            </w:r>
          </w:p>
        </w:tc>
        <w:tc>
          <w:tcPr>
            <w:tcW w:w="828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DB8615C" w14:textId="2C091900" w:rsidR="003752C3" w:rsidRPr="001534DD" w:rsidRDefault="008D780D">
            <w:pPr>
              <w:spacing w:before="120" w:after="120"/>
              <w:rPr>
                <w:rFonts w:cstheme="minorHAnsi"/>
                <w:b/>
                <w:bCs/>
              </w:rPr>
            </w:pPr>
            <w:r w:rsidRPr="005754AB">
              <w:rPr>
                <w:rFonts w:cstheme="minorHAnsi"/>
                <w:b/>
                <w:bCs/>
                <w:sz w:val="24"/>
                <w:szCs w:val="24"/>
              </w:rPr>
              <w:t>Target 3</w:t>
            </w:r>
          </w:p>
        </w:tc>
      </w:tr>
      <w:tr w:rsidR="003752C3" w14:paraId="5C0624D1" w14:textId="77777777" w:rsidTr="008F21B8">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A6DED8" w14:textId="77777777" w:rsidR="003752C3" w:rsidRPr="004E7FDF" w:rsidRDefault="003752C3">
            <w:pPr>
              <w:spacing w:before="120" w:after="120"/>
              <w:rPr>
                <w:rFonts w:cstheme="minorHAnsi"/>
                <w:b/>
                <w:bCs/>
              </w:rPr>
            </w:pPr>
            <w:r w:rsidRPr="004E7FDF">
              <w:rPr>
                <w:rFonts w:cstheme="minorHAnsi"/>
                <w:b/>
                <w:bCs/>
              </w:rPr>
              <w:t>Current status</w:t>
            </w:r>
          </w:p>
        </w:tc>
        <w:tc>
          <w:tcPr>
            <w:tcW w:w="8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8319A" w14:textId="1AEAF93B" w:rsidR="00E61B02" w:rsidRPr="004E7FDF" w:rsidRDefault="00E61B02">
            <w:pPr>
              <w:spacing w:before="120" w:after="120"/>
              <w:rPr>
                <w:rFonts w:cstheme="minorHAnsi"/>
              </w:rPr>
            </w:pPr>
            <w:r w:rsidRPr="004E7FDF">
              <w:rPr>
                <w:rFonts w:cstheme="minorHAnsi"/>
              </w:rPr>
              <w:t xml:space="preserve">3.1 </w:t>
            </w:r>
            <w:r w:rsidR="008D780D" w:rsidRPr="004E7FDF">
              <w:rPr>
                <w:rFonts w:cstheme="minorHAnsi"/>
              </w:rPr>
              <w:t>Indicator metadata (</w:t>
            </w:r>
            <w:r w:rsidR="008D780D" w:rsidRPr="009F16F4">
              <w:rPr>
                <w:rFonts w:cstheme="minorHAnsi"/>
                <w:b/>
                <w:bCs/>
              </w:rPr>
              <w:t>Appendix 1</w:t>
            </w:r>
            <w:r w:rsidR="008D780D" w:rsidRPr="004E7FDF">
              <w:rPr>
                <w:rFonts w:cstheme="minorHAnsi"/>
              </w:rPr>
              <w:t>) is incomplete to meet the K-M GBF intent of addressing evidence-based gaps for</w:t>
            </w:r>
            <w:r w:rsidR="00792544" w:rsidRPr="004E7FDF">
              <w:rPr>
                <w:rFonts w:cstheme="minorHAnsi"/>
              </w:rPr>
              <w:t xml:space="preserve"> understanding the coverage of</w:t>
            </w:r>
            <w:r w:rsidR="008D780D" w:rsidRPr="004E7FDF">
              <w:rPr>
                <w:rFonts w:cstheme="minorHAnsi"/>
              </w:rPr>
              <w:t xml:space="preserve"> inland water areas and dependent biodiversity</w:t>
            </w:r>
            <w:r w:rsidR="00792544" w:rsidRPr="004E7FDF">
              <w:rPr>
                <w:rFonts w:cstheme="minorHAnsi"/>
              </w:rPr>
              <w:t xml:space="preserve"> from protected and conserved areas</w:t>
            </w:r>
            <w:r w:rsidR="008D780D" w:rsidRPr="004E7FDF">
              <w:rPr>
                <w:rFonts w:cstheme="minorHAnsi"/>
              </w:rPr>
              <w:t xml:space="preserve">. </w:t>
            </w:r>
            <w:r w:rsidRPr="004E7FDF">
              <w:rPr>
                <w:rFonts w:cstheme="minorHAnsi"/>
              </w:rPr>
              <w:t xml:space="preserve">Inland water-specific metrics are needed. </w:t>
            </w:r>
          </w:p>
          <w:p w14:paraId="1D5B3579" w14:textId="27835AE9" w:rsidR="003752C3" w:rsidRPr="004E7FDF" w:rsidRDefault="00E61B02">
            <w:pPr>
              <w:spacing w:before="120" w:after="120"/>
              <w:rPr>
                <w:rFonts w:cstheme="minorHAnsi"/>
              </w:rPr>
            </w:pPr>
            <w:r w:rsidRPr="004E7FDF">
              <w:rPr>
                <w:rFonts w:cstheme="minorHAnsi"/>
              </w:rPr>
              <w:t>Since i</w:t>
            </w:r>
            <w:r w:rsidR="00D27B6F" w:rsidRPr="004E7FDF">
              <w:rPr>
                <w:rFonts w:cstheme="minorHAnsi"/>
              </w:rPr>
              <w:t>nland water ecosystems, including lakes, rivers, peatlands and other wetlands, cover a very small fraction of total global area</w:t>
            </w:r>
            <w:r w:rsidR="000B5562" w:rsidRPr="004E7FDF">
              <w:rPr>
                <w:rFonts w:cstheme="minorHAnsi"/>
              </w:rPr>
              <w:t>, l</w:t>
            </w:r>
            <w:r w:rsidR="00D27B6F" w:rsidRPr="004E7FDF">
              <w:rPr>
                <w:rFonts w:cstheme="minorHAnsi"/>
              </w:rPr>
              <w:t xml:space="preserve">umping the indicator for inland waters with terrestrial and marine areas (inland waters are present in both), </w:t>
            </w:r>
            <w:r w:rsidRPr="004E7FDF">
              <w:rPr>
                <w:rFonts w:cstheme="minorHAnsi"/>
              </w:rPr>
              <w:t>has and would continue to strongly skew the statistic in a way that fails to report meaningfully on co</w:t>
            </w:r>
            <w:r w:rsidR="000B5562" w:rsidRPr="004E7FDF">
              <w:rPr>
                <w:rFonts w:cstheme="minorHAnsi"/>
              </w:rPr>
              <w:t xml:space="preserve">nservation coverage of </w:t>
            </w:r>
            <w:r w:rsidRPr="004E7FDF">
              <w:rPr>
                <w:rFonts w:cstheme="minorHAnsi"/>
              </w:rPr>
              <w:t>inland waters</w:t>
            </w:r>
            <w:r w:rsidR="000B5562" w:rsidRPr="004E7FDF">
              <w:rPr>
                <w:rFonts w:cstheme="minorHAnsi"/>
              </w:rPr>
              <w:t xml:space="preserve"> by protected areas and OECMs</w:t>
            </w:r>
            <w:r w:rsidRPr="004E7FDF">
              <w:rPr>
                <w:rFonts w:cstheme="minorHAnsi"/>
              </w:rPr>
              <w:t xml:space="preserve">. </w:t>
            </w:r>
          </w:p>
          <w:p w14:paraId="49BFBEC3" w14:textId="26AACBC4" w:rsidR="00792544" w:rsidRPr="004E7FDF" w:rsidRDefault="00D27B6F" w:rsidP="00AF1341">
            <w:pPr>
              <w:spacing w:before="120" w:after="120"/>
              <w:rPr>
                <w:rFonts w:cstheme="minorHAnsi"/>
              </w:rPr>
            </w:pPr>
            <w:r w:rsidRPr="004E7FDF">
              <w:rPr>
                <w:rFonts w:cstheme="minorHAnsi"/>
              </w:rPr>
              <w:t xml:space="preserve">Two </w:t>
            </w:r>
            <w:r w:rsidR="006758A8" w:rsidRPr="004E7FDF">
              <w:rPr>
                <w:rFonts w:cstheme="minorHAnsi"/>
              </w:rPr>
              <w:t>expert</w:t>
            </w:r>
            <w:r w:rsidRPr="004E7FDF">
              <w:rPr>
                <w:rFonts w:cstheme="minorHAnsi"/>
              </w:rPr>
              <w:t xml:space="preserve"> workshops were held in 2022 including representatives from IUCN, UN Water, UNEP WCMC Protected Planet team, </w:t>
            </w:r>
            <w:r w:rsidR="006758A8" w:rsidRPr="004E7FDF">
              <w:rPr>
                <w:rFonts w:cstheme="minorHAnsi"/>
              </w:rPr>
              <w:t>and other</w:t>
            </w:r>
            <w:r w:rsidR="00AF1341">
              <w:rPr>
                <w:rFonts w:cstheme="minorHAnsi"/>
              </w:rPr>
              <w:t>s</w:t>
            </w:r>
            <w:r w:rsidR="006758A8" w:rsidRPr="004E7FDF">
              <w:rPr>
                <w:rFonts w:cstheme="minorHAnsi"/>
              </w:rPr>
              <w:t xml:space="preserve"> </w:t>
            </w:r>
            <w:r w:rsidRPr="004E7FDF">
              <w:rPr>
                <w:rFonts w:cstheme="minorHAnsi"/>
              </w:rPr>
              <w:t xml:space="preserve">to review best available data to </w:t>
            </w:r>
            <w:r w:rsidR="006758A8" w:rsidRPr="004E7FDF">
              <w:rPr>
                <w:rFonts w:cstheme="minorHAnsi"/>
              </w:rPr>
              <w:t xml:space="preserve">(1) represent the extent of inland waters and (2) define coverage. </w:t>
            </w:r>
            <w:r w:rsidR="006758A8" w:rsidRPr="004E7FDF">
              <w:rPr>
                <w:rFonts w:cstheme="minorHAnsi"/>
                <w:b/>
                <w:bCs/>
              </w:rPr>
              <w:t xml:space="preserve">The determination from these workshops was that </w:t>
            </w:r>
            <w:r w:rsidR="00B6482F" w:rsidRPr="004E7FDF">
              <w:rPr>
                <w:rFonts w:cstheme="minorHAnsi"/>
                <w:b/>
                <w:bCs/>
              </w:rPr>
              <w:t>sufficient data are available to develop and apply a method to estimate coverage</w:t>
            </w:r>
            <w:r w:rsidR="000B5562" w:rsidRPr="004E7FDF">
              <w:rPr>
                <w:rFonts w:cstheme="minorHAnsi"/>
                <w:b/>
                <w:bCs/>
              </w:rPr>
              <w:t xml:space="preserve"> of inland waters by PAs and OECMs</w:t>
            </w:r>
            <w:r w:rsidR="00B6482F" w:rsidRPr="004E7FDF">
              <w:rPr>
                <w:rFonts w:cstheme="minorHAnsi"/>
              </w:rPr>
              <w:t xml:space="preserve"> that is simple, has clear caveats, and can serve as a foundation that can accommodate growth and complexity over time (including methods to assess component indicators of effectiveness, connectivity and areas important for biodiversity).</w:t>
            </w:r>
            <w:r w:rsidR="00B6482F" w:rsidRPr="004E7FDF">
              <w:rPr>
                <w:rStyle w:val="FootnoteReference"/>
                <w:rFonts w:cstheme="minorHAnsi"/>
              </w:rPr>
              <w:footnoteReference w:id="12"/>
            </w:r>
          </w:p>
        </w:tc>
      </w:tr>
      <w:tr w:rsidR="003752C3" w14:paraId="7B4867EB" w14:textId="77777777" w:rsidTr="008F21B8">
        <w:tc>
          <w:tcPr>
            <w:tcW w:w="2070" w:type="dxa"/>
            <w:tcBorders>
              <w:top w:val="single" w:sz="4" w:space="0" w:color="auto"/>
              <w:left w:val="single" w:sz="4" w:space="0" w:color="auto"/>
              <w:bottom w:val="single" w:sz="4" w:space="0" w:color="auto"/>
              <w:right w:val="single" w:sz="4" w:space="0" w:color="auto"/>
            </w:tcBorders>
            <w:hideMark/>
          </w:tcPr>
          <w:p w14:paraId="72BF47EE" w14:textId="77777777" w:rsidR="003752C3" w:rsidRPr="004E7FDF" w:rsidRDefault="003752C3">
            <w:pPr>
              <w:spacing w:before="120" w:after="120"/>
              <w:rPr>
                <w:rFonts w:cstheme="minorHAnsi"/>
              </w:rPr>
            </w:pPr>
            <w:r w:rsidRPr="004E7FDF">
              <w:rPr>
                <w:rFonts w:cstheme="minorHAnsi"/>
              </w:rPr>
              <w:t xml:space="preserve">Next steps </w:t>
            </w:r>
            <w:r w:rsidRPr="004E7FDF">
              <w:rPr>
                <w:rStyle w:val="ui-provider"/>
                <w:rFonts w:cstheme="minorHAnsi"/>
              </w:rPr>
              <w:t>in terms of finalizing the metadata and operationalizing the indicator?</w:t>
            </w:r>
          </w:p>
        </w:tc>
        <w:tc>
          <w:tcPr>
            <w:tcW w:w="8280" w:type="dxa"/>
            <w:tcBorders>
              <w:top w:val="single" w:sz="4" w:space="0" w:color="auto"/>
              <w:left w:val="single" w:sz="4" w:space="0" w:color="auto"/>
              <w:bottom w:val="single" w:sz="4" w:space="0" w:color="auto"/>
              <w:right w:val="single" w:sz="4" w:space="0" w:color="auto"/>
            </w:tcBorders>
          </w:tcPr>
          <w:p w14:paraId="431D9CEC" w14:textId="77777777" w:rsidR="00113204" w:rsidRPr="004E7FDF" w:rsidRDefault="00113204">
            <w:pPr>
              <w:spacing w:before="120" w:after="120"/>
              <w:rPr>
                <w:rFonts w:cstheme="minorHAnsi"/>
              </w:rPr>
            </w:pPr>
            <w:r w:rsidRPr="004E7FDF">
              <w:rPr>
                <w:rFonts w:cstheme="minorHAnsi"/>
              </w:rPr>
              <w:t xml:space="preserve">A global assessment of the coverage of inland waters by protected areas and OECMs requires two data types (1) spatial data on the extent of area-based protections and (2) spatial data on the extent of inland water ecosystems. The former is included in the indicator metadata sheet (Appendix 1). </w:t>
            </w:r>
          </w:p>
          <w:p w14:paraId="1A6D3F35" w14:textId="79134EBD" w:rsidR="00792544" w:rsidRPr="004E7FDF" w:rsidRDefault="00113204">
            <w:pPr>
              <w:spacing w:before="120" w:after="120"/>
              <w:rPr>
                <w:rFonts w:cstheme="minorHAnsi"/>
              </w:rPr>
            </w:pPr>
            <w:r w:rsidRPr="004E7FDF">
              <w:rPr>
                <w:rFonts w:cstheme="minorHAnsi"/>
              </w:rPr>
              <w:t xml:space="preserve">For the latter, </w:t>
            </w:r>
            <w:r w:rsidR="00792544" w:rsidRPr="004E7FDF">
              <w:rPr>
                <w:rFonts w:cstheme="minorHAnsi"/>
              </w:rPr>
              <w:t xml:space="preserve">there are </w:t>
            </w:r>
            <w:r w:rsidR="00E95DF7" w:rsidRPr="004E7FDF">
              <w:rPr>
                <w:rFonts w:cstheme="minorHAnsi"/>
              </w:rPr>
              <w:t>three</w:t>
            </w:r>
            <w:r w:rsidR="00792544" w:rsidRPr="004E7FDF">
              <w:rPr>
                <w:rFonts w:cstheme="minorHAnsi"/>
              </w:rPr>
              <w:t xml:space="preserve"> </w:t>
            </w:r>
            <w:r w:rsidR="00E95DF7" w:rsidRPr="004E7FDF">
              <w:rPr>
                <w:rFonts w:cstheme="minorHAnsi"/>
              </w:rPr>
              <w:t xml:space="preserve">key </w:t>
            </w:r>
            <w:r w:rsidR="00792544" w:rsidRPr="004E7FDF">
              <w:rPr>
                <w:rFonts w:cstheme="minorHAnsi"/>
              </w:rPr>
              <w:t xml:space="preserve">next steps which could be completed before COP-16 to operationalize the 3.1 coverage indicator; </w:t>
            </w:r>
          </w:p>
          <w:p w14:paraId="32CA3AF1" w14:textId="78EDF74D" w:rsidR="00113204" w:rsidRPr="004E7FDF" w:rsidRDefault="00792544" w:rsidP="00792544">
            <w:pPr>
              <w:pStyle w:val="ListParagraph"/>
              <w:numPr>
                <w:ilvl w:val="2"/>
                <w:numId w:val="6"/>
              </w:numPr>
              <w:spacing w:before="120" w:after="120"/>
              <w:rPr>
                <w:rFonts w:cstheme="minorHAnsi"/>
              </w:rPr>
            </w:pPr>
            <w:r w:rsidRPr="004E7FDF">
              <w:rPr>
                <w:rFonts w:cstheme="minorHAnsi"/>
                <w:u w:val="single"/>
              </w:rPr>
              <w:t>F</w:t>
            </w:r>
            <w:r w:rsidR="00113204" w:rsidRPr="004E7FDF">
              <w:rPr>
                <w:rFonts w:cstheme="minorHAnsi"/>
                <w:u w:val="single"/>
              </w:rPr>
              <w:t>inalize the global spatial representation of the extent of inland waters</w:t>
            </w:r>
            <w:r w:rsidR="00113204" w:rsidRPr="004E7FDF">
              <w:rPr>
                <w:rFonts w:cstheme="minorHAnsi"/>
              </w:rPr>
              <w:t>. Several globally available datasets exist</w:t>
            </w:r>
            <w:r w:rsidRPr="004E7FDF">
              <w:rPr>
                <w:rFonts w:cstheme="minorHAnsi"/>
                <w:vertAlign w:val="superscript"/>
              </w:rPr>
              <w:t>9</w:t>
            </w:r>
            <w:r w:rsidR="00113204" w:rsidRPr="004E7FDF">
              <w:rPr>
                <w:rFonts w:cstheme="minorHAnsi"/>
              </w:rPr>
              <w:t xml:space="preserve">. </w:t>
            </w:r>
            <w:r w:rsidR="00E95DF7" w:rsidRPr="004E7FDF">
              <w:rPr>
                <w:rFonts w:cstheme="minorHAnsi"/>
              </w:rPr>
              <w:t>For example, c</w:t>
            </w:r>
            <w:r w:rsidR="00113204" w:rsidRPr="004E7FDF">
              <w:rPr>
                <w:rFonts w:cstheme="minorHAnsi"/>
              </w:rPr>
              <w:t>omprehensively, the Global Lakes and Wetlands Database (2004)</w:t>
            </w:r>
            <w:r w:rsidRPr="004E7FDF">
              <w:rPr>
                <w:rStyle w:val="FootnoteReference"/>
                <w:rFonts w:cstheme="minorHAnsi"/>
              </w:rPr>
              <w:footnoteReference w:id="13"/>
            </w:r>
            <w:r w:rsidR="00113204" w:rsidRPr="004E7FDF">
              <w:rPr>
                <w:rFonts w:cstheme="minorHAnsi"/>
              </w:rPr>
              <w:t xml:space="preserve">, is under revision and GLWD V2 is expected to be publicly available in 2023.  In the workshops mentioned above, key questions about extent were outlined and answered </w:t>
            </w:r>
            <w:r w:rsidRPr="004E7FDF">
              <w:rPr>
                <w:rFonts w:cstheme="minorHAnsi"/>
              </w:rPr>
              <w:t>(</w:t>
            </w:r>
            <w:r w:rsidR="00113204" w:rsidRPr="004E7FDF">
              <w:rPr>
                <w:rFonts w:cstheme="minorHAnsi"/>
              </w:rPr>
              <w:t xml:space="preserve">ie </w:t>
            </w:r>
            <w:r w:rsidRPr="004E7FDF">
              <w:rPr>
                <w:rFonts w:cstheme="minorHAnsi"/>
              </w:rPr>
              <w:t xml:space="preserve">representing extent over time from </w:t>
            </w:r>
            <w:r w:rsidR="00113204" w:rsidRPr="004E7FDF">
              <w:rPr>
                <w:rFonts w:cstheme="minorHAnsi"/>
              </w:rPr>
              <w:t xml:space="preserve">seasonal and interannual variability). </w:t>
            </w:r>
          </w:p>
          <w:p w14:paraId="1AF10354" w14:textId="13DCD3D4" w:rsidR="00792544" w:rsidRPr="004E7FDF" w:rsidRDefault="00E95DF7" w:rsidP="00792544">
            <w:pPr>
              <w:pStyle w:val="ListParagraph"/>
              <w:numPr>
                <w:ilvl w:val="2"/>
                <w:numId w:val="6"/>
              </w:numPr>
              <w:spacing w:before="120" w:after="120"/>
              <w:rPr>
                <w:rFonts w:cstheme="minorHAnsi"/>
              </w:rPr>
            </w:pPr>
            <w:r w:rsidRPr="004E7FDF">
              <w:rPr>
                <w:rFonts w:cstheme="minorHAnsi"/>
                <w:u w:val="single"/>
              </w:rPr>
              <w:t>In parallel, f</w:t>
            </w:r>
            <w:r w:rsidR="00792544" w:rsidRPr="004E7FDF">
              <w:rPr>
                <w:rFonts w:cstheme="minorHAnsi"/>
                <w:u w:val="single"/>
              </w:rPr>
              <w:t>inalize decision rules to apply to the coverage calculation</w:t>
            </w:r>
            <w:r w:rsidRPr="004E7FDF">
              <w:rPr>
                <w:rFonts w:cstheme="minorHAnsi"/>
                <w:u w:val="single"/>
              </w:rPr>
              <w:t xml:space="preserve">. </w:t>
            </w:r>
            <w:r w:rsidRPr="00897EFA">
              <w:rPr>
                <w:rFonts w:cstheme="minorHAnsi"/>
              </w:rPr>
              <w:t>For example,</w:t>
            </w:r>
            <w:r w:rsidRPr="004E7FDF">
              <w:rPr>
                <w:rFonts w:cstheme="minorHAnsi"/>
                <w:u w:val="single"/>
              </w:rPr>
              <w:t xml:space="preserve"> </w:t>
            </w:r>
            <w:r w:rsidR="00792544" w:rsidRPr="004E7FDF">
              <w:rPr>
                <w:rFonts w:cstheme="minorHAnsi"/>
              </w:rPr>
              <w:t xml:space="preserve">inland water systems often serve as the boundaries of protected areas – or are not considered in the </w:t>
            </w:r>
            <w:r w:rsidR="00897EFA">
              <w:rPr>
                <w:rFonts w:cstheme="minorHAnsi"/>
              </w:rPr>
              <w:t xml:space="preserve">PCA </w:t>
            </w:r>
            <w:r w:rsidRPr="004E7FDF">
              <w:rPr>
                <w:rFonts w:cstheme="minorHAnsi"/>
              </w:rPr>
              <w:t>designated</w:t>
            </w:r>
            <w:r w:rsidR="00792544" w:rsidRPr="004E7FDF">
              <w:rPr>
                <w:rFonts w:cstheme="minorHAnsi"/>
              </w:rPr>
              <w:t xml:space="preserve"> protections (ie, allowing dams on rivers in national parks)</w:t>
            </w:r>
            <w:r w:rsidRPr="004E7FDF">
              <w:rPr>
                <w:rFonts w:cstheme="minorHAnsi"/>
              </w:rPr>
              <w:t xml:space="preserve">. Following the 2022 workshop recommendations, Confluvio, under contract with TNC, is testing a set of decision rules to be applied to the global coverage calculation for the representation of inland water areas. </w:t>
            </w:r>
          </w:p>
          <w:p w14:paraId="7EE3A290" w14:textId="19DAEFFC" w:rsidR="00E95DF7" w:rsidRPr="004E7FDF" w:rsidRDefault="00E95DF7" w:rsidP="00792544">
            <w:pPr>
              <w:pStyle w:val="ListParagraph"/>
              <w:numPr>
                <w:ilvl w:val="2"/>
                <w:numId w:val="6"/>
              </w:numPr>
              <w:spacing w:before="120" w:after="120"/>
              <w:rPr>
                <w:rFonts w:cstheme="minorHAnsi"/>
              </w:rPr>
            </w:pPr>
            <w:r w:rsidRPr="00897EFA">
              <w:rPr>
                <w:rFonts w:cstheme="minorHAnsi"/>
                <w:u w:val="single"/>
              </w:rPr>
              <w:t>Test at the national level</w:t>
            </w:r>
            <w:r w:rsidRPr="004E7FDF">
              <w:rPr>
                <w:rFonts w:cstheme="minorHAnsi"/>
              </w:rPr>
              <w:t xml:space="preserve"> – please see related question below.</w:t>
            </w:r>
          </w:p>
          <w:p w14:paraId="2F3765C8" w14:textId="6FE4ACE8" w:rsidR="00792544" w:rsidRPr="004E7FDF" w:rsidRDefault="00792544">
            <w:pPr>
              <w:spacing w:before="120" w:after="120"/>
              <w:rPr>
                <w:rFonts w:cstheme="minorHAnsi"/>
              </w:rPr>
            </w:pPr>
          </w:p>
        </w:tc>
      </w:tr>
      <w:tr w:rsidR="003752C3" w:rsidRPr="00D27B6F" w14:paraId="7D527A33" w14:textId="77777777" w:rsidTr="001D1DB2">
        <w:trPr>
          <w:cantSplit/>
        </w:trPr>
        <w:tc>
          <w:tcPr>
            <w:tcW w:w="2070" w:type="dxa"/>
            <w:tcBorders>
              <w:top w:val="single" w:sz="4" w:space="0" w:color="auto"/>
              <w:left w:val="single" w:sz="4" w:space="0" w:color="auto"/>
              <w:bottom w:val="single" w:sz="4" w:space="0" w:color="auto"/>
              <w:right w:val="single" w:sz="4" w:space="0" w:color="auto"/>
            </w:tcBorders>
            <w:hideMark/>
          </w:tcPr>
          <w:p w14:paraId="23C7A067" w14:textId="77777777" w:rsidR="003752C3" w:rsidRPr="004E7FDF" w:rsidRDefault="003752C3">
            <w:pPr>
              <w:spacing w:before="120" w:after="120"/>
              <w:rPr>
                <w:rFonts w:cstheme="minorHAnsi"/>
              </w:rPr>
            </w:pPr>
            <w:r w:rsidRPr="004E7FDF">
              <w:rPr>
                <w:rFonts w:cstheme="minorHAnsi"/>
              </w:rPr>
              <w:t>Who needs to be involved in finalizing the indicator, and have they been consulted or contacted?</w:t>
            </w:r>
          </w:p>
        </w:tc>
        <w:tc>
          <w:tcPr>
            <w:tcW w:w="8280" w:type="dxa"/>
            <w:tcBorders>
              <w:top w:val="single" w:sz="4" w:space="0" w:color="auto"/>
              <w:left w:val="single" w:sz="4" w:space="0" w:color="auto"/>
              <w:bottom w:val="single" w:sz="4" w:space="0" w:color="auto"/>
              <w:right w:val="single" w:sz="4" w:space="0" w:color="auto"/>
            </w:tcBorders>
          </w:tcPr>
          <w:p w14:paraId="74B1CAB3" w14:textId="5BC7678B" w:rsidR="00D27B6F" w:rsidRPr="004E7FDF" w:rsidRDefault="00D27B6F">
            <w:pPr>
              <w:spacing w:before="120" w:after="120"/>
              <w:rPr>
                <w:rFonts w:cstheme="minorHAnsi"/>
                <w:lang w:val="en-US"/>
              </w:rPr>
            </w:pPr>
            <w:r w:rsidRPr="004E7FDF">
              <w:rPr>
                <w:rFonts w:cstheme="minorHAnsi"/>
                <w:lang w:val="en-US"/>
              </w:rPr>
              <w:t xml:space="preserve">UNEP WCMC </w:t>
            </w:r>
            <w:r w:rsidR="00AB79FE" w:rsidRPr="004E7FDF">
              <w:rPr>
                <w:rFonts w:cstheme="minorHAnsi"/>
                <w:lang w:val="en-US"/>
              </w:rPr>
              <w:t xml:space="preserve">Protected Planet </w:t>
            </w:r>
            <w:r w:rsidRPr="004E7FDF">
              <w:rPr>
                <w:rFonts w:cstheme="minorHAnsi"/>
                <w:lang w:val="en-US"/>
              </w:rPr>
              <w:t>(Ben</w:t>
            </w:r>
            <w:r w:rsidR="00792544" w:rsidRPr="004E7FDF">
              <w:rPr>
                <w:rFonts w:cstheme="minorHAnsi"/>
                <w:lang w:val="en-US"/>
              </w:rPr>
              <w:t>jamin</w:t>
            </w:r>
            <w:r w:rsidRPr="004E7FDF">
              <w:rPr>
                <w:rFonts w:cstheme="minorHAnsi"/>
                <w:lang w:val="en-US"/>
              </w:rPr>
              <w:t xml:space="preserve"> Lucas</w:t>
            </w:r>
            <w:r w:rsidR="006758A8" w:rsidRPr="004E7FDF">
              <w:rPr>
                <w:rFonts w:cstheme="minorHAnsi"/>
                <w:lang w:val="en-US"/>
              </w:rPr>
              <w:t xml:space="preserve"> and Heather Bingham</w:t>
            </w:r>
            <w:r w:rsidRPr="004E7FDF">
              <w:rPr>
                <w:rFonts w:cstheme="minorHAnsi"/>
                <w:lang w:val="en-US"/>
              </w:rPr>
              <w:t xml:space="preserve">), </w:t>
            </w:r>
            <w:r w:rsidR="00AB79FE" w:rsidRPr="004E7FDF">
              <w:rPr>
                <w:rFonts w:cstheme="minorHAnsi"/>
                <w:lang w:val="en-US"/>
              </w:rPr>
              <w:t>UN (to coordinate with relevant SDGs</w:t>
            </w:r>
            <w:r w:rsidR="00B46A08" w:rsidRPr="004E7FDF">
              <w:rPr>
                <w:rFonts w:cstheme="minorHAnsi"/>
                <w:lang w:val="en-US"/>
              </w:rPr>
              <w:t xml:space="preserve"> including 6.6.1 and 15.1</w:t>
            </w:r>
            <w:r w:rsidR="00AB79FE" w:rsidRPr="004E7FDF">
              <w:rPr>
                <w:rFonts w:cstheme="minorHAnsi"/>
                <w:lang w:val="en-US"/>
              </w:rPr>
              <w:t xml:space="preserve">) </w:t>
            </w:r>
            <w:r w:rsidRPr="004E7FDF">
              <w:rPr>
                <w:rFonts w:cstheme="minorHAnsi"/>
                <w:lang w:val="en-US"/>
              </w:rPr>
              <w:t>Ramsar STRP</w:t>
            </w:r>
            <w:r w:rsidR="00E61B02" w:rsidRPr="004E7FDF">
              <w:rPr>
                <w:rFonts w:cstheme="minorHAnsi"/>
                <w:lang w:val="en-US"/>
              </w:rPr>
              <w:t xml:space="preserve"> (as referenced above)</w:t>
            </w:r>
            <w:r w:rsidRPr="004E7FDF">
              <w:rPr>
                <w:rFonts w:cstheme="minorHAnsi"/>
                <w:lang w:val="en-US"/>
              </w:rPr>
              <w:t>, Freshwater Challenge members</w:t>
            </w:r>
            <w:r w:rsidR="00B46A08" w:rsidRPr="004E7FDF">
              <w:rPr>
                <w:rFonts w:cstheme="minorHAnsi"/>
                <w:lang w:val="en-US"/>
              </w:rPr>
              <w:t xml:space="preserve">. </w:t>
            </w:r>
            <w:r w:rsidRPr="004E7FDF">
              <w:rPr>
                <w:rFonts w:cstheme="minorHAnsi"/>
                <w:lang w:val="en-US"/>
              </w:rPr>
              <w:t xml:space="preserve"> </w:t>
            </w:r>
            <w:r w:rsidR="00EA0F81" w:rsidRPr="004E7FDF">
              <w:rPr>
                <w:rFonts w:cstheme="minorHAnsi"/>
                <w:lang w:val="en-US"/>
              </w:rPr>
              <w:t xml:space="preserve">Robin Abell or </w:t>
            </w:r>
            <w:r w:rsidR="00B46A08" w:rsidRPr="004E7FDF">
              <w:rPr>
                <w:rFonts w:cstheme="minorHAnsi"/>
                <w:lang w:val="en-US"/>
              </w:rPr>
              <w:t>Tara Moberg with TNC (</w:t>
            </w:r>
            <w:hyperlink r:id="rId10" w:history="1">
              <w:r w:rsidR="00EA0F81" w:rsidRPr="004E7FDF">
                <w:rPr>
                  <w:rStyle w:val="Hyperlink"/>
                  <w:rFonts w:cstheme="minorHAnsi"/>
                </w:rPr>
                <w:t>rabell@tnc.org</w:t>
              </w:r>
            </w:hyperlink>
            <w:r w:rsidR="00EA0F81" w:rsidRPr="004E7FDF">
              <w:rPr>
                <w:rFonts w:cstheme="minorHAnsi"/>
                <w:lang w:val="en-US"/>
              </w:rPr>
              <w:t xml:space="preserve">, </w:t>
            </w:r>
            <w:hyperlink r:id="rId11" w:history="1">
              <w:r w:rsidR="00B46A08" w:rsidRPr="004E7FDF">
                <w:rPr>
                  <w:rStyle w:val="Hyperlink"/>
                  <w:rFonts w:cstheme="minorHAnsi"/>
                </w:rPr>
                <w:t>tmoberg@tnc.org</w:t>
              </w:r>
            </w:hyperlink>
            <w:r w:rsidR="00B46A08" w:rsidRPr="004E7FDF">
              <w:rPr>
                <w:rFonts w:cstheme="minorHAnsi"/>
                <w:lang w:val="en-US"/>
              </w:rPr>
              <w:t>) could be an initial contact related to coordinated ongoing work.</w:t>
            </w:r>
          </w:p>
          <w:p w14:paraId="3C6156FA" w14:textId="15029C72" w:rsidR="006758A8" w:rsidRPr="004E7FDF" w:rsidRDefault="006758A8">
            <w:pPr>
              <w:spacing w:before="120" w:after="120"/>
              <w:rPr>
                <w:rFonts w:cstheme="minorHAnsi"/>
                <w:lang w:val="en-US"/>
              </w:rPr>
            </w:pPr>
          </w:p>
        </w:tc>
      </w:tr>
      <w:tr w:rsidR="003752C3" w14:paraId="452A656B" w14:textId="77777777" w:rsidTr="008F21B8">
        <w:tc>
          <w:tcPr>
            <w:tcW w:w="2070" w:type="dxa"/>
            <w:tcBorders>
              <w:top w:val="single" w:sz="4" w:space="0" w:color="auto"/>
              <w:left w:val="single" w:sz="4" w:space="0" w:color="auto"/>
              <w:bottom w:val="single" w:sz="4" w:space="0" w:color="auto"/>
              <w:right w:val="single" w:sz="4" w:space="0" w:color="auto"/>
            </w:tcBorders>
            <w:hideMark/>
          </w:tcPr>
          <w:p w14:paraId="6026FE5F" w14:textId="77777777" w:rsidR="003752C3" w:rsidRPr="004E7FDF" w:rsidRDefault="003752C3">
            <w:pPr>
              <w:spacing w:before="120" w:after="120"/>
              <w:rPr>
                <w:rFonts w:cstheme="minorHAnsi"/>
              </w:rPr>
            </w:pPr>
            <w:r w:rsidRPr="004E7FDF">
              <w:rPr>
                <w:rFonts w:cstheme="minorHAnsi"/>
              </w:rPr>
              <w:t>Is testing at the national level needed?</w:t>
            </w:r>
          </w:p>
        </w:tc>
        <w:tc>
          <w:tcPr>
            <w:tcW w:w="8280" w:type="dxa"/>
            <w:tcBorders>
              <w:top w:val="single" w:sz="4" w:space="0" w:color="auto"/>
              <w:left w:val="single" w:sz="4" w:space="0" w:color="auto"/>
              <w:bottom w:val="single" w:sz="4" w:space="0" w:color="auto"/>
              <w:right w:val="single" w:sz="4" w:space="0" w:color="auto"/>
            </w:tcBorders>
          </w:tcPr>
          <w:p w14:paraId="52F9687D" w14:textId="030CB77F" w:rsidR="003752C3" w:rsidRPr="004E7FDF" w:rsidRDefault="00D27B6F">
            <w:pPr>
              <w:spacing w:before="120" w:after="120"/>
              <w:rPr>
                <w:rFonts w:cstheme="minorHAnsi"/>
              </w:rPr>
            </w:pPr>
            <w:r w:rsidRPr="004E7FDF">
              <w:rPr>
                <w:rFonts w:cstheme="minorHAnsi"/>
              </w:rPr>
              <w:t xml:space="preserve">Yes. Testing is needed and </w:t>
            </w:r>
            <w:r w:rsidR="00AB79FE" w:rsidRPr="004E7FDF">
              <w:rPr>
                <w:rFonts w:cstheme="minorHAnsi"/>
              </w:rPr>
              <w:t>could be conducted</w:t>
            </w:r>
            <w:r w:rsidRPr="004E7FDF">
              <w:rPr>
                <w:rFonts w:cstheme="minorHAnsi"/>
              </w:rPr>
              <w:t xml:space="preserve"> over the next twelve months, </w:t>
            </w:r>
            <w:r w:rsidR="00AB79FE" w:rsidRPr="004E7FDF">
              <w:rPr>
                <w:rFonts w:cstheme="minorHAnsi"/>
              </w:rPr>
              <w:t xml:space="preserve">before COP-16, </w:t>
            </w:r>
            <w:r w:rsidRPr="004E7FDF">
              <w:rPr>
                <w:rFonts w:cstheme="minorHAnsi"/>
              </w:rPr>
              <w:t xml:space="preserve">with a focus on capturing hydrogeographic differences (climate, habitat types, geology, etc.). The extent of testing </w:t>
            </w:r>
            <w:r w:rsidR="00792544" w:rsidRPr="004E7FDF">
              <w:rPr>
                <w:rFonts w:cstheme="minorHAnsi"/>
              </w:rPr>
              <w:t>could</w:t>
            </w:r>
            <w:r w:rsidRPr="004E7FDF">
              <w:rPr>
                <w:rFonts w:cstheme="minorHAnsi"/>
              </w:rPr>
              <w:t xml:space="preserve"> be dependent on timing and funding availability.</w:t>
            </w:r>
          </w:p>
        </w:tc>
      </w:tr>
      <w:tr w:rsidR="003752C3" w14:paraId="0C1933F5" w14:textId="77777777" w:rsidTr="008F21B8">
        <w:tc>
          <w:tcPr>
            <w:tcW w:w="2070" w:type="dxa"/>
            <w:tcBorders>
              <w:top w:val="single" w:sz="4" w:space="0" w:color="auto"/>
              <w:left w:val="single" w:sz="4" w:space="0" w:color="auto"/>
              <w:bottom w:val="single" w:sz="4" w:space="0" w:color="auto"/>
              <w:right w:val="single" w:sz="4" w:space="0" w:color="auto"/>
            </w:tcBorders>
            <w:hideMark/>
          </w:tcPr>
          <w:p w14:paraId="068183D4" w14:textId="77777777" w:rsidR="003752C3" w:rsidRPr="004E7FDF" w:rsidRDefault="003752C3">
            <w:pPr>
              <w:spacing w:before="120" w:after="120"/>
              <w:rPr>
                <w:rFonts w:cstheme="minorHAnsi"/>
              </w:rPr>
            </w:pPr>
            <w:r w:rsidRPr="004E7FDF">
              <w:rPr>
                <w:rFonts w:cstheme="minorHAnsi"/>
              </w:rPr>
              <w:t>What is a realistic timeline for finalizing the metadata and operationalizing the indicator?</w:t>
            </w:r>
          </w:p>
        </w:tc>
        <w:tc>
          <w:tcPr>
            <w:tcW w:w="8280" w:type="dxa"/>
            <w:tcBorders>
              <w:top w:val="single" w:sz="4" w:space="0" w:color="auto"/>
              <w:left w:val="single" w:sz="4" w:space="0" w:color="auto"/>
              <w:bottom w:val="single" w:sz="4" w:space="0" w:color="auto"/>
              <w:right w:val="single" w:sz="4" w:space="0" w:color="auto"/>
            </w:tcBorders>
          </w:tcPr>
          <w:p w14:paraId="4EBAAFF6" w14:textId="29F63DC0" w:rsidR="006F53CB" w:rsidRPr="004E7FDF" w:rsidRDefault="00E61B02" w:rsidP="006F53CB">
            <w:pPr>
              <w:spacing w:before="120" w:after="120"/>
              <w:rPr>
                <w:rFonts w:cstheme="minorHAnsi"/>
              </w:rPr>
            </w:pPr>
            <w:r w:rsidRPr="004E7FDF">
              <w:rPr>
                <w:rFonts w:cstheme="minorHAnsi"/>
              </w:rPr>
              <w:t>We will be able to more clearly support this question when the draft indicator metadata is shared</w:t>
            </w:r>
            <w:r w:rsidR="00B6482F" w:rsidRPr="004E7FDF">
              <w:rPr>
                <w:rFonts w:cstheme="minorHAnsi"/>
              </w:rPr>
              <w:t xml:space="preserve"> publicly</w:t>
            </w:r>
            <w:r w:rsidRPr="004E7FDF">
              <w:rPr>
                <w:rFonts w:cstheme="minorHAnsi"/>
              </w:rPr>
              <w:t>.</w:t>
            </w:r>
            <w:r w:rsidR="00B6482F" w:rsidRPr="004E7FDF">
              <w:rPr>
                <w:rFonts w:cstheme="minorHAnsi"/>
              </w:rPr>
              <w:t xml:space="preserve"> </w:t>
            </w:r>
            <w:r w:rsidRPr="004E7FDF">
              <w:rPr>
                <w:rFonts w:cstheme="minorHAnsi"/>
              </w:rPr>
              <w:t xml:space="preserve"> Based on the attached</w:t>
            </w:r>
            <w:r w:rsidR="00B6482F" w:rsidRPr="004E7FDF">
              <w:rPr>
                <w:rFonts w:cstheme="minorHAnsi"/>
              </w:rPr>
              <w:t xml:space="preserve"> Oct 2022 version</w:t>
            </w:r>
            <w:r w:rsidR="006F53CB" w:rsidRPr="004E7FDF">
              <w:rPr>
                <w:rFonts w:cstheme="minorHAnsi"/>
              </w:rPr>
              <w:t>, we estimate that 14 months (by COP-16) would be a realistic timeline for finalizing the metadata and operationalizing an indicator to</w:t>
            </w:r>
            <w:r w:rsidR="006F53CB" w:rsidRPr="004E7FDF">
              <w:rPr>
                <w:rFonts w:cstheme="minorHAnsi"/>
                <w:b/>
                <w:bCs/>
              </w:rPr>
              <w:t xml:space="preserve"> estimate coverage of inland waters by PAs and OECMs</w:t>
            </w:r>
            <w:r w:rsidR="006F53CB" w:rsidRPr="004E7FDF">
              <w:rPr>
                <w:rFonts w:cstheme="minorHAnsi"/>
              </w:rPr>
              <w:t xml:space="preserve"> that is simple, has clear caveats, and can serve as a foundation that can accommodate growth and complexity over time. </w:t>
            </w:r>
            <w:r w:rsidR="00897EFA">
              <w:rPr>
                <w:rFonts w:cstheme="minorHAnsi"/>
              </w:rPr>
              <w:t>This assumes sufficient resourcing.</w:t>
            </w:r>
          </w:p>
          <w:p w14:paraId="31AB1A35" w14:textId="2510E1B0" w:rsidR="006F53CB" w:rsidRPr="004E7FDF" w:rsidRDefault="006F53CB" w:rsidP="006F53CB">
            <w:pPr>
              <w:spacing w:before="120" w:after="120"/>
              <w:rPr>
                <w:rFonts w:cstheme="minorHAnsi"/>
              </w:rPr>
            </w:pPr>
            <w:r w:rsidRPr="004E7FDF">
              <w:rPr>
                <w:rFonts w:cstheme="minorHAnsi"/>
              </w:rPr>
              <w:t xml:space="preserve">A comprehensive indicator for inland waters, that includes the critical components of effectiveness (PAME), areas important for biodiversity, connectivity, etc., would likely take a few years in addition, to finalize metadata and operationalize. </w:t>
            </w:r>
          </w:p>
        </w:tc>
      </w:tr>
      <w:tr w:rsidR="003752C3" w14:paraId="32CFF455" w14:textId="77777777" w:rsidTr="008F21B8">
        <w:tc>
          <w:tcPr>
            <w:tcW w:w="2070" w:type="dxa"/>
            <w:tcBorders>
              <w:top w:val="single" w:sz="4" w:space="0" w:color="auto"/>
              <w:left w:val="single" w:sz="4" w:space="0" w:color="auto"/>
              <w:bottom w:val="single" w:sz="4" w:space="0" w:color="auto"/>
              <w:right w:val="single" w:sz="4" w:space="0" w:color="auto"/>
            </w:tcBorders>
            <w:hideMark/>
          </w:tcPr>
          <w:p w14:paraId="3DEAE32B" w14:textId="77777777" w:rsidR="003752C3" w:rsidRPr="004E7FDF" w:rsidRDefault="003752C3">
            <w:pPr>
              <w:spacing w:before="120" w:after="120"/>
              <w:rPr>
                <w:rFonts w:cstheme="minorHAnsi"/>
              </w:rPr>
            </w:pPr>
            <w:r w:rsidRPr="004E7FDF">
              <w:rPr>
                <w:rFonts w:cstheme="minorHAnsi"/>
              </w:rPr>
              <w:t>What are possible thematic or subject area disaggregations?</w:t>
            </w:r>
          </w:p>
        </w:tc>
        <w:tc>
          <w:tcPr>
            <w:tcW w:w="8280" w:type="dxa"/>
            <w:tcBorders>
              <w:top w:val="single" w:sz="4" w:space="0" w:color="auto"/>
              <w:left w:val="single" w:sz="4" w:space="0" w:color="auto"/>
              <w:bottom w:val="single" w:sz="4" w:space="0" w:color="auto"/>
              <w:right w:val="single" w:sz="4" w:space="0" w:color="auto"/>
            </w:tcBorders>
          </w:tcPr>
          <w:p w14:paraId="78E627E5" w14:textId="132C1040" w:rsidR="003752C3" w:rsidRPr="004E7FDF" w:rsidRDefault="006758A8">
            <w:pPr>
              <w:spacing w:before="120" w:after="120"/>
              <w:rPr>
                <w:rFonts w:cstheme="minorHAnsi"/>
              </w:rPr>
            </w:pPr>
            <w:r w:rsidRPr="004E7FDF">
              <w:rPr>
                <w:rFonts w:cstheme="minorHAnsi"/>
              </w:rPr>
              <w:t xml:space="preserve">Depending on the draft metadata sheet, inland waters could potentially be assessed through a </w:t>
            </w:r>
            <w:r w:rsidR="006943E2" w:rsidRPr="004E7FDF">
              <w:rPr>
                <w:rFonts w:cstheme="minorHAnsi"/>
              </w:rPr>
              <w:t xml:space="preserve">thematic </w:t>
            </w:r>
            <w:r w:rsidRPr="004E7FDF">
              <w:rPr>
                <w:rFonts w:cstheme="minorHAnsi"/>
              </w:rPr>
              <w:t>disaggregation. Meaning</w:t>
            </w:r>
            <w:r w:rsidR="0037428A" w:rsidRPr="004E7FDF">
              <w:rPr>
                <w:rFonts w:cstheme="minorHAnsi"/>
              </w:rPr>
              <w:t>,</w:t>
            </w:r>
            <w:r w:rsidRPr="004E7FDF">
              <w:rPr>
                <w:rFonts w:cstheme="minorHAnsi"/>
              </w:rPr>
              <w:t xml:space="preserve"> the indicator method </w:t>
            </w:r>
            <w:r w:rsidR="006943E2" w:rsidRPr="004E7FDF">
              <w:rPr>
                <w:rFonts w:cstheme="minorHAnsi"/>
              </w:rPr>
              <w:t>could account</w:t>
            </w:r>
            <w:r w:rsidRPr="004E7FDF">
              <w:rPr>
                <w:rFonts w:cstheme="minorHAnsi"/>
              </w:rPr>
              <w:t xml:space="preserve"> for </w:t>
            </w:r>
            <w:r w:rsidR="00E61B02" w:rsidRPr="004E7FDF">
              <w:rPr>
                <w:rFonts w:cstheme="minorHAnsi"/>
                <w:i/>
                <w:iCs/>
              </w:rPr>
              <w:t>both</w:t>
            </w:r>
            <w:r w:rsidR="00E61B02" w:rsidRPr="004E7FDF">
              <w:rPr>
                <w:rFonts w:cstheme="minorHAnsi"/>
              </w:rPr>
              <w:t xml:space="preserve"> - </w:t>
            </w:r>
            <w:r w:rsidRPr="004E7FDF">
              <w:rPr>
                <w:rFonts w:cstheme="minorHAnsi"/>
              </w:rPr>
              <w:t>progress jointly toward 30%</w:t>
            </w:r>
            <w:r w:rsidR="00EC0561" w:rsidRPr="004E7FDF">
              <w:rPr>
                <w:rFonts w:cstheme="minorHAnsi"/>
              </w:rPr>
              <w:t xml:space="preserve"> coverage</w:t>
            </w:r>
            <w:r w:rsidRPr="004E7FDF">
              <w:rPr>
                <w:rFonts w:cstheme="minorHAnsi"/>
              </w:rPr>
              <w:t xml:space="preserve">, </w:t>
            </w:r>
            <w:r w:rsidRPr="004E7FDF">
              <w:rPr>
                <w:rFonts w:cstheme="minorHAnsi"/>
                <w:i/>
                <w:iCs/>
              </w:rPr>
              <w:t>and</w:t>
            </w:r>
            <w:r w:rsidRPr="004E7FDF">
              <w:rPr>
                <w:rFonts w:cstheme="minorHAnsi"/>
              </w:rPr>
              <w:t xml:space="preserve"> independently</w:t>
            </w:r>
            <w:r w:rsidR="00E61B02" w:rsidRPr="004E7FDF">
              <w:rPr>
                <w:rFonts w:cstheme="minorHAnsi"/>
              </w:rPr>
              <w:t xml:space="preserve"> </w:t>
            </w:r>
            <w:r w:rsidR="00EC0561" w:rsidRPr="004E7FDF">
              <w:rPr>
                <w:rFonts w:cstheme="minorHAnsi"/>
              </w:rPr>
              <w:t xml:space="preserve">tracks </w:t>
            </w:r>
            <w:r w:rsidR="00E61B02" w:rsidRPr="004E7FDF">
              <w:rPr>
                <w:rFonts w:cstheme="minorHAnsi"/>
              </w:rPr>
              <w:t xml:space="preserve">percent coverage for </w:t>
            </w:r>
            <w:r w:rsidRPr="004E7FDF">
              <w:rPr>
                <w:rFonts w:cstheme="minorHAnsi"/>
                <w:i/>
                <w:iCs/>
              </w:rPr>
              <w:t>each of</w:t>
            </w:r>
            <w:r w:rsidRPr="004E7FDF">
              <w:rPr>
                <w:rFonts w:cstheme="minorHAnsi"/>
              </w:rPr>
              <w:t xml:space="preserve"> terrestrial, inland water, coastal and marine </w:t>
            </w:r>
            <w:r w:rsidR="00E61B02" w:rsidRPr="004E7FDF">
              <w:rPr>
                <w:rFonts w:cstheme="minorHAnsi"/>
              </w:rPr>
              <w:t>areas</w:t>
            </w:r>
            <w:r w:rsidRPr="004E7FDF">
              <w:rPr>
                <w:rFonts w:cstheme="minorHAnsi"/>
              </w:rPr>
              <w:t xml:space="preserve">. </w:t>
            </w:r>
          </w:p>
          <w:p w14:paraId="7719C60E" w14:textId="1BB7391C" w:rsidR="006758A8" w:rsidRPr="004E7FDF" w:rsidRDefault="006758A8">
            <w:pPr>
              <w:spacing w:before="120" w:after="120"/>
              <w:rPr>
                <w:rFonts w:cstheme="minorHAnsi"/>
              </w:rPr>
            </w:pPr>
            <w:r w:rsidRPr="004E7FDF">
              <w:rPr>
                <w:rFonts w:cstheme="minorHAnsi"/>
              </w:rPr>
              <w:t xml:space="preserve">We emphasize that given extremely small global area coverage for inland waters, </w:t>
            </w:r>
            <w:r w:rsidR="00EC0561" w:rsidRPr="004E7FDF">
              <w:rPr>
                <w:rFonts w:cstheme="minorHAnsi"/>
              </w:rPr>
              <w:t xml:space="preserve">in addition to </w:t>
            </w:r>
            <w:r w:rsidRPr="004E7FDF">
              <w:rPr>
                <w:rFonts w:cstheme="minorHAnsi"/>
              </w:rPr>
              <w:t xml:space="preserve">joint calculations </w:t>
            </w:r>
            <w:r w:rsidR="00A05241" w:rsidRPr="004E7FDF">
              <w:rPr>
                <w:rFonts w:cstheme="minorHAnsi"/>
              </w:rPr>
              <w:t>provide little meaning for the</w:t>
            </w:r>
            <w:r w:rsidR="00EC0561" w:rsidRPr="004E7FDF">
              <w:rPr>
                <w:rFonts w:cstheme="minorHAnsi"/>
              </w:rPr>
              <w:t>ir</w:t>
            </w:r>
            <w:r w:rsidR="00A05241" w:rsidRPr="004E7FDF">
              <w:rPr>
                <w:rFonts w:cstheme="minorHAnsi"/>
              </w:rPr>
              <w:t xml:space="preserve"> conservation status (protected areas and OECMs) of the biome.</w:t>
            </w:r>
          </w:p>
        </w:tc>
      </w:tr>
      <w:tr w:rsidR="003752C3" w14:paraId="5D6ADD5A" w14:textId="77777777" w:rsidTr="008F21B8">
        <w:tc>
          <w:tcPr>
            <w:tcW w:w="2070" w:type="dxa"/>
            <w:tcBorders>
              <w:top w:val="single" w:sz="4" w:space="0" w:color="auto"/>
              <w:left w:val="single" w:sz="4" w:space="0" w:color="auto"/>
              <w:bottom w:val="single" w:sz="4" w:space="0" w:color="auto"/>
              <w:right w:val="single" w:sz="4" w:space="0" w:color="auto"/>
            </w:tcBorders>
            <w:hideMark/>
          </w:tcPr>
          <w:p w14:paraId="47028FE7" w14:textId="77777777" w:rsidR="003752C3" w:rsidRPr="004E7FDF" w:rsidRDefault="003752C3">
            <w:pPr>
              <w:spacing w:before="120" w:after="120"/>
              <w:rPr>
                <w:rFonts w:cstheme="minorHAnsi"/>
              </w:rPr>
            </w:pPr>
            <w:r w:rsidRPr="004E7FDF">
              <w:rPr>
                <w:rFonts w:cstheme="minorHAnsi"/>
              </w:rPr>
              <w:t>How could issues related to indigenous peoples and local communities be reflected in the indicator?</w:t>
            </w:r>
          </w:p>
        </w:tc>
        <w:tc>
          <w:tcPr>
            <w:tcW w:w="8280" w:type="dxa"/>
            <w:tcBorders>
              <w:top w:val="single" w:sz="4" w:space="0" w:color="auto"/>
              <w:left w:val="single" w:sz="4" w:space="0" w:color="auto"/>
              <w:bottom w:val="single" w:sz="4" w:space="0" w:color="auto"/>
              <w:right w:val="single" w:sz="4" w:space="0" w:color="auto"/>
            </w:tcBorders>
          </w:tcPr>
          <w:p w14:paraId="48576FDA" w14:textId="5C96CBC7" w:rsidR="003752C3" w:rsidRPr="004E7FDF" w:rsidRDefault="000B5562">
            <w:pPr>
              <w:spacing w:before="120" w:after="120"/>
              <w:rPr>
                <w:rFonts w:cstheme="minorHAnsi"/>
              </w:rPr>
            </w:pPr>
            <w:r w:rsidRPr="004E7FDF">
              <w:rPr>
                <w:rFonts w:cstheme="minorHAnsi"/>
              </w:rPr>
              <w:t xml:space="preserve">Critical to this indicator, Indigenous Peoples and local communities are important stewards of lands and waters, globally. These contributions should be clearly defined and accounted for. Related case studies are included in </w:t>
            </w:r>
          </w:p>
        </w:tc>
      </w:tr>
      <w:tr w:rsidR="003752C3" w14:paraId="079FBA2D" w14:textId="77777777" w:rsidTr="008F21B8">
        <w:tc>
          <w:tcPr>
            <w:tcW w:w="2070" w:type="dxa"/>
            <w:tcBorders>
              <w:top w:val="single" w:sz="4" w:space="0" w:color="auto"/>
              <w:left w:val="single" w:sz="4" w:space="0" w:color="auto"/>
              <w:bottom w:val="single" w:sz="4" w:space="0" w:color="auto"/>
              <w:right w:val="single" w:sz="4" w:space="0" w:color="auto"/>
            </w:tcBorders>
            <w:hideMark/>
          </w:tcPr>
          <w:p w14:paraId="67BAB9C2" w14:textId="77777777" w:rsidR="003752C3" w:rsidRPr="004E7FDF" w:rsidRDefault="003752C3">
            <w:pPr>
              <w:spacing w:before="120" w:after="120"/>
              <w:rPr>
                <w:rFonts w:cstheme="minorHAnsi"/>
              </w:rPr>
            </w:pPr>
            <w:r w:rsidRPr="004E7FDF">
              <w:rPr>
                <w:rFonts w:cstheme="minorHAnsi"/>
              </w:rPr>
              <w:t xml:space="preserve">Are there any critical gaps with regard to the indicators identified for the goals and targets being considered by the subgroup? </w:t>
            </w:r>
          </w:p>
        </w:tc>
        <w:tc>
          <w:tcPr>
            <w:tcW w:w="8280" w:type="dxa"/>
            <w:tcBorders>
              <w:top w:val="single" w:sz="4" w:space="0" w:color="auto"/>
              <w:left w:val="single" w:sz="4" w:space="0" w:color="auto"/>
              <w:bottom w:val="single" w:sz="4" w:space="0" w:color="auto"/>
              <w:right w:val="single" w:sz="4" w:space="0" w:color="auto"/>
            </w:tcBorders>
          </w:tcPr>
          <w:p w14:paraId="01752F2E" w14:textId="270542FD" w:rsidR="003752C3" w:rsidRPr="004E7FDF" w:rsidRDefault="00832FFB">
            <w:pPr>
              <w:spacing w:before="120" w:after="120"/>
              <w:rPr>
                <w:rFonts w:cstheme="minorHAnsi"/>
              </w:rPr>
            </w:pPr>
            <w:r w:rsidRPr="004E7FDF">
              <w:rPr>
                <w:rFonts w:cstheme="minorHAnsi"/>
              </w:rPr>
              <w:t>Described above. In addition, the K-M GBF component indicators for (1) key biodiversity areas, (2) Protected Area Management Effectiveness (PAME), (3) Connectivity and (4) Species Protection Index should be reviewed and adapted for relevance to inland water areas. Some recommendations related to this are included in the Pathways for Inland Waters in the 30 x 30 Target report.</w:t>
            </w:r>
          </w:p>
        </w:tc>
      </w:tr>
      <w:tr w:rsidR="003752C3" w14:paraId="27F0F83E" w14:textId="77777777" w:rsidTr="001D1DB2">
        <w:trPr>
          <w:cantSplit/>
        </w:trPr>
        <w:tc>
          <w:tcPr>
            <w:tcW w:w="2070" w:type="dxa"/>
            <w:tcBorders>
              <w:top w:val="single" w:sz="4" w:space="0" w:color="auto"/>
              <w:left w:val="single" w:sz="4" w:space="0" w:color="auto"/>
              <w:bottom w:val="single" w:sz="4" w:space="0" w:color="auto"/>
              <w:right w:val="single" w:sz="4" w:space="0" w:color="auto"/>
            </w:tcBorders>
            <w:hideMark/>
          </w:tcPr>
          <w:p w14:paraId="15B60840" w14:textId="77777777" w:rsidR="003752C3" w:rsidRPr="004E7FDF" w:rsidRDefault="003752C3">
            <w:pPr>
              <w:spacing w:before="120" w:after="120"/>
              <w:rPr>
                <w:rFonts w:cstheme="minorHAnsi"/>
              </w:rPr>
            </w:pPr>
            <w:r w:rsidRPr="004E7FDF">
              <w:rPr>
                <w:rFonts w:cstheme="minorHAnsi"/>
              </w:rPr>
              <w:t>Other issues to bring to the attention of the Ad Hoc Technical Expert Group</w:t>
            </w:r>
          </w:p>
        </w:tc>
        <w:tc>
          <w:tcPr>
            <w:tcW w:w="8280" w:type="dxa"/>
            <w:tcBorders>
              <w:top w:val="single" w:sz="4" w:space="0" w:color="auto"/>
              <w:left w:val="single" w:sz="4" w:space="0" w:color="auto"/>
              <w:bottom w:val="single" w:sz="4" w:space="0" w:color="auto"/>
              <w:right w:val="single" w:sz="4" w:space="0" w:color="auto"/>
            </w:tcBorders>
          </w:tcPr>
          <w:p w14:paraId="03672B33" w14:textId="6064F372" w:rsidR="003752C3" w:rsidRPr="004E7FDF" w:rsidRDefault="005747B0">
            <w:pPr>
              <w:spacing w:before="120" w:after="120"/>
              <w:rPr>
                <w:rFonts w:cstheme="minorHAnsi"/>
              </w:rPr>
            </w:pPr>
            <w:r w:rsidRPr="004E7FDF">
              <w:rPr>
                <w:rFonts w:cstheme="minorHAnsi"/>
              </w:rPr>
              <w:t>For all area-based targets, all ecosystem areas (terrestrial, inland water, coastal, marine), will permanently change in terms of absolute extent with the changing climate. A reasonable method to account for this change should be developed for indicator 3.1.</w:t>
            </w:r>
          </w:p>
        </w:tc>
      </w:tr>
    </w:tbl>
    <w:p w14:paraId="4FFDC53A" w14:textId="77777777" w:rsidR="00B75DDD" w:rsidRDefault="00B75DDD" w:rsidP="003752C3">
      <w:pPr>
        <w:jc w:val="center"/>
        <w:rPr>
          <w:rFonts w:ascii="Times New Roman" w:hAnsi="Times New Roman" w:cs="Times New Roman"/>
        </w:rPr>
      </w:pPr>
    </w:p>
    <w:p w14:paraId="49172C51" w14:textId="77777777" w:rsidR="00120C65" w:rsidRDefault="00120C65" w:rsidP="008F21B8">
      <w:pPr>
        <w:rPr>
          <w:rFonts w:cstheme="minorHAnsi"/>
          <w:b/>
          <w:bCs/>
          <w:sz w:val="24"/>
          <w:szCs w:val="24"/>
        </w:rPr>
      </w:pPr>
    </w:p>
    <w:p w14:paraId="286646AF" w14:textId="24790210" w:rsidR="008F21B8" w:rsidRPr="00FE31AC" w:rsidRDefault="008F21B8" w:rsidP="008F21B8">
      <w:pPr>
        <w:rPr>
          <w:rFonts w:cstheme="minorHAnsi"/>
        </w:rPr>
      </w:pPr>
      <w:r w:rsidRPr="004E7FDF">
        <w:rPr>
          <w:rFonts w:cstheme="minorHAnsi"/>
          <w:b/>
          <w:bCs/>
          <w:sz w:val="24"/>
          <w:szCs w:val="24"/>
        </w:rPr>
        <w:t>Table 4</w:t>
      </w:r>
      <w:r w:rsidRPr="00FE31AC">
        <w:rPr>
          <w:rFonts w:cstheme="minorHAnsi"/>
          <w:sz w:val="24"/>
          <w:szCs w:val="24"/>
        </w:rPr>
        <w:t xml:space="preserve">. Information to support AHTEG </w:t>
      </w:r>
      <w:r w:rsidR="007A2AC8" w:rsidRPr="00FE31AC">
        <w:rPr>
          <w:rFonts w:cstheme="minorHAnsi"/>
          <w:sz w:val="24"/>
          <w:szCs w:val="24"/>
        </w:rPr>
        <w:t xml:space="preserve">GROUPS 1 &amp; 2 - </w:t>
      </w:r>
      <w:r w:rsidRPr="00FE31AC">
        <w:rPr>
          <w:rFonts w:cstheme="minorHAnsi"/>
          <w:sz w:val="24"/>
          <w:szCs w:val="24"/>
        </w:rPr>
        <w:t>template for observations regarding indicator</w:t>
      </w:r>
      <w:r w:rsidR="001534DD" w:rsidRPr="00FE31AC">
        <w:rPr>
          <w:rFonts w:cstheme="minorHAnsi"/>
          <w:sz w:val="24"/>
          <w:szCs w:val="24"/>
        </w:rPr>
        <w:t>s 5.1 and 9.1</w:t>
      </w:r>
      <w:r w:rsidRPr="00FE31AC">
        <w:rPr>
          <w:rFonts w:cstheme="minorHAnsi"/>
          <w:sz w:val="24"/>
          <w:szCs w:val="24"/>
        </w:rPr>
        <w:t xml:space="preserve"> for inland waters. This information can be updated when the draft metadata sheet is made available publicly.</w:t>
      </w:r>
    </w:p>
    <w:tbl>
      <w:tblPr>
        <w:tblStyle w:val="TableGrid"/>
        <w:tblW w:w="10440" w:type="dxa"/>
        <w:tblInd w:w="-185" w:type="dxa"/>
        <w:tblLayout w:type="fixed"/>
        <w:tblLook w:val="04A0" w:firstRow="1" w:lastRow="0" w:firstColumn="1" w:lastColumn="0" w:noHBand="0" w:noVBand="1"/>
      </w:tblPr>
      <w:tblGrid>
        <w:gridCol w:w="1890"/>
        <w:gridCol w:w="8550"/>
      </w:tblGrid>
      <w:tr w:rsidR="00B75DDD" w:rsidRPr="004E7FDF" w14:paraId="356F0B4C" w14:textId="77777777" w:rsidTr="005754AB">
        <w:tc>
          <w:tcPr>
            <w:tcW w:w="189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E254868" w14:textId="68F51132" w:rsidR="00B75DDD" w:rsidRPr="004E7FDF" w:rsidRDefault="00B75DDD" w:rsidP="00FB117F">
            <w:pPr>
              <w:spacing w:before="120" w:after="120"/>
              <w:rPr>
                <w:rFonts w:cstheme="minorHAnsi"/>
                <w:b/>
                <w:bCs/>
              </w:rPr>
            </w:pPr>
            <w:r w:rsidRPr="004E7FDF">
              <w:rPr>
                <w:rFonts w:cstheme="minorHAnsi"/>
                <w:b/>
                <w:bCs/>
              </w:rPr>
              <w:t>Indicator</w:t>
            </w:r>
            <w:r w:rsidR="00773B86" w:rsidRPr="004E7FDF">
              <w:rPr>
                <w:rFonts w:cstheme="minorHAnsi"/>
                <w:b/>
                <w:bCs/>
              </w:rPr>
              <w:t>(</w:t>
            </w:r>
            <w:r w:rsidRPr="004E7FDF">
              <w:rPr>
                <w:rFonts w:cstheme="minorHAnsi"/>
                <w:b/>
                <w:bCs/>
              </w:rPr>
              <w:t>s</w:t>
            </w:r>
            <w:r w:rsidR="00773B86" w:rsidRPr="004E7FDF">
              <w:rPr>
                <w:rFonts w:cstheme="minorHAnsi"/>
                <w:b/>
                <w:bCs/>
              </w:rPr>
              <w:t>)</w:t>
            </w:r>
          </w:p>
        </w:tc>
        <w:tc>
          <w:tcPr>
            <w:tcW w:w="855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7579154" w14:textId="66ABB8A1" w:rsidR="00B75DDD" w:rsidRPr="00A32E90" w:rsidRDefault="00B75DDD" w:rsidP="00EE0BCB">
            <w:pPr>
              <w:spacing w:before="120" w:after="120"/>
              <w:rPr>
                <w:rFonts w:cstheme="minorHAnsi"/>
                <w:b/>
                <w:bCs/>
              </w:rPr>
            </w:pPr>
            <w:r w:rsidRPr="00A32E90">
              <w:rPr>
                <w:rFonts w:cstheme="minorHAnsi"/>
                <w:b/>
                <w:bCs/>
                <w:color w:val="000000"/>
                <w:sz w:val="24"/>
                <w:szCs w:val="24"/>
              </w:rPr>
              <w:t xml:space="preserve">5.1 Proportion of fish stocks within biologically sustainable levels </w:t>
            </w:r>
          </w:p>
        </w:tc>
      </w:tr>
      <w:tr w:rsidR="00B75DDD" w:rsidRPr="004E7FDF" w14:paraId="0B716584" w14:textId="77777777" w:rsidTr="005754AB">
        <w:tc>
          <w:tcPr>
            <w:tcW w:w="189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0113CE7" w14:textId="77777777" w:rsidR="00B75DDD" w:rsidRPr="004E7FDF" w:rsidRDefault="00B75DDD" w:rsidP="00FB117F">
            <w:pPr>
              <w:spacing w:before="120" w:after="120"/>
              <w:rPr>
                <w:rFonts w:cstheme="minorHAnsi"/>
                <w:b/>
                <w:bCs/>
              </w:rPr>
            </w:pPr>
            <w:r w:rsidRPr="004E7FDF">
              <w:rPr>
                <w:rFonts w:cstheme="minorHAnsi"/>
                <w:b/>
                <w:bCs/>
              </w:rPr>
              <w:t>Goal/Target</w:t>
            </w:r>
          </w:p>
        </w:tc>
        <w:tc>
          <w:tcPr>
            <w:tcW w:w="855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05A18AD" w14:textId="650B3E7C" w:rsidR="00B75DDD" w:rsidRPr="004E7FDF" w:rsidRDefault="00B75DDD" w:rsidP="00FB117F">
            <w:pPr>
              <w:spacing w:before="120" w:after="120"/>
              <w:rPr>
                <w:rFonts w:cstheme="minorHAnsi"/>
                <w:b/>
                <w:bCs/>
              </w:rPr>
            </w:pPr>
            <w:r w:rsidRPr="00A32E90">
              <w:rPr>
                <w:rFonts w:cstheme="minorHAnsi"/>
                <w:b/>
                <w:bCs/>
                <w:sz w:val="24"/>
                <w:szCs w:val="24"/>
              </w:rPr>
              <w:t>Target</w:t>
            </w:r>
            <w:r w:rsidR="00773B86" w:rsidRPr="00A32E90">
              <w:rPr>
                <w:rFonts w:cstheme="minorHAnsi"/>
                <w:b/>
                <w:bCs/>
                <w:sz w:val="24"/>
                <w:szCs w:val="24"/>
              </w:rPr>
              <w:t>s</w:t>
            </w:r>
            <w:r w:rsidRPr="00A32E90">
              <w:rPr>
                <w:rFonts w:cstheme="minorHAnsi"/>
                <w:b/>
                <w:bCs/>
                <w:sz w:val="24"/>
                <w:szCs w:val="24"/>
              </w:rPr>
              <w:t xml:space="preserve"> 5</w:t>
            </w:r>
            <w:r w:rsidR="00773B86" w:rsidRPr="00A32E90">
              <w:rPr>
                <w:rFonts w:cstheme="minorHAnsi"/>
                <w:b/>
                <w:bCs/>
                <w:sz w:val="24"/>
                <w:szCs w:val="24"/>
              </w:rPr>
              <w:t xml:space="preserve"> and 9</w:t>
            </w:r>
          </w:p>
        </w:tc>
      </w:tr>
      <w:tr w:rsidR="00B75DDD" w:rsidRPr="004E7FDF" w14:paraId="1349FF25" w14:textId="77777777" w:rsidTr="008F21B8">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030B4" w14:textId="77777777" w:rsidR="00B75DDD" w:rsidRPr="004E7FDF" w:rsidRDefault="00B75DDD" w:rsidP="00FB117F">
            <w:pPr>
              <w:spacing w:before="120" w:after="120"/>
              <w:rPr>
                <w:rFonts w:cstheme="minorHAnsi"/>
                <w:b/>
                <w:bCs/>
              </w:rPr>
            </w:pPr>
            <w:r w:rsidRPr="004E7FDF">
              <w:rPr>
                <w:rFonts w:cstheme="minorHAnsi"/>
                <w:b/>
                <w:bCs/>
              </w:rPr>
              <w:t>Current status</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692243" w14:textId="77777777" w:rsidR="00B75DDD" w:rsidRPr="004E7FDF" w:rsidRDefault="00B75DDD" w:rsidP="00FB117F">
            <w:pPr>
              <w:spacing w:before="120" w:after="120"/>
              <w:rPr>
                <w:rFonts w:cstheme="minorHAnsi"/>
              </w:rPr>
            </w:pPr>
            <w:r w:rsidRPr="004E7FDF">
              <w:rPr>
                <w:rFonts w:cstheme="minorHAnsi"/>
              </w:rPr>
              <w:t xml:space="preserve">Fishery-related indicators (e.g. Target 5 &amp; 9) must be relevant and accountable for the specific social, economic and environmental characteristics of inland fisheries. It should be noted that fishery indicators developed for marine fisheries are often inappropriate for use in inland fisheries. </w:t>
            </w:r>
          </w:p>
          <w:p w14:paraId="77543901" w14:textId="77777777" w:rsidR="00B75DDD" w:rsidRPr="004E7FDF" w:rsidRDefault="00B75DDD" w:rsidP="00FB117F">
            <w:pPr>
              <w:spacing w:before="120" w:after="120"/>
              <w:rPr>
                <w:rFonts w:cstheme="minorHAnsi"/>
              </w:rPr>
            </w:pPr>
            <w:r w:rsidRPr="004E7FDF">
              <w:rPr>
                <w:rFonts w:cstheme="minorHAnsi"/>
              </w:rPr>
              <w:t>It is crucial to adopt appropriate indicators for inland fisheries given the biological importance (and current global decline) of freshwater fish biodiversity, which account for nearly similar species biodiversity than marine ecosystems despite being a fraction of the latter’s volume. Moreover, this protects Indigenous people and local communities’ interests as being disproportionately dependent on inland fisheries as essential food and livelihood sources, especially in land-locked countries.</w:t>
            </w:r>
          </w:p>
          <w:p w14:paraId="751BE54E" w14:textId="77777777" w:rsidR="00B75DDD" w:rsidRPr="004E7FDF" w:rsidRDefault="00B75DDD" w:rsidP="00FB117F">
            <w:pPr>
              <w:spacing w:before="120" w:after="120"/>
              <w:rPr>
                <w:rFonts w:cstheme="minorHAnsi"/>
              </w:rPr>
            </w:pPr>
            <w:r w:rsidRPr="004E7FDF">
              <w:rPr>
                <w:rFonts w:cstheme="minorHAnsi"/>
              </w:rPr>
              <w:t xml:space="preserve">Inland fisheries are data-poor and efforts must ensure this does not limit monitoring of a key biodiversity component and resource. </w:t>
            </w:r>
          </w:p>
          <w:p w14:paraId="4A38CA9C" w14:textId="77777777" w:rsidR="00B75DDD" w:rsidRPr="004E7FDF" w:rsidRDefault="00B75DDD" w:rsidP="00FB117F">
            <w:pPr>
              <w:spacing w:before="120" w:after="120"/>
              <w:rPr>
                <w:rFonts w:cstheme="minorHAnsi"/>
              </w:rPr>
            </w:pPr>
            <w:r w:rsidRPr="004E7FDF">
              <w:rPr>
                <w:rFonts w:cstheme="minorHAnsi"/>
              </w:rPr>
              <w:t>To this end, the Food and Agriculture Organization of the United Nations (FAO) and the United States Geological Survey (USGS) have developed an indicator for assessing threats to inland fisheries. FAO and USGS have created a global threat map for inland fisheries using a composite threat indicator that combines 20 identified anthropogenic pressure categories (e.g., climate, harvest, habitat, pollution, invasives) that act across hydrological catchments and affect inland fisheries. The threat indicator includes outputs from over 150 spatial data layers across those categories.</w:t>
            </w:r>
          </w:p>
          <w:p w14:paraId="7FC1A473" w14:textId="77777777" w:rsidR="00B75DDD" w:rsidRPr="004E7FDF" w:rsidRDefault="00B75DDD" w:rsidP="00FB117F">
            <w:pPr>
              <w:spacing w:before="120" w:after="120"/>
              <w:rPr>
                <w:rFonts w:cstheme="minorHAnsi"/>
              </w:rPr>
            </w:pPr>
            <w:r w:rsidRPr="004E7FDF">
              <w:rPr>
                <w:rFonts w:cstheme="minorHAnsi"/>
              </w:rPr>
              <w:t xml:space="preserve">This was proposed at the United Nations Biodiversity Conference COP15 See: </w:t>
            </w:r>
          </w:p>
          <w:p w14:paraId="42CED18E" w14:textId="77777777" w:rsidR="00B75DDD" w:rsidRPr="004E7FDF" w:rsidRDefault="00472373" w:rsidP="00FB117F">
            <w:pPr>
              <w:spacing w:before="120" w:after="120"/>
              <w:rPr>
                <w:rFonts w:cstheme="minorHAnsi"/>
              </w:rPr>
            </w:pPr>
            <w:hyperlink r:id="rId12" w:history="1">
              <w:r w:rsidR="00B75DDD" w:rsidRPr="004E7FDF">
                <w:rPr>
                  <w:rStyle w:val="Hyperlink"/>
                  <w:rFonts w:cstheme="minorHAnsi"/>
                </w:rPr>
                <w:t>https://static1.squarespace.com/static/600f3c551f5d246dcefc421b/t/6388e87da623a5739dec1ab6/1669916853747/Briefing+Document+-+Inland+Fisheries+Indicator</w:t>
              </w:r>
            </w:hyperlink>
          </w:p>
        </w:tc>
      </w:tr>
      <w:tr w:rsidR="00B75DDD" w:rsidRPr="004E7FDF" w14:paraId="70EBC25D" w14:textId="77777777" w:rsidTr="00413ABA">
        <w:trPr>
          <w:cantSplit/>
        </w:trPr>
        <w:tc>
          <w:tcPr>
            <w:tcW w:w="1890" w:type="dxa"/>
            <w:tcBorders>
              <w:top w:val="single" w:sz="4" w:space="0" w:color="auto"/>
              <w:left w:val="single" w:sz="4" w:space="0" w:color="auto"/>
              <w:bottom w:val="single" w:sz="4" w:space="0" w:color="auto"/>
              <w:right w:val="single" w:sz="4" w:space="0" w:color="auto"/>
            </w:tcBorders>
            <w:hideMark/>
          </w:tcPr>
          <w:p w14:paraId="18CDD7A8" w14:textId="77777777" w:rsidR="00B75DDD" w:rsidRPr="004E7FDF" w:rsidRDefault="00B75DDD" w:rsidP="00FB117F">
            <w:pPr>
              <w:spacing w:before="120" w:after="120"/>
              <w:rPr>
                <w:rFonts w:cstheme="minorHAnsi"/>
              </w:rPr>
            </w:pPr>
            <w:r w:rsidRPr="004E7FDF">
              <w:rPr>
                <w:rFonts w:cstheme="minorHAnsi"/>
              </w:rPr>
              <w:t xml:space="preserve">Next steps </w:t>
            </w:r>
            <w:r w:rsidRPr="004E7FDF">
              <w:rPr>
                <w:rStyle w:val="ui-provider"/>
                <w:rFonts w:cstheme="minorHAnsi"/>
              </w:rPr>
              <w:t>in terms of finalizing the metadata and operationalizing the indicator?</w:t>
            </w:r>
          </w:p>
        </w:tc>
        <w:tc>
          <w:tcPr>
            <w:tcW w:w="8550" w:type="dxa"/>
            <w:tcBorders>
              <w:top w:val="single" w:sz="4" w:space="0" w:color="auto"/>
              <w:left w:val="single" w:sz="4" w:space="0" w:color="auto"/>
              <w:bottom w:val="single" w:sz="4" w:space="0" w:color="auto"/>
              <w:right w:val="single" w:sz="4" w:space="0" w:color="auto"/>
            </w:tcBorders>
          </w:tcPr>
          <w:p w14:paraId="2BD6F7C3" w14:textId="77777777" w:rsidR="00B75DDD" w:rsidRPr="004E7FDF" w:rsidRDefault="00B75DDD" w:rsidP="00FB117F">
            <w:pPr>
              <w:spacing w:before="120" w:after="120"/>
              <w:rPr>
                <w:rFonts w:cstheme="minorHAnsi"/>
              </w:rPr>
            </w:pPr>
            <w:r w:rsidRPr="004E7FDF">
              <w:rPr>
                <w:rFonts w:cstheme="minorHAnsi"/>
              </w:rPr>
              <w:t>The methodology for the indicator is going undergoing peer-review for publication. It is intended the data and methods will be open source. Moreover, the approach has been designed for updated inputs to be used to provide the latest indicator result.</w:t>
            </w:r>
          </w:p>
        </w:tc>
      </w:tr>
      <w:tr w:rsidR="00B75DDD" w:rsidRPr="004E7FDF" w14:paraId="7FE1C13F" w14:textId="77777777" w:rsidTr="008F21B8">
        <w:tc>
          <w:tcPr>
            <w:tcW w:w="1890" w:type="dxa"/>
            <w:tcBorders>
              <w:top w:val="single" w:sz="4" w:space="0" w:color="auto"/>
              <w:left w:val="single" w:sz="4" w:space="0" w:color="auto"/>
              <w:bottom w:val="single" w:sz="4" w:space="0" w:color="auto"/>
              <w:right w:val="single" w:sz="4" w:space="0" w:color="auto"/>
            </w:tcBorders>
            <w:hideMark/>
          </w:tcPr>
          <w:p w14:paraId="1F8C516A" w14:textId="77777777" w:rsidR="00B75DDD" w:rsidRPr="004E7FDF" w:rsidRDefault="00B75DDD" w:rsidP="00FB117F">
            <w:pPr>
              <w:spacing w:before="120" w:after="120"/>
              <w:rPr>
                <w:rFonts w:cstheme="minorHAnsi"/>
              </w:rPr>
            </w:pPr>
            <w:r w:rsidRPr="004E7FDF">
              <w:rPr>
                <w:rFonts w:cstheme="minorHAnsi"/>
              </w:rPr>
              <w:t>Who needs to be involved in finalizing the indicator, and have they been consulted or contacted?</w:t>
            </w:r>
          </w:p>
        </w:tc>
        <w:tc>
          <w:tcPr>
            <w:tcW w:w="8550" w:type="dxa"/>
            <w:tcBorders>
              <w:top w:val="single" w:sz="4" w:space="0" w:color="auto"/>
              <w:left w:val="single" w:sz="4" w:space="0" w:color="auto"/>
              <w:bottom w:val="single" w:sz="4" w:space="0" w:color="auto"/>
              <w:right w:val="single" w:sz="4" w:space="0" w:color="auto"/>
            </w:tcBorders>
          </w:tcPr>
          <w:p w14:paraId="651C0B13" w14:textId="77777777" w:rsidR="00B75DDD" w:rsidRPr="004E7FDF" w:rsidRDefault="00B75DDD" w:rsidP="00FB117F">
            <w:pPr>
              <w:spacing w:before="120" w:after="120"/>
              <w:rPr>
                <w:rFonts w:cstheme="minorHAnsi"/>
              </w:rPr>
            </w:pPr>
            <w:r w:rsidRPr="004E7FDF">
              <w:rPr>
                <w:rFonts w:cstheme="minorHAnsi"/>
              </w:rPr>
              <w:t>At the moment, the current indicator methodology is being peer-reviewed. However, it is expected for the methodology to be improved through consultation with 1) GIS experts (e.g. GEOBON) and 2) national level experts. The team welcomes further consultation with other interested and appropriate communities. These have not yet been consulted and it is hoped to have support in doing this.</w:t>
            </w:r>
          </w:p>
        </w:tc>
      </w:tr>
      <w:tr w:rsidR="00B75DDD" w:rsidRPr="004E7FDF" w14:paraId="3AC3DE28" w14:textId="77777777" w:rsidTr="008F21B8">
        <w:tc>
          <w:tcPr>
            <w:tcW w:w="1890" w:type="dxa"/>
            <w:tcBorders>
              <w:top w:val="single" w:sz="4" w:space="0" w:color="auto"/>
              <w:left w:val="single" w:sz="4" w:space="0" w:color="auto"/>
              <w:bottom w:val="single" w:sz="4" w:space="0" w:color="auto"/>
              <w:right w:val="single" w:sz="4" w:space="0" w:color="auto"/>
            </w:tcBorders>
            <w:hideMark/>
          </w:tcPr>
          <w:p w14:paraId="12BF9CEE" w14:textId="77777777" w:rsidR="00B75DDD" w:rsidRPr="004E7FDF" w:rsidRDefault="00B75DDD" w:rsidP="00FB117F">
            <w:pPr>
              <w:spacing w:before="120" w:after="120"/>
              <w:rPr>
                <w:rFonts w:cstheme="minorHAnsi"/>
              </w:rPr>
            </w:pPr>
            <w:r w:rsidRPr="004E7FDF">
              <w:rPr>
                <w:rFonts w:cstheme="minorHAnsi"/>
              </w:rPr>
              <w:t>Is testing at the national level needed?</w:t>
            </w:r>
          </w:p>
        </w:tc>
        <w:tc>
          <w:tcPr>
            <w:tcW w:w="8550" w:type="dxa"/>
            <w:tcBorders>
              <w:top w:val="single" w:sz="4" w:space="0" w:color="auto"/>
              <w:left w:val="single" w:sz="4" w:space="0" w:color="auto"/>
              <w:bottom w:val="single" w:sz="4" w:space="0" w:color="auto"/>
              <w:right w:val="single" w:sz="4" w:space="0" w:color="auto"/>
            </w:tcBorders>
          </w:tcPr>
          <w:p w14:paraId="5BF4007F" w14:textId="77777777" w:rsidR="00B75DDD" w:rsidRPr="004E7FDF" w:rsidRDefault="00B75DDD" w:rsidP="00FB117F">
            <w:pPr>
              <w:spacing w:before="120" w:after="120"/>
              <w:rPr>
                <w:rFonts w:cstheme="minorHAnsi"/>
              </w:rPr>
            </w:pPr>
            <w:r w:rsidRPr="004E7FDF">
              <w:rPr>
                <w:rFonts w:cstheme="minorHAnsi"/>
              </w:rPr>
              <w:t>It is encouraged to have national level testing to build confidence in the indicator. Moreover, the methodology has an explicit ‘calibration’ step involving local experts, and so it national level ‘testing’ will improve the indicator output.</w:t>
            </w:r>
          </w:p>
        </w:tc>
      </w:tr>
      <w:tr w:rsidR="00B75DDD" w:rsidRPr="004E7FDF" w14:paraId="5565FB24" w14:textId="77777777" w:rsidTr="008F21B8">
        <w:tc>
          <w:tcPr>
            <w:tcW w:w="1890" w:type="dxa"/>
            <w:tcBorders>
              <w:top w:val="single" w:sz="4" w:space="0" w:color="auto"/>
              <w:left w:val="single" w:sz="4" w:space="0" w:color="auto"/>
              <w:bottom w:val="single" w:sz="4" w:space="0" w:color="auto"/>
              <w:right w:val="single" w:sz="4" w:space="0" w:color="auto"/>
            </w:tcBorders>
            <w:hideMark/>
          </w:tcPr>
          <w:p w14:paraId="072E6C17" w14:textId="77777777" w:rsidR="00B75DDD" w:rsidRPr="004E7FDF" w:rsidRDefault="00B75DDD" w:rsidP="00FB117F">
            <w:pPr>
              <w:spacing w:before="120" w:after="120"/>
              <w:rPr>
                <w:rFonts w:cstheme="minorHAnsi"/>
              </w:rPr>
            </w:pPr>
            <w:r w:rsidRPr="004E7FDF">
              <w:rPr>
                <w:rFonts w:cstheme="minorHAnsi"/>
              </w:rPr>
              <w:t>What is a realistic timeline for finalizing the metadata and operationalizing the indicator?</w:t>
            </w:r>
          </w:p>
        </w:tc>
        <w:tc>
          <w:tcPr>
            <w:tcW w:w="8550" w:type="dxa"/>
            <w:tcBorders>
              <w:top w:val="single" w:sz="4" w:space="0" w:color="auto"/>
              <w:left w:val="single" w:sz="4" w:space="0" w:color="auto"/>
              <w:bottom w:val="single" w:sz="4" w:space="0" w:color="auto"/>
              <w:right w:val="single" w:sz="4" w:space="0" w:color="auto"/>
            </w:tcBorders>
          </w:tcPr>
          <w:p w14:paraId="1AF573BE" w14:textId="77777777" w:rsidR="00B75DDD" w:rsidRPr="004E7FDF" w:rsidRDefault="00B75DDD" w:rsidP="00FB117F">
            <w:pPr>
              <w:spacing w:before="120" w:after="120"/>
              <w:rPr>
                <w:rFonts w:cstheme="minorHAnsi"/>
              </w:rPr>
            </w:pPr>
            <w:r w:rsidRPr="004E7FDF">
              <w:rPr>
                <w:rFonts w:cstheme="minorHAnsi"/>
              </w:rPr>
              <w:t xml:space="preserve">The indicator has already been used to estimate output values for all regions. It is potentially already ‘operationalized’ bar validation and further improvement through consultation and testing (as above) as well as revisions and updates to input metadata. </w:t>
            </w:r>
          </w:p>
        </w:tc>
      </w:tr>
      <w:tr w:rsidR="00B75DDD" w:rsidRPr="004E7FDF" w14:paraId="79B08D0F" w14:textId="77777777" w:rsidTr="008F21B8">
        <w:tc>
          <w:tcPr>
            <w:tcW w:w="1890" w:type="dxa"/>
            <w:tcBorders>
              <w:top w:val="single" w:sz="4" w:space="0" w:color="auto"/>
              <w:left w:val="single" w:sz="4" w:space="0" w:color="auto"/>
              <w:bottom w:val="single" w:sz="4" w:space="0" w:color="auto"/>
              <w:right w:val="single" w:sz="4" w:space="0" w:color="auto"/>
            </w:tcBorders>
            <w:hideMark/>
          </w:tcPr>
          <w:p w14:paraId="319E69D6" w14:textId="77777777" w:rsidR="00B75DDD" w:rsidRPr="004E7FDF" w:rsidRDefault="00B75DDD" w:rsidP="00FB117F">
            <w:pPr>
              <w:spacing w:before="120" w:after="120"/>
              <w:rPr>
                <w:rFonts w:cstheme="minorHAnsi"/>
              </w:rPr>
            </w:pPr>
            <w:r w:rsidRPr="004E7FDF">
              <w:rPr>
                <w:rFonts w:cstheme="minorHAnsi"/>
              </w:rPr>
              <w:t>How could gender perspectives be reflected in the indicator?</w:t>
            </w:r>
          </w:p>
        </w:tc>
        <w:tc>
          <w:tcPr>
            <w:tcW w:w="8550" w:type="dxa"/>
            <w:tcBorders>
              <w:top w:val="single" w:sz="4" w:space="0" w:color="auto"/>
              <w:left w:val="single" w:sz="4" w:space="0" w:color="auto"/>
              <w:bottom w:val="single" w:sz="4" w:space="0" w:color="auto"/>
              <w:right w:val="single" w:sz="4" w:space="0" w:color="auto"/>
            </w:tcBorders>
          </w:tcPr>
          <w:p w14:paraId="254F0AF7" w14:textId="77777777" w:rsidR="00B75DDD" w:rsidRPr="004E7FDF" w:rsidRDefault="00B75DDD" w:rsidP="00FB117F">
            <w:pPr>
              <w:spacing w:before="120" w:after="120"/>
              <w:rPr>
                <w:rFonts w:cstheme="minorHAnsi"/>
              </w:rPr>
            </w:pPr>
            <w:r w:rsidRPr="004E7FDF">
              <w:rPr>
                <w:rFonts w:cstheme="minorHAnsi"/>
              </w:rPr>
              <w:t xml:space="preserve">This will be difficult to reflect directly in the indicator. The spatial scale and the distributed and inherently diverse communities engaging in inland fishery harvest and post-harvest processing makes fine-scale gender insights difficult. </w:t>
            </w:r>
          </w:p>
          <w:p w14:paraId="64645F80" w14:textId="77777777" w:rsidR="00B75DDD" w:rsidRPr="004E7FDF" w:rsidRDefault="00B75DDD" w:rsidP="00FB117F">
            <w:pPr>
              <w:spacing w:before="120" w:after="120"/>
              <w:rPr>
                <w:rFonts w:cstheme="minorHAnsi"/>
              </w:rPr>
            </w:pPr>
            <w:r w:rsidRPr="004E7FDF">
              <w:rPr>
                <w:rFonts w:cstheme="minorHAnsi"/>
              </w:rPr>
              <w:t>However, 50% of the millions engaging in inland fisheries for food and livelihood are women, and gender empowerment and rights has long been a focal area of work in inland fisheries development and research. Elevating the condition of inland fisheries globally will elevate gender perspectives.</w:t>
            </w:r>
          </w:p>
        </w:tc>
      </w:tr>
      <w:tr w:rsidR="00B75DDD" w:rsidRPr="004E7FDF" w14:paraId="7CBF2B98" w14:textId="77777777" w:rsidTr="008F21B8">
        <w:tc>
          <w:tcPr>
            <w:tcW w:w="1890" w:type="dxa"/>
            <w:tcBorders>
              <w:top w:val="single" w:sz="4" w:space="0" w:color="auto"/>
              <w:left w:val="single" w:sz="4" w:space="0" w:color="auto"/>
              <w:bottom w:val="single" w:sz="4" w:space="0" w:color="auto"/>
              <w:right w:val="single" w:sz="4" w:space="0" w:color="auto"/>
            </w:tcBorders>
            <w:hideMark/>
          </w:tcPr>
          <w:p w14:paraId="0520774F" w14:textId="77777777" w:rsidR="00B75DDD" w:rsidRPr="004E7FDF" w:rsidRDefault="00B75DDD" w:rsidP="00FB117F">
            <w:pPr>
              <w:spacing w:before="120" w:after="120"/>
              <w:rPr>
                <w:rFonts w:cstheme="minorHAnsi"/>
              </w:rPr>
            </w:pPr>
            <w:r w:rsidRPr="004E7FDF">
              <w:rPr>
                <w:rFonts w:cstheme="minorHAnsi"/>
              </w:rPr>
              <w:t>How could issues related to indigenous peoples and local communities be reflected in the indicator?</w:t>
            </w:r>
          </w:p>
        </w:tc>
        <w:tc>
          <w:tcPr>
            <w:tcW w:w="8550" w:type="dxa"/>
            <w:tcBorders>
              <w:top w:val="single" w:sz="4" w:space="0" w:color="auto"/>
              <w:left w:val="single" w:sz="4" w:space="0" w:color="auto"/>
              <w:bottom w:val="single" w:sz="4" w:space="0" w:color="auto"/>
              <w:right w:val="single" w:sz="4" w:space="0" w:color="auto"/>
            </w:tcBorders>
          </w:tcPr>
          <w:p w14:paraId="5C0F00D5" w14:textId="77777777" w:rsidR="00B75DDD" w:rsidRPr="004E7FDF" w:rsidRDefault="00B75DDD" w:rsidP="00FB117F">
            <w:pPr>
              <w:spacing w:before="120" w:after="120"/>
              <w:rPr>
                <w:rFonts w:cstheme="minorHAnsi"/>
              </w:rPr>
            </w:pPr>
            <w:r w:rsidRPr="004E7FDF">
              <w:rPr>
                <w:rFonts w:cstheme="minorHAnsi"/>
              </w:rPr>
              <w:t xml:space="preserve">Reflection of Indigenous people and local communities will be difficult to reflect directly in the indicator. The spatial scale and the distributed and inherently diverse communities engaging in inland fishery harvest and post-harvest processing makes fine-scale gender insights difficult. </w:t>
            </w:r>
          </w:p>
          <w:p w14:paraId="469FD51A" w14:textId="77777777" w:rsidR="00B75DDD" w:rsidRPr="004E7FDF" w:rsidRDefault="00B75DDD" w:rsidP="00FB117F">
            <w:pPr>
              <w:spacing w:before="120" w:after="120"/>
              <w:rPr>
                <w:rFonts w:cstheme="minorHAnsi"/>
              </w:rPr>
            </w:pPr>
            <w:r w:rsidRPr="004E7FDF">
              <w:rPr>
                <w:rFonts w:cstheme="minorHAnsi"/>
              </w:rPr>
              <w:t xml:space="preserve">Nevertheless, inland fisheries are key food and livelihood sources of Indigenous people and local communities globally, often with strong cultural identity values as fishers or ‘spiritually’ linked with fish. Community-based co-management involving the IPLC groups with the governance and management of inland fisheries is an adopted approach to address inland fishery threats globally. It strengthens the rights to access and manage inland fish resources and is a path towards conserving freshwater fish biodiversity and subsequent sustainable use. </w:t>
            </w:r>
          </w:p>
        </w:tc>
      </w:tr>
      <w:tr w:rsidR="00B75DDD" w:rsidRPr="004E7FDF" w14:paraId="3B207BE8" w14:textId="77777777" w:rsidTr="00413ABA">
        <w:trPr>
          <w:cantSplit/>
        </w:trPr>
        <w:tc>
          <w:tcPr>
            <w:tcW w:w="1890" w:type="dxa"/>
            <w:tcBorders>
              <w:top w:val="single" w:sz="4" w:space="0" w:color="auto"/>
              <w:left w:val="single" w:sz="4" w:space="0" w:color="auto"/>
              <w:bottom w:val="single" w:sz="4" w:space="0" w:color="auto"/>
              <w:right w:val="single" w:sz="4" w:space="0" w:color="auto"/>
            </w:tcBorders>
            <w:hideMark/>
          </w:tcPr>
          <w:p w14:paraId="4CF86EAA" w14:textId="77777777" w:rsidR="00B75DDD" w:rsidRPr="004E7FDF" w:rsidRDefault="00B75DDD" w:rsidP="00FB117F">
            <w:pPr>
              <w:spacing w:before="120" w:after="120"/>
              <w:rPr>
                <w:rFonts w:cstheme="minorHAnsi"/>
              </w:rPr>
            </w:pPr>
            <w:r w:rsidRPr="004E7FDF">
              <w:rPr>
                <w:rFonts w:cstheme="minorHAnsi"/>
              </w:rPr>
              <w:t xml:space="preserve">Are there any critical gaps with regard to the indicators identified for the goals and targets being considered by the subgroup? </w:t>
            </w:r>
          </w:p>
        </w:tc>
        <w:tc>
          <w:tcPr>
            <w:tcW w:w="8550" w:type="dxa"/>
            <w:tcBorders>
              <w:top w:val="single" w:sz="4" w:space="0" w:color="auto"/>
              <w:left w:val="single" w:sz="4" w:space="0" w:color="auto"/>
              <w:bottom w:val="single" w:sz="4" w:space="0" w:color="auto"/>
              <w:right w:val="single" w:sz="4" w:space="0" w:color="auto"/>
            </w:tcBorders>
          </w:tcPr>
          <w:p w14:paraId="71BA40C1" w14:textId="77777777" w:rsidR="00B75DDD" w:rsidRPr="004E7FDF" w:rsidRDefault="00B75DDD" w:rsidP="00FB117F">
            <w:pPr>
              <w:spacing w:before="120" w:after="120"/>
              <w:rPr>
                <w:rFonts w:cstheme="minorHAnsi"/>
              </w:rPr>
            </w:pPr>
            <w:r w:rsidRPr="004E7FDF">
              <w:rPr>
                <w:rFonts w:cstheme="minorHAnsi"/>
              </w:rPr>
              <w:t xml:space="preserve">Indicators developed for marine fisheries are not appropriate for wide use in inland contexts. Apart from large lakes, which operate as small seas, freshwater ecosystems like rivers and wetlands, as well as dryland fisheries, are very different from the marine context on which previous indicators have been developed. These often relate to the theoretical ‘Maximum Sustainable Yield’ (MSY) that fish stock ‘health’ is compared against. </w:t>
            </w:r>
          </w:p>
          <w:p w14:paraId="11531384" w14:textId="77777777" w:rsidR="00B75DDD" w:rsidRPr="004E7FDF" w:rsidRDefault="00B75DDD" w:rsidP="00FB117F">
            <w:pPr>
              <w:spacing w:before="120" w:after="120"/>
              <w:rPr>
                <w:rFonts w:cstheme="minorHAnsi"/>
              </w:rPr>
            </w:pPr>
            <w:r w:rsidRPr="004E7FDF">
              <w:rPr>
                <w:rFonts w:cstheme="minorHAnsi"/>
              </w:rPr>
              <w:t>Freshwater ecosystems and their fish populations are naturally highly variable and under threat from concurrently occurring diverse and numerous threats, like flow modification, pollution and loss of connectivity. Adopting an indicator around MSY and a sole focus on fishing threats is not appropriate. Moreover, it fails to account for equitability of access and groups benefiting from inland fisheries.</w:t>
            </w:r>
          </w:p>
        </w:tc>
      </w:tr>
    </w:tbl>
    <w:p w14:paraId="627020E6" w14:textId="2C32A453" w:rsidR="003752C3" w:rsidRDefault="003752C3" w:rsidP="003752C3">
      <w:pPr>
        <w:jc w:val="center"/>
        <w:rPr>
          <w:rFonts w:ascii="Times New Roman" w:hAnsi="Times New Roman" w:cs="Times New Roman"/>
          <w:kern w:val="2"/>
          <w:lang w:val="en-CA"/>
          <w14:ligatures w14:val="standardContextual"/>
        </w:rPr>
      </w:pPr>
      <w:r>
        <w:rPr>
          <w:rFonts w:ascii="Times New Roman" w:hAnsi="Times New Roman" w:cs="Times New Roman"/>
        </w:rPr>
        <w:t>__________</w:t>
      </w:r>
    </w:p>
    <w:sectPr w:rsidR="003752C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EF15" w14:textId="77777777" w:rsidR="00DD7659" w:rsidRDefault="00DD7659" w:rsidP="0067261A">
      <w:pPr>
        <w:spacing w:after="0" w:line="240" w:lineRule="auto"/>
      </w:pPr>
      <w:r>
        <w:separator/>
      </w:r>
    </w:p>
  </w:endnote>
  <w:endnote w:type="continuationSeparator" w:id="0">
    <w:p w14:paraId="72501F74" w14:textId="77777777" w:rsidR="00DD7659" w:rsidRDefault="00DD7659" w:rsidP="0067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088477"/>
      <w:docPartObj>
        <w:docPartGallery w:val="Page Numbers (Bottom of Page)"/>
        <w:docPartUnique/>
      </w:docPartObj>
    </w:sdtPr>
    <w:sdtEndPr>
      <w:rPr>
        <w:noProof/>
      </w:rPr>
    </w:sdtEndPr>
    <w:sdtContent>
      <w:p w14:paraId="45DA7E78" w14:textId="77A32400" w:rsidR="000B12BB" w:rsidRDefault="000B12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DC7B8" w14:textId="77777777" w:rsidR="000B12BB" w:rsidRDefault="000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048D" w14:textId="77777777" w:rsidR="00DD7659" w:rsidRDefault="00DD7659" w:rsidP="0067261A">
      <w:pPr>
        <w:spacing w:after="0" w:line="240" w:lineRule="auto"/>
      </w:pPr>
      <w:r>
        <w:separator/>
      </w:r>
    </w:p>
  </w:footnote>
  <w:footnote w:type="continuationSeparator" w:id="0">
    <w:p w14:paraId="1F4E5476" w14:textId="77777777" w:rsidR="00DD7659" w:rsidRDefault="00DD7659" w:rsidP="0067261A">
      <w:pPr>
        <w:spacing w:after="0" w:line="240" w:lineRule="auto"/>
      </w:pPr>
      <w:r>
        <w:continuationSeparator/>
      </w:r>
    </w:p>
  </w:footnote>
  <w:footnote w:id="1">
    <w:p w14:paraId="1F2E1D9F" w14:textId="77777777" w:rsidR="002816D9" w:rsidRDefault="002816D9" w:rsidP="002816D9">
      <w:pPr>
        <w:pStyle w:val="FootnoteText"/>
      </w:pPr>
      <w:r>
        <w:rPr>
          <w:rStyle w:val="FootnoteReference"/>
        </w:rPr>
        <w:footnoteRef/>
      </w:r>
      <w:r>
        <w:t xml:space="preserve"> UN-Water 2020. </w:t>
      </w:r>
      <w:hyperlink r:id="rId1" w:history="1">
        <w:r w:rsidRPr="00476F99">
          <w:rPr>
            <w:rStyle w:val="Hyperlink"/>
          </w:rPr>
          <w:t>https://www.unwater.org/publications/un-water-input-freshwater-biodiversity-linkages-response-zero-draft-document-open</w:t>
        </w:r>
      </w:hyperlink>
    </w:p>
  </w:footnote>
  <w:footnote w:id="2">
    <w:p w14:paraId="6871D819" w14:textId="77777777" w:rsidR="00E80BC2" w:rsidRDefault="00E80BC2" w:rsidP="00E80BC2">
      <w:pPr>
        <w:pStyle w:val="FootnoteText"/>
      </w:pPr>
      <w:r>
        <w:rPr>
          <w:rStyle w:val="FootnoteReference"/>
        </w:rPr>
        <w:footnoteRef/>
      </w:r>
      <w:r>
        <w:t xml:space="preserve"> Secretariat of the Ramsar Convention on Wetlands, Comments on First Draft. March 2022. </w:t>
      </w:r>
      <w:hyperlink r:id="rId2" w:history="1">
        <w:r>
          <w:rPr>
            <w:rStyle w:val="Hyperlink"/>
          </w:rPr>
          <w:t>Notification | Convention on Wetlands Contacts Database (ramsar.org)</w:t>
        </w:r>
      </w:hyperlink>
    </w:p>
  </w:footnote>
  <w:footnote w:id="3">
    <w:p w14:paraId="727C30D6" w14:textId="33D0F704" w:rsidR="00E80BC2" w:rsidRDefault="00E80BC2" w:rsidP="00E80BC2">
      <w:pPr>
        <w:pStyle w:val="FootnoteText"/>
      </w:pPr>
      <w:r>
        <w:rPr>
          <w:rStyle w:val="FootnoteReference"/>
        </w:rPr>
        <w:footnoteRef/>
      </w:r>
      <w:r>
        <w:t xml:space="preserve"> </w:t>
      </w:r>
      <w:r w:rsidR="00C77786">
        <w:t xml:space="preserve"> </w:t>
      </w:r>
      <w:hyperlink r:id="rId3" w:history="1">
        <w:r w:rsidR="00C77786" w:rsidRPr="00116EEE">
          <w:rPr>
            <w:rStyle w:val="Hyperlink"/>
          </w:rPr>
          <w:t>https://www.ramsar.org/sites/default/files/documents/library/xiv.6_synergies_e.pdf</w:t>
        </w:r>
      </w:hyperlink>
    </w:p>
  </w:footnote>
  <w:footnote w:id="4">
    <w:p w14:paraId="4E5CB305" w14:textId="41A5E8C8" w:rsidR="00847398" w:rsidRPr="00CD2BC3" w:rsidRDefault="00847398" w:rsidP="00847398">
      <w:pPr>
        <w:pStyle w:val="FootnoteText"/>
      </w:pPr>
      <w:r>
        <w:rPr>
          <w:rStyle w:val="FootnoteReference"/>
        </w:rPr>
        <w:footnoteRef/>
      </w:r>
      <w:r w:rsidRPr="00CD2BC3">
        <w:t xml:space="preserve"> GEO BON and F</w:t>
      </w:r>
      <w:r>
        <w:t>WBON 2022.</w:t>
      </w:r>
      <w:r w:rsidRPr="00CD2BC3">
        <w:t xml:space="preserve"> </w:t>
      </w:r>
      <w:hyperlink r:id="rId4" w:history="1">
        <w:r w:rsidR="00116EEE" w:rsidRPr="0022630D">
          <w:rPr>
            <w:rStyle w:val="Hyperlink"/>
          </w:rPr>
          <w:t>https://geobon.org/wp-content/uploads/2022/12/InlandWaters_Brief.pdf</w:t>
        </w:r>
      </w:hyperlink>
    </w:p>
  </w:footnote>
  <w:footnote w:id="5">
    <w:p w14:paraId="2448FA99" w14:textId="65E5C84F" w:rsidR="006943E2" w:rsidRDefault="006943E2">
      <w:pPr>
        <w:pStyle w:val="FootnoteText"/>
      </w:pPr>
      <w:r>
        <w:rPr>
          <w:rStyle w:val="FootnoteReference"/>
        </w:rPr>
        <w:footnoteRef/>
      </w:r>
      <w:r>
        <w:t xml:space="preserve"> WWF, FWBON, WI, UN Decade on Ecosystem Restoration, TNC 2022. </w:t>
      </w:r>
      <w:hyperlink r:id="rId5" w:history="1">
        <w:r>
          <w:rPr>
            <w:rStyle w:val="Hyperlink"/>
          </w:rPr>
          <w:t>1110__int_briefing5lr.pdf (panda.org)</w:t>
        </w:r>
      </w:hyperlink>
    </w:p>
  </w:footnote>
  <w:footnote w:id="6">
    <w:p w14:paraId="473329B7" w14:textId="77777777" w:rsidR="002816D9" w:rsidRDefault="002816D9" w:rsidP="002816D9">
      <w:pPr>
        <w:pStyle w:val="FootnoteText"/>
      </w:pPr>
      <w:r>
        <w:rPr>
          <w:rStyle w:val="FootnoteReference"/>
        </w:rPr>
        <w:footnoteRef/>
      </w:r>
      <w:r>
        <w:t xml:space="preserve"> IUCN WCPA, IUCN SSC, TNC and WWF 2022. </w:t>
      </w:r>
      <w:hyperlink r:id="rId6" w:history="1">
        <w:r w:rsidRPr="00476F99">
          <w:rPr>
            <w:rStyle w:val="Hyperlink"/>
          </w:rPr>
          <w:t>https://www.nature.org/content/dam/tnc/nature/en/documents/Pathway_for_Inland_Waters_Nov_2022.pdf</w:t>
        </w:r>
      </w:hyperlink>
    </w:p>
  </w:footnote>
  <w:footnote w:id="7">
    <w:p w14:paraId="0FE969E2" w14:textId="3EC088E0" w:rsidR="00A32E90" w:rsidRDefault="00A32E90">
      <w:pPr>
        <w:pStyle w:val="FootnoteText"/>
      </w:pPr>
      <w:r>
        <w:rPr>
          <w:rStyle w:val="FootnoteReference"/>
        </w:rPr>
        <w:footnoteRef/>
      </w:r>
      <w:r>
        <w:t xml:space="preserve"> EBCD et al. 2022. </w:t>
      </w:r>
      <w:hyperlink r:id="rId7" w:history="1">
        <w:r w:rsidRPr="00A32E90">
          <w:rPr>
            <w:rStyle w:val="Hyperlink"/>
          </w:rPr>
          <w:t>An indicator to monitor threats to Inland Fisheries as a Component of T5</w:t>
        </w:r>
      </w:hyperlink>
    </w:p>
  </w:footnote>
  <w:footnote w:id="8">
    <w:p w14:paraId="24E45785" w14:textId="6E6966C4" w:rsidR="00895DB2" w:rsidRDefault="00895DB2">
      <w:pPr>
        <w:pStyle w:val="FootnoteText"/>
      </w:pPr>
      <w:r>
        <w:rPr>
          <w:rStyle w:val="FootnoteReference"/>
        </w:rPr>
        <w:footnoteRef/>
      </w:r>
      <w:r>
        <w:t xml:space="preserve"> </w:t>
      </w:r>
      <w:hyperlink r:id="rId8" w:history="1">
        <w:r>
          <w:rPr>
            <w:rStyle w:val="Hyperlink"/>
          </w:rPr>
          <w:t>sc62_19_strp_chair_e.pdf (ramsar.org)</w:t>
        </w:r>
      </w:hyperlink>
    </w:p>
  </w:footnote>
  <w:footnote w:id="9">
    <w:p w14:paraId="2FC1EE90" w14:textId="77777777" w:rsidR="00C05CC5" w:rsidRDefault="00C05CC5" w:rsidP="00C05CC5">
      <w:pPr>
        <w:pStyle w:val="Standard"/>
        <w:spacing w:after="0" w:line="240" w:lineRule="auto"/>
      </w:pPr>
      <w:r>
        <w:rPr>
          <w:rStyle w:val="FootnoteReference"/>
        </w:rPr>
        <w:footnoteRef/>
      </w:r>
      <w:r>
        <w:rPr>
          <w:sz w:val="20"/>
          <w:szCs w:val="20"/>
        </w:rPr>
        <w:t>Dixon, M.J.R., Loh, J., Davidson, N.C. and M.J. Walpole. 2016. Tracking global change in ecosystem area: The Wetland Extent Trends Index. Biological Conservation 193: 27-35.</w:t>
      </w:r>
    </w:p>
  </w:footnote>
  <w:footnote w:id="10">
    <w:p w14:paraId="3DE9E08E" w14:textId="77777777" w:rsidR="00C05CC5" w:rsidRDefault="00C05CC5" w:rsidP="00C05CC5">
      <w:pPr>
        <w:pStyle w:val="Standard"/>
        <w:spacing w:after="0" w:line="240" w:lineRule="auto"/>
      </w:pPr>
      <w:r>
        <w:rPr>
          <w:rStyle w:val="FootnoteReference"/>
        </w:rPr>
        <w:footnoteRef/>
      </w:r>
      <w:r>
        <w:rPr>
          <w:sz w:val="20"/>
          <w:szCs w:val="20"/>
        </w:rPr>
        <w:t>UN World Conservation Monitoring Centre. 2017. Wetland Extent Trends [WET] Index. Cambridge, UK</w:t>
      </w:r>
    </w:p>
  </w:footnote>
  <w:footnote w:id="11">
    <w:p w14:paraId="5058840C" w14:textId="77777777" w:rsidR="00C05CC5" w:rsidRDefault="00C05CC5" w:rsidP="00C05CC5">
      <w:pPr>
        <w:pStyle w:val="Standard"/>
        <w:spacing w:after="0" w:line="240" w:lineRule="auto"/>
      </w:pPr>
      <w:r>
        <w:rPr>
          <w:rStyle w:val="FootnoteReference"/>
        </w:rPr>
        <w:footnoteRef/>
      </w:r>
      <w:r>
        <w:rPr>
          <w:sz w:val="20"/>
          <w:szCs w:val="20"/>
        </w:rPr>
        <w:t>Grill G, Lehner B, Thieme M, Geenen B, Tickner D, Antonelli F, Babu S, Borrelli P, Cheng L, Crochetiere H, Ehalt Macedo H, Filgueiras R, Goichot M, Higgins J, Hogan Z, Lip B, McClain ME, Meng J, Mulligan M, Nilsson C, Olden JD, Opperman JJ, Petry P, Reidy Liermann C, Sáenz L, Salinas-Rodríguez S, Schelle P, Schmitt RJP, Snider J, Tan F, Tockner K, Valdujo PH, van Soesbergen A, Zarfl C. 2019. Mapping the world’s free-flowing rivers. Nature 569:215-221.</w:t>
      </w:r>
    </w:p>
  </w:footnote>
  <w:footnote w:id="12">
    <w:p w14:paraId="5482E606" w14:textId="597405E0" w:rsidR="00B6482F" w:rsidRDefault="00B6482F">
      <w:pPr>
        <w:pStyle w:val="FootnoteText"/>
      </w:pPr>
      <w:r>
        <w:rPr>
          <w:rStyle w:val="FootnoteReference"/>
        </w:rPr>
        <w:footnoteRef/>
      </w:r>
      <w:r>
        <w:t xml:space="preserve"> </w:t>
      </w:r>
      <w:r w:rsidR="00B97EC2">
        <w:t>IUCN WDPA, Equilibrium Research, TNC, WWF, IUCN SSC, 2022. Pathways for Inland Waters in the 30x30 Target: A draft technical report prepared for COP-15. pp</w:t>
      </w:r>
      <w:r w:rsidR="00EC0561">
        <w:t xml:space="preserve"> 79-86</w:t>
      </w:r>
      <w:r w:rsidR="00B97EC2">
        <w:t xml:space="preserve">. </w:t>
      </w:r>
      <w:hyperlink r:id="rId9" w:history="1">
        <w:r w:rsidR="008F21B8" w:rsidRPr="00A71DC6">
          <w:rPr>
            <w:rStyle w:val="Hyperlink"/>
          </w:rPr>
          <w:t>https://www.nature.org/content/dam/tnc/nature/en/documents/Pathway_for_Inland_Waters_Nov_2022.pdf</w:t>
        </w:r>
      </w:hyperlink>
    </w:p>
    <w:p w14:paraId="14FAA432" w14:textId="77777777" w:rsidR="008F21B8" w:rsidRDefault="008F21B8">
      <w:pPr>
        <w:pStyle w:val="FootnoteText"/>
      </w:pPr>
    </w:p>
  </w:footnote>
  <w:footnote w:id="13">
    <w:p w14:paraId="6B60553C" w14:textId="2242AD29" w:rsidR="00792544" w:rsidRPr="004E7FDF" w:rsidRDefault="00792544">
      <w:pPr>
        <w:pStyle w:val="FootnoteText"/>
        <w:rPr>
          <w:rFonts w:cstheme="minorHAnsi"/>
        </w:rPr>
      </w:pPr>
      <w:r w:rsidRPr="00E95DF7">
        <w:rPr>
          <w:rStyle w:val="FootnoteReference"/>
          <w:sz w:val="18"/>
          <w:szCs w:val="18"/>
        </w:rPr>
        <w:footnoteRef/>
      </w:r>
      <w:r w:rsidRPr="00E95DF7">
        <w:rPr>
          <w:sz w:val="18"/>
          <w:szCs w:val="18"/>
        </w:rPr>
        <w:t xml:space="preserve"> </w:t>
      </w:r>
      <w:r w:rsidR="00E95DF7" w:rsidRPr="004E7FDF">
        <w:rPr>
          <w:rFonts w:cstheme="minorHAnsi"/>
          <w:shd w:val="clear" w:color="auto" w:fill="FFFFFF"/>
        </w:rPr>
        <w:t>Lehner, B., Döll, P.: </w:t>
      </w:r>
      <w:r w:rsidR="00E95DF7" w:rsidRPr="004E7FDF">
        <w:rPr>
          <w:rStyle w:val="Strong"/>
          <w:rFonts w:cstheme="minorHAnsi"/>
          <w:bdr w:val="none" w:sz="0" w:space="0" w:color="auto" w:frame="1"/>
          <w:shd w:val="clear" w:color="auto" w:fill="FFFFFF"/>
        </w:rPr>
        <w:t>Development and validation of a global database of lakes, reservoirs and wetlands</w:t>
      </w:r>
      <w:r w:rsidR="00E95DF7" w:rsidRPr="004E7FDF">
        <w:rPr>
          <w:rFonts w:cstheme="minorHAnsi"/>
          <w:shd w:val="clear" w:color="auto" w:fill="FFFFFF"/>
        </w:rPr>
        <w:t>, </w:t>
      </w:r>
      <w:r w:rsidR="00E95DF7" w:rsidRPr="004E7FDF">
        <w:rPr>
          <w:rStyle w:val="Emphasis"/>
          <w:rFonts w:cstheme="minorHAnsi"/>
          <w:bdr w:val="none" w:sz="0" w:space="0" w:color="auto" w:frame="1"/>
          <w:shd w:val="clear" w:color="auto" w:fill="FFFFFF"/>
        </w:rPr>
        <w:t>Journal of Hydrology</w:t>
      </w:r>
      <w:r w:rsidR="00E95DF7" w:rsidRPr="004E7FDF">
        <w:rPr>
          <w:rFonts w:cstheme="minorHAnsi"/>
          <w:shd w:val="clear" w:color="auto" w:fill="FFFFFF"/>
        </w:rPr>
        <w:t>, Volume 296, Issues 1–4, 20 August 2004, Pages 1-22, http://dx.doi.org/10.1016/j.jhydrol.2004.03.028.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2E95"/>
    <w:multiLevelType w:val="hybridMultilevel"/>
    <w:tmpl w:val="0B1EE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46594"/>
    <w:multiLevelType w:val="hybridMultilevel"/>
    <w:tmpl w:val="F2AC4374"/>
    <w:lvl w:ilvl="0" w:tplc="2FCAA3E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C01A7"/>
    <w:multiLevelType w:val="hybridMultilevel"/>
    <w:tmpl w:val="E4B23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3E45E3"/>
    <w:multiLevelType w:val="multilevel"/>
    <w:tmpl w:val="C28CE762"/>
    <w:lvl w:ilvl="0">
      <w:start w:val="1"/>
      <w:numFmt w:val="decimal"/>
      <w:lvlText w:val="%1"/>
      <w:lvlJc w:val="left"/>
      <w:pPr>
        <w:ind w:left="400" w:hanging="400"/>
      </w:pPr>
      <w:rPr>
        <w:rFonts w:hint="default"/>
        <w:color w:val="000000"/>
        <w:sz w:val="27"/>
      </w:rPr>
    </w:lvl>
    <w:lvl w:ilvl="1">
      <w:start w:val="1"/>
      <w:numFmt w:val="decimal"/>
      <w:lvlText w:val="%1.%2"/>
      <w:lvlJc w:val="left"/>
      <w:pPr>
        <w:ind w:left="400" w:hanging="400"/>
      </w:pPr>
      <w:rPr>
        <w:rFonts w:hint="default"/>
        <w:color w:val="000000"/>
        <w:sz w:val="27"/>
      </w:rPr>
    </w:lvl>
    <w:lvl w:ilvl="2">
      <w:start w:val="1"/>
      <w:numFmt w:val="decimal"/>
      <w:lvlText w:val="%1.%2.%3"/>
      <w:lvlJc w:val="left"/>
      <w:pPr>
        <w:ind w:left="720" w:hanging="720"/>
      </w:pPr>
      <w:rPr>
        <w:rFonts w:hint="default"/>
        <w:color w:val="000000"/>
        <w:sz w:val="27"/>
      </w:rPr>
    </w:lvl>
    <w:lvl w:ilvl="3">
      <w:start w:val="1"/>
      <w:numFmt w:val="decimal"/>
      <w:lvlText w:val="%1.%2.%3.%4"/>
      <w:lvlJc w:val="left"/>
      <w:pPr>
        <w:ind w:left="720" w:hanging="720"/>
      </w:pPr>
      <w:rPr>
        <w:rFonts w:hint="default"/>
        <w:color w:val="000000"/>
        <w:sz w:val="27"/>
      </w:rPr>
    </w:lvl>
    <w:lvl w:ilvl="4">
      <w:start w:val="1"/>
      <w:numFmt w:val="decimal"/>
      <w:lvlText w:val="%1.%2.%3.%4.%5"/>
      <w:lvlJc w:val="left"/>
      <w:pPr>
        <w:ind w:left="1080" w:hanging="1080"/>
      </w:pPr>
      <w:rPr>
        <w:rFonts w:hint="default"/>
        <w:color w:val="000000"/>
        <w:sz w:val="27"/>
      </w:rPr>
    </w:lvl>
    <w:lvl w:ilvl="5">
      <w:start w:val="1"/>
      <w:numFmt w:val="decimal"/>
      <w:lvlText w:val="%1.%2.%3.%4.%5.%6"/>
      <w:lvlJc w:val="left"/>
      <w:pPr>
        <w:ind w:left="1080" w:hanging="1080"/>
      </w:pPr>
      <w:rPr>
        <w:rFonts w:hint="default"/>
        <w:color w:val="000000"/>
        <w:sz w:val="27"/>
      </w:rPr>
    </w:lvl>
    <w:lvl w:ilvl="6">
      <w:start w:val="1"/>
      <w:numFmt w:val="decimal"/>
      <w:lvlText w:val="%1.%2.%3.%4.%5.%6.%7"/>
      <w:lvlJc w:val="left"/>
      <w:pPr>
        <w:ind w:left="1440" w:hanging="1440"/>
      </w:pPr>
      <w:rPr>
        <w:rFonts w:hint="default"/>
        <w:color w:val="000000"/>
        <w:sz w:val="27"/>
      </w:rPr>
    </w:lvl>
    <w:lvl w:ilvl="7">
      <w:start w:val="1"/>
      <w:numFmt w:val="decimal"/>
      <w:lvlText w:val="%1.%2.%3.%4.%5.%6.%7.%8"/>
      <w:lvlJc w:val="left"/>
      <w:pPr>
        <w:ind w:left="1440" w:hanging="1440"/>
      </w:pPr>
      <w:rPr>
        <w:rFonts w:hint="default"/>
        <w:color w:val="000000"/>
        <w:sz w:val="27"/>
      </w:rPr>
    </w:lvl>
    <w:lvl w:ilvl="8">
      <w:start w:val="1"/>
      <w:numFmt w:val="decimal"/>
      <w:lvlText w:val="%1.%2.%3.%4.%5.%6.%7.%8.%9"/>
      <w:lvlJc w:val="left"/>
      <w:pPr>
        <w:ind w:left="1440" w:hanging="1440"/>
      </w:pPr>
      <w:rPr>
        <w:rFonts w:hint="default"/>
        <w:color w:val="000000"/>
        <w:sz w:val="27"/>
      </w:rPr>
    </w:lvl>
  </w:abstractNum>
  <w:abstractNum w:abstractNumId="4" w15:restartNumberingAfterBreak="0">
    <w:nsid w:val="2EA774D3"/>
    <w:multiLevelType w:val="hybridMultilevel"/>
    <w:tmpl w:val="3B78D676"/>
    <w:lvl w:ilvl="0" w:tplc="FFFFFFFF">
      <w:start w:val="1"/>
      <w:numFmt w:val="lowerLetter"/>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EB2EF1C2">
      <w:start w:val="1"/>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5A6E3D"/>
    <w:multiLevelType w:val="hybridMultilevel"/>
    <w:tmpl w:val="D4A07E50"/>
    <w:lvl w:ilvl="0" w:tplc="04090001">
      <w:start w:val="1"/>
      <w:numFmt w:val="bullet"/>
      <w:lvlText w:val=""/>
      <w:lvlJc w:val="left"/>
      <w:pPr>
        <w:ind w:left="45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6" w15:restartNumberingAfterBreak="0">
    <w:nsid w:val="707E5873"/>
    <w:multiLevelType w:val="hybridMultilevel"/>
    <w:tmpl w:val="1A5A72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495459336">
    <w:abstractNumId w:val="6"/>
  </w:num>
  <w:num w:numId="2" w16cid:durableId="632754228">
    <w:abstractNumId w:val="5"/>
  </w:num>
  <w:num w:numId="3" w16cid:durableId="652220966">
    <w:abstractNumId w:val="3"/>
  </w:num>
  <w:num w:numId="4" w16cid:durableId="381104157">
    <w:abstractNumId w:val="2"/>
  </w:num>
  <w:num w:numId="5" w16cid:durableId="283728969">
    <w:abstractNumId w:val="1"/>
  </w:num>
  <w:num w:numId="6" w16cid:durableId="307788427">
    <w:abstractNumId w:val="4"/>
  </w:num>
  <w:num w:numId="7" w16cid:durableId="127397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1A"/>
    <w:rsid w:val="000336F2"/>
    <w:rsid w:val="000566EA"/>
    <w:rsid w:val="000620C1"/>
    <w:rsid w:val="00077435"/>
    <w:rsid w:val="0008650A"/>
    <w:rsid w:val="000A1EA2"/>
    <w:rsid w:val="000B12BB"/>
    <w:rsid w:val="000B5562"/>
    <w:rsid w:val="00113204"/>
    <w:rsid w:val="00116EEE"/>
    <w:rsid w:val="00120C65"/>
    <w:rsid w:val="00126389"/>
    <w:rsid w:val="00132E74"/>
    <w:rsid w:val="00143C44"/>
    <w:rsid w:val="001534DD"/>
    <w:rsid w:val="00154E3F"/>
    <w:rsid w:val="001657B7"/>
    <w:rsid w:val="00183186"/>
    <w:rsid w:val="00190584"/>
    <w:rsid w:val="00196736"/>
    <w:rsid w:val="001D1DB2"/>
    <w:rsid w:val="00227578"/>
    <w:rsid w:val="00232E7A"/>
    <w:rsid w:val="00275127"/>
    <w:rsid w:val="002816D9"/>
    <w:rsid w:val="002C6182"/>
    <w:rsid w:val="002F2238"/>
    <w:rsid w:val="003008B5"/>
    <w:rsid w:val="003714A2"/>
    <w:rsid w:val="0037428A"/>
    <w:rsid w:val="003752C3"/>
    <w:rsid w:val="00413ABA"/>
    <w:rsid w:val="004570E4"/>
    <w:rsid w:val="00460BAF"/>
    <w:rsid w:val="00465AD9"/>
    <w:rsid w:val="00472373"/>
    <w:rsid w:val="00490AA1"/>
    <w:rsid w:val="004C3D93"/>
    <w:rsid w:val="004C69E0"/>
    <w:rsid w:val="004D2BB4"/>
    <w:rsid w:val="004E7FDF"/>
    <w:rsid w:val="004F5E10"/>
    <w:rsid w:val="00542B48"/>
    <w:rsid w:val="00543CBE"/>
    <w:rsid w:val="005473F4"/>
    <w:rsid w:val="005747B0"/>
    <w:rsid w:val="005754AB"/>
    <w:rsid w:val="0058150D"/>
    <w:rsid w:val="00597C21"/>
    <w:rsid w:val="005D2A76"/>
    <w:rsid w:val="005E775D"/>
    <w:rsid w:val="006022A2"/>
    <w:rsid w:val="006375B2"/>
    <w:rsid w:val="00655994"/>
    <w:rsid w:val="006579B0"/>
    <w:rsid w:val="00660BD3"/>
    <w:rsid w:val="00663B52"/>
    <w:rsid w:val="0067261A"/>
    <w:rsid w:val="0067504B"/>
    <w:rsid w:val="006758A8"/>
    <w:rsid w:val="006943E2"/>
    <w:rsid w:val="006D0EA5"/>
    <w:rsid w:val="006D4CC2"/>
    <w:rsid w:val="006E12EA"/>
    <w:rsid w:val="006E2F57"/>
    <w:rsid w:val="006F4F23"/>
    <w:rsid w:val="006F53CB"/>
    <w:rsid w:val="00701BFB"/>
    <w:rsid w:val="00727CC5"/>
    <w:rsid w:val="0076403D"/>
    <w:rsid w:val="00765008"/>
    <w:rsid w:val="00773B86"/>
    <w:rsid w:val="0078036F"/>
    <w:rsid w:val="00792544"/>
    <w:rsid w:val="00795518"/>
    <w:rsid w:val="007A2AC8"/>
    <w:rsid w:val="007A2C3B"/>
    <w:rsid w:val="007A6E70"/>
    <w:rsid w:val="007B6005"/>
    <w:rsid w:val="007B7644"/>
    <w:rsid w:val="007C47A2"/>
    <w:rsid w:val="008200D2"/>
    <w:rsid w:val="00832FFB"/>
    <w:rsid w:val="00847398"/>
    <w:rsid w:val="00866B7A"/>
    <w:rsid w:val="00895DB2"/>
    <w:rsid w:val="00897B15"/>
    <w:rsid w:val="00897EFA"/>
    <w:rsid w:val="008A2D24"/>
    <w:rsid w:val="008A573A"/>
    <w:rsid w:val="008B598E"/>
    <w:rsid w:val="008D780D"/>
    <w:rsid w:val="008F21B8"/>
    <w:rsid w:val="009006FD"/>
    <w:rsid w:val="00902FBA"/>
    <w:rsid w:val="0091445C"/>
    <w:rsid w:val="00930BF6"/>
    <w:rsid w:val="00955547"/>
    <w:rsid w:val="009D2A92"/>
    <w:rsid w:val="009F16F4"/>
    <w:rsid w:val="009F46C5"/>
    <w:rsid w:val="00A05241"/>
    <w:rsid w:val="00A248C9"/>
    <w:rsid w:val="00A32E90"/>
    <w:rsid w:val="00A658B5"/>
    <w:rsid w:val="00A7460E"/>
    <w:rsid w:val="00A85BC0"/>
    <w:rsid w:val="00AA287E"/>
    <w:rsid w:val="00AA37AB"/>
    <w:rsid w:val="00AB79FE"/>
    <w:rsid w:val="00AF1341"/>
    <w:rsid w:val="00B10E23"/>
    <w:rsid w:val="00B12977"/>
    <w:rsid w:val="00B142E7"/>
    <w:rsid w:val="00B2302F"/>
    <w:rsid w:val="00B46A08"/>
    <w:rsid w:val="00B477DF"/>
    <w:rsid w:val="00B6482F"/>
    <w:rsid w:val="00B75DDD"/>
    <w:rsid w:val="00B97EC2"/>
    <w:rsid w:val="00BB3175"/>
    <w:rsid w:val="00C05CC5"/>
    <w:rsid w:val="00C227B0"/>
    <w:rsid w:val="00C41FB9"/>
    <w:rsid w:val="00C61D80"/>
    <w:rsid w:val="00C707ED"/>
    <w:rsid w:val="00C77786"/>
    <w:rsid w:val="00CB5E3B"/>
    <w:rsid w:val="00D27B6F"/>
    <w:rsid w:val="00D60D43"/>
    <w:rsid w:val="00DD7659"/>
    <w:rsid w:val="00DE2395"/>
    <w:rsid w:val="00E34858"/>
    <w:rsid w:val="00E61988"/>
    <w:rsid w:val="00E61B02"/>
    <w:rsid w:val="00E70902"/>
    <w:rsid w:val="00E80BC2"/>
    <w:rsid w:val="00E94049"/>
    <w:rsid w:val="00E95DF7"/>
    <w:rsid w:val="00EA0F81"/>
    <w:rsid w:val="00EC0561"/>
    <w:rsid w:val="00EE0BCB"/>
    <w:rsid w:val="00EE302B"/>
    <w:rsid w:val="00EF0A56"/>
    <w:rsid w:val="00EF6BCC"/>
    <w:rsid w:val="00F101DE"/>
    <w:rsid w:val="00F179FA"/>
    <w:rsid w:val="00F369F4"/>
    <w:rsid w:val="00F90E68"/>
    <w:rsid w:val="00F979BF"/>
    <w:rsid w:val="00FA2775"/>
    <w:rsid w:val="00FB24D3"/>
    <w:rsid w:val="00FD6187"/>
    <w:rsid w:val="00FE31AC"/>
    <w:rsid w:val="00FF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D42A"/>
  <w15:chartTrackingRefBased/>
  <w15:docId w15:val="{463D50F7-6258-4382-BCAB-171BC576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61A"/>
    <w:rPr>
      <w:color w:val="0000FF"/>
      <w:u w:val="single"/>
    </w:rPr>
  </w:style>
  <w:style w:type="paragraph" w:styleId="ListParagraph">
    <w:name w:val="List Paragraph"/>
    <w:basedOn w:val="Normal"/>
    <w:uiPriority w:val="34"/>
    <w:qFormat/>
    <w:rsid w:val="0067261A"/>
    <w:pPr>
      <w:ind w:left="720"/>
      <w:contextualSpacing/>
    </w:pPr>
  </w:style>
  <w:style w:type="paragraph" w:styleId="FootnoteText">
    <w:name w:val="footnote text"/>
    <w:basedOn w:val="Normal"/>
    <w:link w:val="FootnoteTextChar"/>
    <w:uiPriority w:val="99"/>
    <w:semiHidden/>
    <w:unhideWhenUsed/>
    <w:rsid w:val="006726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61A"/>
    <w:rPr>
      <w:sz w:val="20"/>
      <w:szCs w:val="20"/>
    </w:rPr>
  </w:style>
  <w:style w:type="character" w:styleId="FootnoteReference">
    <w:name w:val="footnote reference"/>
    <w:basedOn w:val="DefaultParagraphFont"/>
    <w:uiPriority w:val="99"/>
    <w:semiHidden/>
    <w:unhideWhenUsed/>
    <w:rsid w:val="0067261A"/>
    <w:rPr>
      <w:vertAlign w:val="superscript"/>
    </w:rPr>
  </w:style>
  <w:style w:type="character" w:customStyle="1" w:styleId="ui-provider">
    <w:name w:val="ui-provider"/>
    <w:basedOn w:val="DefaultParagraphFont"/>
    <w:rsid w:val="003752C3"/>
  </w:style>
  <w:style w:type="table" w:styleId="TableGrid">
    <w:name w:val="Table Grid"/>
    <w:basedOn w:val="TableNormal"/>
    <w:uiPriority w:val="59"/>
    <w:qFormat/>
    <w:rsid w:val="003752C3"/>
    <w:pPr>
      <w:spacing w:after="0" w:line="240" w:lineRule="auto"/>
    </w:pPr>
    <w:rPr>
      <w:kern w:val="2"/>
      <w:lang w:val="en-CA"/>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16D9"/>
    <w:rPr>
      <w:sz w:val="16"/>
      <w:szCs w:val="16"/>
    </w:rPr>
  </w:style>
  <w:style w:type="paragraph" w:styleId="CommentText">
    <w:name w:val="annotation text"/>
    <w:basedOn w:val="Normal"/>
    <w:link w:val="CommentTextChar"/>
    <w:uiPriority w:val="99"/>
    <w:semiHidden/>
    <w:unhideWhenUsed/>
    <w:rsid w:val="002816D9"/>
    <w:pPr>
      <w:spacing w:line="240" w:lineRule="auto"/>
    </w:pPr>
    <w:rPr>
      <w:sz w:val="20"/>
      <w:szCs w:val="20"/>
    </w:rPr>
  </w:style>
  <w:style w:type="character" w:customStyle="1" w:styleId="CommentTextChar">
    <w:name w:val="Comment Text Char"/>
    <w:basedOn w:val="DefaultParagraphFont"/>
    <w:link w:val="CommentText"/>
    <w:uiPriority w:val="99"/>
    <w:semiHidden/>
    <w:rsid w:val="002816D9"/>
    <w:rPr>
      <w:sz w:val="20"/>
      <w:szCs w:val="20"/>
    </w:rPr>
  </w:style>
  <w:style w:type="paragraph" w:styleId="CommentSubject">
    <w:name w:val="annotation subject"/>
    <w:basedOn w:val="CommentText"/>
    <w:next w:val="CommentText"/>
    <w:link w:val="CommentSubjectChar"/>
    <w:uiPriority w:val="99"/>
    <w:semiHidden/>
    <w:unhideWhenUsed/>
    <w:rsid w:val="002F2238"/>
    <w:rPr>
      <w:b/>
      <w:bCs/>
    </w:rPr>
  </w:style>
  <w:style w:type="character" w:customStyle="1" w:styleId="CommentSubjectChar">
    <w:name w:val="Comment Subject Char"/>
    <w:basedOn w:val="CommentTextChar"/>
    <w:link w:val="CommentSubject"/>
    <w:uiPriority w:val="99"/>
    <w:semiHidden/>
    <w:rsid w:val="002F2238"/>
    <w:rPr>
      <w:b/>
      <w:bCs/>
      <w:sz w:val="20"/>
      <w:szCs w:val="20"/>
    </w:rPr>
  </w:style>
  <w:style w:type="paragraph" w:styleId="Revision">
    <w:name w:val="Revision"/>
    <w:hidden/>
    <w:uiPriority w:val="99"/>
    <w:semiHidden/>
    <w:rsid w:val="00E34858"/>
    <w:pPr>
      <w:spacing w:after="0" w:line="240" w:lineRule="auto"/>
    </w:pPr>
  </w:style>
  <w:style w:type="paragraph" w:customStyle="1" w:styleId="Standard">
    <w:name w:val="Standard"/>
    <w:rsid w:val="007B6005"/>
    <w:pPr>
      <w:suppressAutoHyphens/>
      <w:autoSpaceDN w:val="0"/>
      <w:textAlignment w:val="baseline"/>
    </w:pPr>
    <w:rPr>
      <w:rFonts w:ascii="Calibri" w:eastAsia="Calibri" w:hAnsi="Calibri" w:cs="Calibri"/>
      <w:lang w:eastAsia="zh-CN" w:bidi="hi-IN"/>
    </w:rPr>
  </w:style>
  <w:style w:type="character" w:styleId="Strong">
    <w:name w:val="Strong"/>
    <w:basedOn w:val="DefaultParagraphFont"/>
    <w:uiPriority w:val="22"/>
    <w:qFormat/>
    <w:rsid w:val="00E95DF7"/>
    <w:rPr>
      <w:b/>
      <w:bCs/>
    </w:rPr>
  </w:style>
  <w:style w:type="character" w:styleId="Emphasis">
    <w:name w:val="Emphasis"/>
    <w:basedOn w:val="DefaultParagraphFont"/>
    <w:uiPriority w:val="20"/>
    <w:qFormat/>
    <w:rsid w:val="00E95DF7"/>
    <w:rPr>
      <w:i/>
      <w:iCs/>
    </w:rPr>
  </w:style>
  <w:style w:type="character" w:styleId="UnresolvedMention">
    <w:name w:val="Unresolved Mention"/>
    <w:basedOn w:val="DefaultParagraphFont"/>
    <w:uiPriority w:val="99"/>
    <w:semiHidden/>
    <w:unhideWhenUsed/>
    <w:rsid w:val="00B46A08"/>
    <w:rPr>
      <w:color w:val="605E5C"/>
      <w:shd w:val="clear" w:color="auto" w:fill="E1DFDD"/>
    </w:rPr>
  </w:style>
  <w:style w:type="table" w:customStyle="1" w:styleId="TableGrid1">
    <w:name w:val="Table Grid1"/>
    <w:basedOn w:val="TableNormal"/>
    <w:next w:val="TableGrid"/>
    <w:uiPriority w:val="59"/>
    <w:qFormat/>
    <w:rsid w:val="00B75DDD"/>
    <w:pPr>
      <w:spacing w:after="0" w:line="240" w:lineRule="auto"/>
    </w:pPr>
    <w:rPr>
      <w:kern w:val="2"/>
      <w:lang w:val="en-CA"/>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BB"/>
  </w:style>
  <w:style w:type="paragraph" w:styleId="Footer">
    <w:name w:val="footer"/>
    <w:basedOn w:val="Normal"/>
    <w:link w:val="FooterChar"/>
    <w:uiPriority w:val="99"/>
    <w:unhideWhenUsed/>
    <w:rsid w:val="000B1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BB"/>
  </w:style>
  <w:style w:type="character" w:styleId="FollowedHyperlink">
    <w:name w:val="FollowedHyperlink"/>
    <w:basedOn w:val="DefaultParagraphFont"/>
    <w:uiPriority w:val="99"/>
    <w:semiHidden/>
    <w:unhideWhenUsed/>
    <w:rsid w:val="00A32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6564">
      <w:bodyDiv w:val="1"/>
      <w:marLeft w:val="0"/>
      <w:marRight w:val="0"/>
      <w:marTop w:val="0"/>
      <w:marBottom w:val="0"/>
      <w:divBdr>
        <w:top w:val="none" w:sz="0" w:space="0" w:color="auto"/>
        <w:left w:val="none" w:sz="0" w:space="0" w:color="auto"/>
        <w:bottom w:val="none" w:sz="0" w:space="0" w:color="auto"/>
        <w:right w:val="none" w:sz="0" w:space="0" w:color="auto"/>
      </w:divBdr>
    </w:div>
    <w:div w:id="685206726">
      <w:bodyDiv w:val="1"/>
      <w:marLeft w:val="0"/>
      <w:marRight w:val="0"/>
      <w:marTop w:val="0"/>
      <w:marBottom w:val="0"/>
      <w:divBdr>
        <w:top w:val="none" w:sz="0" w:space="0" w:color="auto"/>
        <w:left w:val="none" w:sz="0" w:space="0" w:color="auto"/>
        <w:bottom w:val="none" w:sz="0" w:space="0" w:color="auto"/>
        <w:right w:val="none" w:sz="0" w:space="0" w:color="auto"/>
      </w:divBdr>
    </w:div>
    <w:div w:id="1565019523">
      <w:bodyDiv w:val="1"/>
      <w:marLeft w:val="0"/>
      <w:marRight w:val="0"/>
      <w:marTop w:val="0"/>
      <w:marBottom w:val="0"/>
      <w:divBdr>
        <w:top w:val="none" w:sz="0" w:space="0" w:color="auto"/>
        <w:left w:val="none" w:sz="0" w:space="0" w:color="auto"/>
        <w:bottom w:val="none" w:sz="0" w:space="0" w:color="auto"/>
        <w:right w:val="none" w:sz="0" w:space="0" w:color="auto"/>
      </w:divBdr>
    </w:div>
    <w:div w:id="1873304091">
      <w:bodyDiv w:val="1"/>
      <w:marLeft w:val="0"/>
      <w:marRight w:val="0"/>
      <w:marTop w:val="0"/>
      <w:marBottom w:val="0"/>
      <w:divBdr>
        <w:top w:val="none" w:sz="0" w:space="0" w:color="auto"/>
        <w:left w:val="none" w:sz="0" w:space="0" w:color="auto"/>
        <w:bottom w:val="none" w:sz="0" w:space="0" w:color="auto"/>
        <w:right w:val="none" w:sz="0" w:space="0" w:color="auto"/>
      </w:divBdr>
    </w:div>
    <w:div w:id="21179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c1.squarespace.com/static/600f3c551f5d246dcefc421b/t/6388e87da623a5739dec1ab6/1669916853747/Briefing+Document+-+Inland+Fisheries+Indic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oberg@tn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bell@tnc.org" TargetMode="External"/><Relationship Id="rId4" Type="http://schemas.openxmlformats.org/officeDocument/2006/relationships/settings" Target="settings.xml"/><Relationship Id="rId9" Type="http://schemas.openxmlformats.org/officeDocument/2006/relationships/hyperlink" Target="https://www.ramsar.org/sites/default/files/documents/library/sc62_19_strp_chair_e.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amsar.org/sites/default/files/documents/library/sc62_19_strp_chair_e.pdf" TargetMode="External"/><Relationship Id="rId3" Type="http://schemas.openxmlformats.org/officeDocument/2006/relationships/hyperlink" Target="https://www.ramsar.org/sites/default/files/documents/library/xiv.6_synergies_e.pdf" TargetMode="External"/><Relationship Id="rId7" Type="http://schemas.openxmlformats.org/officeDocument/2006/relationships/hyperlink" Target="https://static1.squarespace.com/static/600f3c551f5d246dcefc421b/t/6388e87da623a5739dec1ab6/1669916853747/Briefing+Document+-+Inland+Fisheries+Indicator" TargetMode="External"/><Relationship Id="rId2" Type="http://schemas.openxmlformats.org/officeDocument/2006/relationships/hyperlink" Target="https://contacts.ramsar.org/notification/view/1599" TargetMode="External"/><Relationship Id="rId1" Type="http://schemas.openxmlformats.org/officeDocument/2006/relationships/hyperlink" Target="https://www.unwater.org/publications/un-water-input-freshwater-biodiversity-linkages-response-zero-draft-document-open" TargetMode="External"/><Relationship Id="rId6" Type="http://schemas.openxmlformats.org/officeDocument/2006/relationships/hyperlink" Target="https://www.nature.org/content/dam/tnc/nature/en/documents/Pathway_for_Inland_Waters_Nov_2022.pdf" TargetMode="External"/><Relationship Id="rId5" Type="http://schemas.openxmlformats.org/officeDocument/2006/relationships/hyperlink" Target="https://wwfint.awsassets.panda.org/downloads/1110__int_briefing5lr.pdf" TargetMode="External"/><Relationship Id="rId4" Type="http://schemas.openxmlformats.org/officeDocument/2006/relationships/hyperlink" Target="https://geobon.org/wp-content/uploads/2022/12/InlandWaters_Brief.pdf" TargetMode="External"/><Relationship Id="rId9" Type="http://schemas.openxmlformats.org/officeDocument/2006/relationships/hyperlink" Target="https://www.nature.org/content/dam/tnc/nature/en/documents/Pathway_for_Inland_Waters_Nov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9BB3-A584-4496-B460-9BA701E6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3913</Words>
  <Characters>22307</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Moberg</dc:creator>
  <cp:keywords/>
  <dc:description/>
  <cp:lastModifiedBy>Tara Moberg</cp:lastModifiedBy>
  <cp:revision>2</cp:revision>
  <dcterms:created xsi:type="dcterms:W3CDTF">2023-07-24T17:34:00Z</dcterms:created>
  <dcterms:modified xsi:type="dcterms:W3CDTF">2023-07-24T17:34:00Z</dcterms:modified>
</cp:coreProperties>
</file>