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Palatino" w:cs="Palatino" w:eastAsia="Palatino" w:hAnsi="Palatino"/>
          <w:b w:val="1"/>
          <w:i w:val="0"/>
          <w:smallCaps w:val="0"/>
          <w:strike w:val="0"/>
          <w:color w:val="000000"/>
          <w:sz w:val="22"/>
          <w:szCs w:val="22"/>
          <w:u w:val="none"/>
          <w:shd w:fill="auto" w:val="clear"/>
          <w:vertAlign w:val="baseline"/>
        </w:rPr>
      </w:pPr>
      <w:r w:rsidDel="00000000" w:rsidR="00000000" w:rsidRPr="00000000">
        <w:rPr>
          <w:rFonts w:ascii="Palatino" w:cs="Palatino" w:eastAsia="Palatino" w:hAnsi="Palatino"/>
          <w:b w:val="1"/>
          <w:i w:val="0"/>
          <w:smallCaps w:val="0"/>
          <w:strike w:val="0"/>
          <w:color w:val="000000"/>
          <w:sz w:val="22"/>
          <w:szCs w:val="22"/>
          <w:u w:val="none"/>
          <w:shd w:fill="auto" w:val="clear"/>
          <w:vertAlign w:val="baseline"/>
          <w:rtl w:val="0"/>
        </w:rPr>
        <w:t xml:space="preserve">What are the key priorities for marine indicators?</w:t>
      </w:r>
    </w:p>
    <w:p w:rsidR="00000000" w:rsidDel="00000000" w:rsidP="00000000" w:rsidRDefault="00000000" w:rsidRPr="00000000" w14:paraId="00000002">
      <w:pPr>
        <w:spacing w:line="360" w:lineRule="auto"/>
        <w:jc w:val="both"/>
        <w:rPr>
          <w:rFonts w:ascii="Palatino" w:cs="Palatino" w:eastAsia="Palatino" w:hAnsi="Palatino"/>
          <w:sz w:val="22"/>
          <w:szCs w:val="22"/>
        </w:rPr>
      </w:pPr>
      <w:r w:rsidDel="00000000" w:rsidR="00000000" w:rsidRPr="00000000">
        <w:rPr>
          <w:rtl w:val="0"/>
        </w:rPr>
      </w:r>
    </w:p>
    <w:p w:rsidR="00000000" w:rsidDel="00000000" w:rsidP="00000000" w:rsidRDefault="00000000" w:rsidRPr="00000000" w14:paraId="00000003">
      <w:pPr>
        <w:spacing w:line="360" w:lineRule="auto"/>
        <w:jc w:val="both"/>
        <w:rPr>
          <w:rFonts w:ascii="Palatino" w:cs="Palatino" w:eastAsia="Palatino" w:hAnsi="Palatino"/>
          <w:sz w:val="22"/>
          <w:szCs w:val="22"/>
        </w:rPr>
      </w:pPr>
      <w:r w:rsidDel="00000000" w:rsidR="00000000" w:rsidRPr="00000000">
        <w:rPr>
          <w:rFonts w:ascii="Palatino" w:cs="Palatino" w:eastAsia="Palatino" w:hAnsi="Palatino"/>
          <w:sz w:val="22"/>
          <w:szCs w:val="22"/>
          <w:rtl w:val="0"/>
        </w:rPr>
        <w:t xml:space="preserve">Marine and coastal biodiversity conservation and sustainable use require specific indicators and approaches for monitoring implementation that do not always coincide with terrestrial indicators and governance structures. Qualitative indicators are also important and should be prioritised. </w:t>
      </w:r>
    </w:p>
    <w:p w:rsidR="00000000" w:rsidDel="00000000" w:rsidP="00000000" w:rsidRDefault="00000000" w:rsidRPr="00000000" w14:paraId="00000004">
      <w:pPr>
        <w:spacing w:line="360" w:lineRule="auto"/>
        <w:jc w:val="both"/>
        <w:rPr>
          <w:rFonts w:ascii="Palatino" w:cs="Palatino" w:eastAsia="Palatino" w:hAnsi="Palatino"/>
          <w:sz w:val="22"/>
          <w:szCs w:val="22"/>
        </w:rPr>
      </w:pPr>
      <w:r w:rsidDel="00000000" w:rsidR="00000000" w:rsidRPr="00000000">
        <w:rPr>
          <w:rFonts w:ascii="Palatino" w:cs="Palatino" w:eastAsia="Palatino" w:hAnsi="Palatino"/>
          <w:sz w:val="22"/>
          <w:szCs w:val="22"/>
          <w:rtl w:val="0"/>
        </w:rPr>
        <w:t xml:space="preserve">In general terms, several instruments and mechanisms have been developed under the Convention (as well as under other relevant treaties and bodies) that directly contribute to the implementation of the GBF. Examples include:</w:t>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the ecologically or biologically significant marine areas (EBSA) criteria and process for description of areas that meet the criteria. EBSAs can contribute as indicators for several GBF targets, including Targets 1, 2, 3, 4, 5, 7, 8, 10, 14;</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CBD voluntary guidelines on several issues, including on biodiversity-inclusive environmental impact assessments (EIAs) and strategic environmental assessments</w:t>
      </w:r>
      <w:r w:rsidDel="00000000" w:rsidR="00000000" w:rsidRPr="00000000">
        <w:rPr>
          <w:rFonts w:ascii="Palatino" w:cs="Palatino" w:eastAsia="Palatino" w:hAnsi="Palatino"/>
          <w:b w:val="1"/>
          <w:i w:val="0"/>
          <w:smallCaps w:val="0"/>
          <w:strike w:val="0"/>
          <w:color w:val="000000"/>
          <w:sz w:val="22"/>
          <w:szCs w:val="22"/>
          <w:u w:val="none"/>
          <w:shd w:fill="auto" w:val="clear"/>
          <w:vertAlign w:val="baseline"/>
          <w:rtl w:val="0"/>
        </w:rPr>
        <w:t xml:space="preserve"> </w:t>
      </w: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(SEAs)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Decision XI/18 (2012); UNEP/CBD/COP/11/23) </w:t>
      </w: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 (relevant for Target 14 on mainstreaming biodiversity within and across economic sectors; as well as Target 5 with respect to sustainable fishing); </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Marine Spatial Planning (MSP) (Target 1): CBD decision XIII/9 (2016) makes recommendations on marine spatial planning (MSP). The decision also references the report of the Expert Workshop to Provide Consolidated Practical Guidance and a Toolkit for Marine Spatial Planning (UNEP/CBD/SBSTTA/20/INF/6) that could guide implementation of Targe 1. Furthermore, the role of the ecosystem approach in MSP and in implementing Target 1 is of utmost importance in accordance with the COP decision XIII/9, which encouraged Parties and others to strengthen the application of the ecosystem approach in MSP. Guidance on the ecosystem approach is provided by CBD decisions V/6 (2000) and VII/11 (2004).  </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Coral Reefs: The Priority actions to achieve Aichi Biodiversity Target 10 for coral reefs and closely associated ecosystems contained in the Annex to decision XII/23 (2014) continues to be relevant for the achievement of GBF Targets 2, 3, 4, 5 and others.</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Ecologically Representative and well-connected MPAs: Implementation of the scientific guidance for selecting areas to establish a representative network of MPAs, including in open ocean waters and deep sea habitats (Annex II), and Four initial steps to be considered in the development of representative networks of MPAs (Annex III) should be a priority on the implementation of Target 3.</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Fisheries (Targets 5, 9, 10, 14): Decision XIII/3 (2016) adopted recommendations on actions to mainstream biodiversity into the fisheries sector, including through: the implementation of  existing fisheries legal and policy instruments; making use of EBSA and vulnerable marine ecosystem (VME)  information in fisheries management; the use of existing FAO guidance on ecosystem approach to fisheries; the implementation of the Priority actions to achieve Aichi Biodiversity Target 10 for coral reefs and closely associated ecosystems; the strengthening of existing fisheries governance mechanisms in particular the precautionary approach to conserve and recover endangered species.  </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Climate change and ocean acidification nexus (Target 8, but also applicable to targets 5, 14, among others): Decision XIII/11 (2016) adopted the Voluntary specific workplan on biodiversity in cold-water areas within the jurisdictional scope of the Convention contains relevant recommendations, including on: the avoidance, minimisation and mitigation of impacts of global and local stressors in these areas; and identification and protection of refugia sites; prediction of species and habitats vulnerable to stressors.   Decision XI/18 (2012) deliberates on progress made in the implementation of the specific workplan on coral bleaching, and inter alia, recognises the need for coral ecosystems’ managers to apply ecosystem-based adaptation measures. The same decision XI/18 took note of the elements in Annex III to document UNEP/CBD/SBSTTA/16/6 as guidance for practical responses to the impacts of ocean acidification on marine and coastal biodiversity, and encourages Parties, other Governments and relevant organisations to use this guidance (para 24). Furthermore, the Priority actions to achieve Aichi Biodiversity Target 10 for coral reefs and closely associated ecosystems (contained in the annex of the decision </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XII/23</w:t>
      </w: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 continues to be relevant in the implementation of this Target 8.</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Marine pollution (Target 7) on underwater noise: Decision XII/23 (2014) encouraged Parties and other Governments to avoid, minimise and mitigate the potential significant adverse impacts of anthropogenic underwater noise by, </w:t>
      </w:r>
      <w:r w:rsidDel="00000000" w:rsidR="00000000" w:rsidRPr="00000000">
        <w:rPr>
          <w:rFonts w:ascii="Palatino" w:cs="Palatino" w:eastAsia="Palatino" w:hAnsi="Palatino"/>
          <w:b w:val="0"/>
          <w:i w:val="1"/>
          <w:smallCaps w:val="0"/>
          <w:strike w:val="0"/>
          <w:color w:val="000000"/>
          <w:sz w:val="22"/>
          <w:szCs w:val="22"/>
          <w:u w:val="none"/>
          <w:shd w:fill="auto" w:val="clear"/>
          <w:vertAlign w:val="baseline"/>
          <w:rtl w:val="0"/>
        </w:rPr>
        <w:t xml:space="preserve">inter alia</w:t>
      </w: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 defining and differentiating types or intensities of underwater noise by source; combining acoustic mapping with habitat mapping of sound-sensitive species in spatial risk assessments; using spatio-temporal management based on knowledge of species distribution patterns in relation to noise; conducting impact assessments (para 3). Decision XIII/10 (2016) takes note of the updated report ‘Scientific synthesis of the impacts of underwater noise on marine and coastal biodiversity and habitats’ and invites Parties, other Governments and relevant organisations to use this information (para 1). </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Palatino" w:cs="Palatino" w:eastAsia="Palatino" w:hAnsi="Palatino"/>
          <w:b w:val="0"/>
          <w:i w:val="0"/>
          <w:smallCaps w:val="0"/>
          <w:strike w:val="0"/>
          <w:color w:val="000000"/>
          <w:sz w:val="22"/>
          <w:szCs w:val="22"/>
          <w:highlight w:val="white"/>
          <w:u w:val="none"/>
          <w:vertAlign w:val="baseline"/>
        </w:rPr>
      </w:pP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Marine pollution (Target 7) on marine debris: </w:t>
      </w:r>
      <w:r w:rsidDel="00000000" w:rsidR="00000000" w:rsidRPr="00000000">
        <w:rPr>
          <w:rFonts w:ascii="Palatino" w:cs="Palatino" w:eastAsia="Palatino" w:hAnsi="Palatino"/>
          <w:b w:val="0"/>
          <w:i w:val="0"/>
          <w:smallCaps w:val="0"/>
          <w:strike w:val="0"/>
          <w:color w:val="000000"/>
          <w:sz w:val="22"/>
          <w:szCs w:val="22"/>
          <w:highlight w:val="white"/>
          <w:u w:val="none"/>
          <w:vertAlign w:val="baseline"/>
          <w:rtl w:val="0"/>
        </w:rPr>
        <w:t xml:space="preserve">Decision XIII/10 took note of the Voluntary practical guidance on preventing and mitigating the impacts of marine debris on marine and coastal biodiversity and habitats present in the annex of the decision (para 5). It urges Parties and encourages other Governments, relevant organisations and other actors to prevent and mitigate the potential adverse impacts of marine debris on marine and coastal biodiversity and habitats, taking into account the Voluntary practical guidance (para 6).</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spacing w:line="360" w:lineRule="auto"/>
        <w:jc w:val="both"/>
        <w:rPr>
          <w:rFonts w:ascii="Palatino" w:cs="Palatino" w:eastAsia="Palatino" w:hAnsi="Palatino"/>
          <w:sz w:val="22"/>
          <w:szCs w:val="22"/>
        </w:rPr>
      </w:pPr>
      <w:r w:rsidDel="00000000" w:rsidR="00000000" w:rsidRPr="00000000">
        <w:rPr>
          <w:rtl w:val="0"/>
        </w:rPr>
      </w:r>
    </w:p>
    <w:p w:rsidR="00000000" w:rsidDel="00000000" w:rsidP="00000000" w:rsidRDefault="00000000" w:rsidRPr="00000000" w14:paraId="00000010">
      <w:pPr>
        <w:spacing w:line="360" w:lineRule="auto"/>
        <w:jc w:val="both"/>
        <w:rPr>
          <w:rFonts w:ascii="Palatino" w:cs="Palatino" w:eastAsia="Palatino" w:hAnsi="Palatino"/>
          <w:sz w:val="22"/>
          <w:szCs w:val="22"/>
        </w:rPr>
      </w:pPr>
      <w:r w:rsidDel="00000000" w:rsidR="00000000" w:rsidRPr="00000000">
        <w:rPr>
          <w:rFonts w:ascii="Palatino" w:cs="Palatino" w:eastAsia="Palatino" w:hAnsi="Palatino"/>
          <w:sz w:val="22"/>
          <w:szCs w:val="22"/>
          <w:rtl w:val="0"/>
        </w:rPr>
        <w:t xml:space="preserve">Implementation at the national, regional and global levels (where appropriate) of these instruments would constitute an important way to monitor progress towards several GBF targets with respect to the marine environment.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294"/>
        <w:jc w:val="both"/>
        <w:rPr>
          <w:rFonts w:ascii="Palatino" w:cs="Palatino" w:eastAsia="Palatino" w:hAnsi="Palatino"/>
          <w:b w:val="1"/>
          <w:i w:val="0"/>
          <w:smallCaps w:val="0"/>
          <w:strike w:val="0"/>
          <w:color w:val="000000"/>
          <w:sz w:val="22"/>
          <w:szCs w:val="22"/>
          <w:u w:val="none"/>
          <w:shd w:fill="auto" w:val="clear"/>
          <w:vertAlign w:val="baseline"/>
        </w:rPr>
      </w:pP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br w:type="textWrapping"/>
      </w:r>
      <w:r w:rsidDel="00000000" w:rsidR="00000000" w:rsidRPr="00000000">
        <w:rPr>
          <w:rFonts w:ascii="Palatino" w:cs="Palatino" w:eastAsia="Palatino" w:hAnsi="Palatino"/>
          <w:b w:val="1"/>
          <w:i w:val="0"/>
          <w:smallCaps w:val="0"/>
          <w:strike w:val="0"/>
          <w:color w:val="000000"/>
          <w:sz w:val="22"/>
          <w:szCs w:val="22"/>
          <w:u w:val="none"/>
          <w:shd w:fill="auto" w:val="clear"/>
          <w:vertAlign w:val="baseline"/>
          <w:rtl w:val="0"/>
        </w:rPr>
        <w:t xml:space="preserve">2. Should the headline indicators capture marine elements for each target, or only some targets?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Headline indicators should capture marine elements for at least most of the targets. Some targets are cross-cutting (especially those under Goal D), but it will still be important to measure progress towards those with respect to the marine environment.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Palatino" w:cs="Palatino" w:eastAsia="Palatino" w:hAnsi="Palatino"/>
          <w:b w:val="1"/>
          <w:i w:val="0"/>
          <w:smallCaps w:val="0"/>
          <w:strike w:val="0"/>
          <w:color w:val="000000"/>
          <w:sz w:val="22"/>
          <w:szCs w:val="22"/>
          <w:u w:val="none"/>
          <w:shd w:fill="auto" w:val="clear"/>
          <w:vertAlign w:val="baseline"/>
        </w:rPr>
      </w:pP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br w:type="textWrapping"/>
      </w:r>
      <w:r w:rsidDel="00000000" w:rsidR="00000000" w:rsidRPr="00000000">
        <w:rPr>
          <w:rFonts w:ascii="Palatino" w:cs="Palatino" w:eastAsia="Palatino" w:hAnsi="Palatino"/>
          <w:b w:val="1"/>
          <w:i w:val="0"/>
          <w:smallCaps w:val="0"/>
          <w:strike w:val="0"/>
          <w:color w:val="000000"/>
          <w:sz w:val="22"/>
          <w:szCs w:val="22"/>
          <w:u w:val="none"/>
          <w:shd w:fill="auto" w:val="clear"/>
          <w:vertAlign w:val="baseline"/>
          <w:rtl w:val="0"/>
        </w:rPr>
        <w:t xml:space="preserve">3. Are there binary indicators that could be used for marine elements of the framework?</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Yes, all binary indicators should be applicable to the marine environment.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Palatino" w:cs="Palatino" w:eastAsia="Palatino" w:hAnsi="Palatino"/>
          <w:b w:val="1"/>
          <w:i w:val="0"/>
          <w:smallCaps w:val="0"/>
          <w:strike w:val="0"/>
          <w:color w:val="000000"/>
          <w:sz w:val="22"/>
          <w:szCs w:val="22"/>
          <w:u w:val="none"/>
          <w:shd w:fill="auto" w:val="clear"/>
          <w:vertAlign w:val="baseline"/>
        </w:rPr>
      </w:pP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br w:type="textWrapping"/>
      </w:r>
      <w:r w:rsidDel="00000000" w:rsidR="00000000" w:rsidRPr="00000000">
        <w:rPr>
          <w:rFonts w:ascii="Palatino" w:cs="Palatino" w:eastAsia="Palatino" w:hAnsi="Palatino"/>
          <w:b w:val="1"/>
          <w:i w:val="0"/>
          <w:smallCaps w:val="0"/>
          <w:strike w:val="0"/>
          <w:color w:val="000000"/>
          <w:sz w:val="22"/>
          <w:szCs w:val="22"/>
          <w:u w:val="none"/>
          <w:shd w:fill="auto" w:val="clear"/>
          <w:vertAlign w:val="baseline"/>
          <w:rtl w:val="0"/>
        </w:rPr>
        <w:t xml:space="preserve">4. Are there opportunities to coordinate monitoring activities across regions, and should this be considered in the monitoring framework development (e.g. through Regional Seas groups)?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The Sustainable Ocean Initiative (SOI), especially the SOI Global Dialogue process provides a sound platform for regional and cross-regional cooperation. However, it is an informal process – which adds valuable outputs to the current landscape of formalised processes (e.g. UNEP RSOs meetings, FAO RFBs meetings, OSPAR-NEAFC + Collective Arrangement meetings, among others. For the purposes of measuring progress, however, a more formalised avenue for sharing of information from (and across) regions would be advisable. This could be adopted by a COP decision at COP 16. The current framework already recognises the role of regions in implementing the GBF. A formalised process for collecting and assessing such contributions would be beneficial to the monitoring framework as a whole and equally, it would serve as a platform to share best practices across regions and global processes.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It would </w:t>
      </w:r>
      <w:r w:rsidDel="00000000" w:rsidR="00000000" w:rsidRPr="00000000">
        <w:rPr>
          <w:rFonts w:ascii="Palatino" w:cs="Palatino" w:eastAsia="Palatino" w:hAnsi="Palatino"/>
          <w:sz w:val="22"/>
          <w:szCs w:val="22"/>
          <w:rtl w:val="0"/>
        </w:rPr>
        <w:t xml:space="preserve">therefore be</w:t>
      </w: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 advisable that COP 16 invites regional and other global competent bodies to share information on how they are planning to implement the GBF targets, and on the actions they have been already undertaking that could contribute to such implementation.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Palatino" w:cs="Palatino" w:eastAsia="Palatino" w:hAnsi="Palatino"/>
          <w:b w:val="1"/>
          <w:i w:val="0"/>
          <w:smallCaps w:val="0"/>
          <w:strike w:val="0"/>
          <w:color w:val="000000"/>
          <w:sz w:val="22"/>
          <w:szCs w:val="22"/>
          <w:u w:val="none"/>
          <w:shd w:fill="auto" w:val="clear"/>
          <w:vertAlign w:val="baseline"/>
        </w:rPr>
      </w:pPr>
      <w:r w:rsidDel="00000000" w:rsidR="00000000" w:rsidRPr="00000000">
        <w:rPr>
          <w:rFonts w:ascii="Palatino" w:cs="Palatino" w:eastAsia="Palatino" w:hAnsi="Palatino"/>
          <w:b w:val="1"/>
          <w:i w:val="0"/>
          <w:smallCaps w:val="0"/>
          <w:strike w:val="0"/>
          <w:color w:val="000000"/>
          <w:sz w:val="22"/>
          <w:szCs w:val="22"/>
          <w:u w:val="none"/>
          <w:shd w:fill="auto" w:val="clear"/>
          <w:vertAlign w:val="baseline"/>
          <w:rtl w:val="0"/>
        </w:rPr>
        <w:t xml:space="preserve">Other considerations: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Palatino" w:cs="Palatino" w:eastAsia="Palatino" w:hAnsi="Palatino"/>
          <w:b w:val="0"/>
          <w:i w:val="0"/>
          <w:smallCaps w:val="0"/>
          <w:strike w:val="0"/>
          <w:color w:val="000000"/>
          <w:sz w:val="22"/>
          <w:szCs w:val="22"/>
          <w:u w:val="none"/>
          <w:shd w:fill="auto" w:val="clear"/>
          <w:vertAlign w:val="baseline"/>
        </w:rPr>
      </w:pPr>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With respect to Target 3, it would be advisable to procedurally ensure that submissions of OECMs to the WCMC’s OECM database be based on a template/pro-forma based on the criteria and sub-criteria contained in Annex III of decision 14/8 (2018). The completed pro-formas contained in the </w:t>
      </w:r>
      <w:hyperlink r:id="rId7">
        <w:r w:rsidDel="00000000" w:rsidR="00000000" w:rsidRPr="00000000">
          <w:rPr>
            <w:rFonts w:ascii="Palatino" w:cs="Palatino" w:eastAsia="Palatino" w:hAnsi="Palatino"/>
            <w:b w:val="0"/>
            <w:i w:val="0"/>
            <w:smallCaps w:val="0"/>
            <w:strike w:val="0"/>
            <w:color w:val="0563c1"/>
            <w:sz w:val="22"/>
            <w:szCs w:val="22"/>
            <w:u w:val="single"/>
            <w:shd w:fill="auto" w:val="clear"/>
            <w:vertAlign w:val="baseline"/>
            <w:rtl w:val="0"/>
          </w:rPr>
          <w:t xml:space="preserve">report of the ICES WKTOPS</w:t>
        </w:r>
      </w:hyperlink>
      <w:r w:rsidDel="00000000" w:rsidR="00000000" w:rsidRPr="00000000">
        <w:rPr>
          <w:rFonts w:ascii="Palatino" w:cs="Palatino" w:eastAsia="Palatino" w:hAnsi="Palatino"/>
          <w:b w:val="0"/>
          <w:i w:val="0"/>
          <w:smallCaps w:val="0"/>
          <w:strike w:val="0"/>
          <w:color w:val="000000"/>
          <w:sz w:val="22"/>
          <w:szCs w:val="22"/>
          <w:u w:val="none"/>
          <w:shd w:fill="auto" w:val="clear"/>
          <w:vertAlign w:val="baseline"/>
          <w:rtl w:val="0"/>
        </w:rPr>
        <w:t xml:space="preserve"> could provide some insights on minimum standards for inclusion of such information in the WCMC database. </w:t>
      </w:r>
    </w:p>
    <w:sectPr>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Palatino">
    <w:altName w:val="Book Antiqua"/>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6B2656"/>
    <w:pPr>
      <w:ind w:left="720"/>
      <w:contextualSpacing w:val="1"/>
    </w:pPr>
  </w:style>
  <w:style w:type="character" w:styleId="Hyperlink">
    <w:name w:val="Hyperlink"/>
    <w:basedOn w:val="DefaultParagraphFont"/>
    <w:uiPriority w:val="99"/>
    <w:unhideWhenUsed w:val="1"/>
    <w:rsid w:val="000E0809"/>
    <w:rPr>
      <w:color w:val="0563c1" w:themeColor="hyperlink"/>
      <w:u w:val="single"/>
    </w:rPr>
  </w:style>
  <w:style w:type="character" w:styleId="UnresolvedMention">
    <w:name w:val="Unresolved Mention"/>
    <w:basedOn w:val="DefaultParagraphFont"/>
    <w:uiPriority w:val="99"/>
    <w:semiHidden w:val="1"/>
    <w:unhideWhenUsed w:val="1"/>
    <w:rsid w:val="000E0809"/>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ces-library.figshare.com/articles/report/ICES_IUCN-CEM_FEG_Workshop_on_Testing_OECM_Practices_and_Strategies_WKTOPS_/1862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63v3EU0+4TnxE0N0Vh7oKpvjqA==">CgMxLjA4AHIhMVJ3VWx4N1ZueHJ1SU1PTkhQMlFDTkZlTk85WlVYREth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2023-08-18T14:45:00Z</dcterms:created>
  <dc:creator>Diz, Daniela</dc:creator>
</cp:coreProperties>
</file>