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B9BF" w14:textId="4067FB0E" w:rsidR="00731A6D" w:rsidRPr="00E865E4" w:rsidRDefault="00520AC9" w:rsidP="00E865E4">
      <w:pPr>
        <w:kinsoku w:val="0"/>
        <w:overflowPunct w:val="0"/>
        <w:autoSpaceDE w:val="0"/>
        <w:autoSpaceDN w:val="0"/>
        <w:snapToGrid w:val="0"/>
        <w:spacing w:before="120" w:after="240" w:line="240" w:lineRule="auto"/>
        <w:ind w:left="284" w:right="248"/>
        <w:jc w:val="center"/>
        <w:rPr>
          <w:rFonts w:ascii="Times New Roman" w:eastAsia="Times New Roman" w:hAnsi="Times New Roman" w:cs="Times New Roman"/>
          <w:b/>
          <w:caps/>
          <w:kern w:val="22"/>
          <w:sz w:val="22"/>
          <w:szCs w:val="22"/>
          <w:lang w:val="en-GB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22"/>
          <w:sz w:val="22"/>
          <w:szCs w:val="22"/>
          <w:lang w:val="en-GB" w:eastAsia="en-US"/>
          <w14:ligatures w14:val="none"/>
        </w:rPr>
        <w:t xml:space="preserve">ELEMENTS FOR THE </w:t>
      </w:r>
      <w:r w:rsidR="001A7F8B" w:rsidRPr="001077EA">
        <w:rPr>
          <w:rFonts w:ascii="Times New Roman" w:eastAsia="Times New Roman" w:hAnsi="Times New Roman" w:cs="Times New Roman"/>
          <w:b/>
          <w:caps/>
          <w:kern w:val="22"/>
          <w:sz w:val="22"/>
          <w:szCs w:val="22"/>
          <w:lang w:val="en-GB" w:eastAsia="en-US"/>
          <w14:ligatures w14:val="none"/>
        </w:rPr>
        <w:t xml:space="preserve">independent evaluation of the long-term strategic framework </w:t>
      </w:r>
      <w:r w:rsidR="00004567">
        <w:rPr>
          <w:rFonts w:ascii="Times New Roman" w:eastAsia="Times New Roman" w:hAnsi="Times New Roman" w:cs="Times New Roman"/>
          <w:b/>
          <w:caps/>
          <w:kern w:val="22"/>
          <w:sz w:val="22"/>
          <w:szCs w:val="22"/>
          <w:lang w:val="en-GB" w:eastAsia="en-US"/>
          <w14:ligatures w14:val="none"/>
        </w:rPr>
        <w:t>FOR</w:t>
      </w:r>
      <w:r w:rsidR="001A7F8B" w:rsidRPr="001077EA">
        <w:rPr>
          <w:rFonts w:ascii="Times New Roman" w:eastAsia="Times New Roman" w:hAnsi="Times New Roman" w:cs="Times New Roman"/>
          <w:b/>
          <w:caps/>
          <w:kern w:val="22"/>
          <w:sz w:val="22"/>
          <w:szCs w:val="22"/>
          <w:lang w:val="en-GB" w:eastAsia="en-US"/>
          <w14:ligatures w14:val="none"/>
        </w:rPr>
        <w:t xml:space="preserve"> capacity-</w:t>
      </w:r>
      <w:r w:rsidR="00867D8F" w:rsidRPr="001077EA">
        <w:rPr>
          <w:rFonts w:ascii="Times New Roman" w:eastAsia="Times New Roman" w:hAnsi="Times New Roman" w:cs="Times New Roman"/>
          <w:b/>
          <w:caps/>
          <w:kern w:val="22"/>
          <w:sz w:val="22"/>
          <w:szCs w:val="22"/>
          <w:lang w:val="en-GB" w:eastAsia="en-US"/>
          <w14:ligatures w14:val="none"/>
        </w:rPr>
        <w:t>building</w:t>
      </w:r>
      <w:r w:rsidR="001A7F8B" w:rsidRPr="001077EA">
        <w:rPr>
          <w:rFonts w:ascii="Times New Roman" w:eastAsia="Times New Roman" w:hAnsi="Times New Roman" w:cs="Times New Roman"/>
          <w:b/>
          <w:caps/>
          <w:kern w:val="22"/>
          <w:sz w:val="22"/>
          <w:szCs w:val="22"/>
          <w:lang w:val="en-GB" w:eastAsia="en-US"/>
          <w14:ligatures w14:val="none"/>
        </w:rPr>
        <w:t xml:space="preserve"> and development and the technical and scientific cooperation mechanism</w:t>
      </w:r>
    </w:p>
    <w:p w14:paraId="41AACEB1" w14:textId="0C74BFB2" w:rsidR="00731A6D" w:rsidRDefault="00731A6D" w:rsidP="002E0052">
      <w:pPr>
        <w:pStyle w:val="Heading1"/>
        <w:keepLines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kinsoku w:val="0"/>
        <w:overflowPunct w:val="0"/>
        <w:autoSpaceDE w:val="0"/>
        <w:autoSpaceDN w:val="0"/>
        <w:snapToGrid w:val="0"/>
        <w:spacing w:before="120" w:after="120" w:line="240" w:lineRule="auto"/>
        <w:jc w:val="center"/>
      </w:pPr>
      <w:r w:rsidRPr="008F249D">
        <w:rPr>
          <w:rFonts w:ascii="Times New Roman" w:eastAsia="Arial Unicode MS" w:hAnsi="Times New Roman" w:cs="Times New Roman"/>
          <w:b/>
          <w:bCs/>
          <w:caps/>
          <w:snapToGrid w:val="0"/>
          <w:color w:val="000000"/>
          <w:kern w:val="22"/>
          <w:sz w:val="22"/>
          <w:szCs w:val="22"/>
          <w:u w:color="000000"/>
          <w:bdr w:val="nil"/>
          <w:lang w:val="en-GB" w:eastAsia="en-US"/>
          <w14:ligatures w14:val="none"/>
        </w:rPr>
        <w:t>Background</w:t>
      </w:r>
    </w:p>
    <w:p w14:paraId="2D4783F0" w14:textId="1BC4A0AE" w:rsidR="00731A6D" w:rsidRDefault="003D011E" w:rsidP="00F12FA4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>
        <w:t xml:space="preserve">At its </w:t>
      </w:r>
      <w:r w:rsidRPr="006E1B94">
        <w:rPr>
          <w:kern w:val="22"/>
          <w:szCs w:val="22"/>
        </w:rPr>
        <w:t>fifteenth</w:t>
      </w:r>
      <w:r>
        <w:t xml:space="preserve"> meeting</w:t>
      </w:r>
      <w:r w:rsidR="00173E79">
        <w:t>,</w:t>
      </w:r>
      <w:r>
        <w:t xml:space="preserve"> </w:t>
      </w:r>
      <w:r w:rsidR="00F81147">
        <w:t>in decision 15/8</w:t>
      </w:r>
      <w:r w:rsidR="007A1A9F">
        <w:t>,</w:t>
      </w:r>
      <w:r w:rsidR="00F81147">
        <w:t xml:space="preserve"> </w:t>
      </w:r>
      <w:r>
        <w:t>the Conference of the Parties adopted a long</w:t>
      </w:r>
      <w:r w:rsidR="00F12FA4">
        <w:t>-</w:t>
      </w:r>
      <w:r w:rsidR="002A2A66">
        <w:t xml:space="preserve">term strategic framework </w:t>
      </w:r>
      <w:r w:rsidR="00004567">
        <w:t>for</w:t>
      </w:r>
      <w:r w:rsidR="002A2A66">
        <w:t xml:space="preserve"> capacity-building and development</w:t>
      </w:r>
      <w:r w:rsidR="00224C94">
        <w:rPr>
          <w:rStyle w:val="FootnoteReference"/>
        </w:rPr>
        <w:footnoteReference w:id="1"/>
      </w:r>
      <w:r w:rsidR="002A2A66">
        <w:t xml:space="preserve"> to </w:t>
      </w:r>
      <w:r w:rsidR="007919C1" w:rsidRPr="007919C1">
        <w:t xml:space="preserve">support priorities determined by Parties in their national biodiversity strategies and action plans </w:t>
      </w:r>
      <w:r w:rsidR="0092660A">
        <w:t xml:space="preserve">(NBSAPs) </w:t>
      </w:r>
      <w:r w:rsidR="007919C1" w:rsidRPr="007919C1">
        <w:t>for the implementation of the Kunming-Montreal Global Biodiversity Framework</w:t>
      </w:r>
      <w:r w:rsidR="00A04DE5">
        <w:t xml:space="preserve"> (</w:t>
      </w:r>
      <w:r w:rsidR="00F81147">
        <w:t>KMGBF</w:t>
      </w:r>
      <w:r w:rsidR="00A04DE5">
        <w:t xml:space="preserve">). In the same decision, the Conference of the Parties </w:t>
      </w:r>
      <w:r w:rsidR="0087736E">
        <w:t xml:space="preserve">established </w:t>
      </w:r>
      <w:r w:rsidR="002E2605">
        <w:t>a mechanism</w:t>
      </w:r>
      <w:r w:rsidR="00D31374">
        <w:rPr>
          <w:rStyle w:val="FootnoteReference"/>
        </w:rPr>
        <w:footnoteReference w:id="2"/>
      </w:r>
      <w:r w:rsidR="002E2605">
        <w:t xml:space="preserve"> comprising a network of regional and/or subregional </w:t>
      </w:r>
      <w:r w:rsidR="005D1CB7">
        <w:t>technical and scientific cooperation support centres</w:t>
      </w:r>
      <w:r w:rsidR="00E25AED">
        <w:t>,</w:t>
      </w:r>
      <w:r w:rsidR="005D1CB7">
        <w:t xml:space="preserve"> to be coordinated by a global coordination entity</w:t>
      </w:r>
      <w:r w:rsidR="00E25AED">
        <w:t>,</w:t>
      </w:r>
      <w:r w:rsidR="005D1CB7">
        <w:t xml:space="preserve"> </w:t>
      </w:r>
      <w:r w:rsidR="00936C6A" w:rsidRPr="00936C6A">
        <w:t xml:space="preserve">to promote and facilitate cooperation among Parties and relevant organizations to enable them to effectively utilize science, technology and innovation to support the implementation of the </w:t>
      </w:r>
      <w:r w:rsidR="00F81147">
        <w:t>KMGBF</w:t>
      </w:r>
      <w:r w:rsidR="00936C6A" w:rsidRPr="00936C6A">
        <w:t>.</w:t>
      </w:r>
    </w:p>
    <w:p w14:paraId="481A3D0B" w14:textId="2B42B7BF" w:rsidR="00936C6A" w:rsidRDefault="00A87A18" w:rsidP="00F12FA4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>
        <w:t xml:space="preserve">In paragraph </w:t>
      </w:r>
      <w:r w:rsidR="0079313E">
        <w:t>15 (</w:t>
      </w:r>
      <w:r w:rsidR="00E82A13">
        <w:t xml:space="preserve">i) </w:t>
      </w:r>
      <w:r w:rsidR="00622F08">
        <w:t xml:space="preserve">and paragraph 7 of annex II </w:t>
      </w:r>
      <w:r w:rsidR="00E82A13">
        <w:t>of the same decision</w:t>
      </w:r>
      <w:r w:rsidR="00EA618A">
        <w:t xml:space="preserve">, the Executive Secretary was requested to commission </w:t>
      </w:r>
      <w:r w:rsidR="00122566" w:rsidRPr="00122566">
        <w:t>an independent evaluation of the long-term strategic framework for capacity building and development</w:t>
      </w:r>
      <w:r w:rsidR="00874D00">
        <w:t xml:space="preserve"> and </w:t>
      </w:r>
      <w:r w:rsidR="00410F60">
        <w:t>the technical and scientific cooperation mechanism</w:t>
      </w:r>
      <w:r w:rsidR="000D4D56">
        <w:t>,</w:t>
      </w:r>
      <w:r w:rsidR="00410F60">
        <w:t xml:space="preserve"> </w:t>
      </w:r>
      <w:r w:rsidR="00122566" w:rsidRPr="00122566">
        <w:t>in conjunction with the global review of the K</w:t>
      </w:r>
      <w:r w:rsidR="00F81147">
        <w:t>MGBF</w:t>
      </w:r>
      <w:r w:rsidR="00122566" w:rsidRPr="00122566">
        <w:t>, including the means of implementation, and submit a report to facilitate its review by the Subsidiary Body on Implementation and by the Conference of the Parties at its nineteenth meeting</w:t>
      </w:r>
      <w:r w:rsidR="00A97DBE">
        <w:t>.</w:t>
      </w:r>
    </w:p>
    <w:p w14:paraId="151B4D69" w14:textId="2485C7C4" w:rsidR="00A97DBE" w:rsidRDefault="00B12AD7" w:rsidP="00F12FA4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>
        <w:t xml:space="preserve">In paragraph </w:t>
      </w:r>
      <w:r w:rsidR="00492717">
        <w:t>7 of decision 16/3</w:t>
      </w:r>
      <w:r w:rsidR="00C92C5A">
        <w:t xml:space="preserve">, the Conference of the Parties </w:t>
      </w:r>
      <w:r w:rsidR="00144021">
        <w:t>requested</w:t>
      </w:r>
      <w:r w:rsidR="00144021" w:rsidRPr="00144021">
        <w:t xml:space="preserve"> the Informal Advisory Group</w:t>
      </w:r>
      <w:r w:rsidR="00935EFF">
        <w:t xml:space="preserve"> on Technical and Scientific Cooperation</w:t>
      </w:r>
      <w:r w:rsidR="00A30C23">
        <w:t xml:space="preserve"> (IAG)</w:t>
      </w:r>
      <w:r w:rsidR="00144021" w:rsidRPr="00144021">
        <w:t xml:space="preserve"> to prepare terms of reference for the independent evaluation of the relevance and effectiveness of the long-term strategic framework for capacity-building and development and the technical and scientific cooperation mechanism, to be undertaken in 2029 in conjunction with the global review of collective progress in the implementation of the K</w:t>
      </w:r>
      <w:r w:rsidR="00F81147">
        <w:t>MGBF</w:t>
      </w:r>
      <w:r w:rsidR="00144021" w:rsidRPr="00144021">
        <w:t>, using, among other things, the relevant indicators of the monitoring framework for the K</w:t>
      </w:r>
      <w:r w:rsidR="00F81147">
        <w:t>MGBF</w:t>
      </w:r>
      <w:r w:rsidR="00144021" w:rsidRPr="00144021">
        <w:t>,  including those for Target 20, for consideration by the Subsidiary Body on Implementation and by the Conference of the Parties at its seventeenth meeting</w:t>
      </w:r>
      <w:r w:rsidR="00177A18">
        <w:t xml:space="preserve">. </w:t>
      </w:r>
    </w:p>
    <w:p w14:paraId="758F3F10" w14:textId="31102D6B" w:rsidR="00F50F8C" w:rsidRDefault="00F26BFD" w:rsidP="00E865E4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>
        <w:t>The present document provides</w:t>
      </w:r>
      <w:r w:rsidR="003514DC">
        <w:t xml:space="preserve">, </w:t>
      </w:r>
      <w:r w:rsidR="003514DC" w:rsidRPr="003514DC">
        <w:t xml:space="preserve">for </w:t>
      </w:r>
      <w:r w:rsidR="008D34A3">
        <w:t xml:space="preserve">the </w:t>
      </w:r>
      <w:r w:rsidR="003514DC" w:rsidRPr="003514DC">
        <w:t xml:space="preserve">consideration and advice by the </w:t>
      </w:r>
      <w:r w:rsidR="00A30C23">
        <w:t>IAG</w:t>
      </w:r>
      <w:r w:rsidR="008D34A3">
        <w:t>,</w:t>
      </w:r>
      <w:r w:rsidR="003514DC" w:rsidRPr="003514DC">
        <w:t xml:space="preserve"> </w:t>
      </w:r>
      <w:r w:rsidR="00520AC9">
        <w:t xml:space="preserve">suggestions on elements </w:t>
      </w:r>
      <w:r w:rsidR="003514DC">
        <w:t xml:space="preserve">of </w:t>
      </w:r>
      <w:r w:rsidR="00683C14">
        <w:t xml:space="preserve">the terms of reference for the independent evaluation of the </w:t>
      </w:r>
      <w:r w:rsidR="00092589">
        <w:t>relevance</w:t>
      </w:r>
      <w:r w:rsidR="00802025">
        <w:t xml:space="preserve"> and effec</w:t>
      </w:r>
      <w:r w:rsidR="00092589">
        <w:t xml:space="preserve">tiveness </w:t>
      </w:r>
      <w:r w:rsidR="00EB1DB9" w:rsidRPr="00144021">
        <w:t>of the long-term strategic framework for capacity-building and development and the technical and scientific cooperation mechanism</w:t>
      </w:r>
      <w:r w:rsidR="0003486E">
        <w:t xml:space="preserve">. </w:t>
      </w:r>
    </w:p>
    <w:p w14:paraId="3E42A324" w14:textId="5E3F263E" w:rsidR="00B365CB" w:rsidRPr="00A46E98" w:rsidRDefault="002B078A" w:rsidP="00A46E98">
      <w:pPr>
        <w:pStyle w:val="Heading1"/>
        <w:keepLines w:val="0"/>
        <w:pBdr>
          <w:top w:val="nil"/>
          <w:left w:val="nil"/>
          <w:bottom w:val="nil"/>
          <w:right w:val="nil"/>
          <w:between w:val="nil"/>
          <w:bar w:val="nil"/>
        </w:pBdr>
        <w:kinsoku w:val="0"/>
        <w:overflowPunct w:val="0"/>
        <w:autoSpaceDE w:val="0"/>
        <w:autoSpaceDN w:val="0"/>
        <w:snapToGrid w:val="0"/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caps/>
          <w:snapToGrid w:val="0"/>
          <w:color w:val="000000"/>
          <w:kern w:val="22"/>
          <w:sz w:val="22"/>
          <w:szCs w:val="22"/>
          <w:u w:color="000000"/>
          <w:bdr w:val="nil"/>
          <w:lang w:val="en-GB" w:eastAsia="en-US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aps/>
          <w:snapToGrid w:val="0"/>
          <w:color w:val="000000"/>
          <w:kern w:val="22"/>
          <w:sz w:val="22"/>
          <w:szCs w:val="22"/>
          <w:u w:color="000000"/>
          <w:bdr w:val="nil"/>
          <w:lang w:val="en-GB" w:eastAsia="en-US"/>
          <w14:ligatures w14:val="none"/>
        </w:rPr>
        <w:t>b.</w:t>
      </w:r>
      <w:r>
        <w:rPr>
          <w:rFonts w:ascii="Times New Roman" w:eastAsia="Arial Unicode MS" w:hAnsi="Times New Roman" w:cs="Times New Roman"/>
          <w:b/>
          <w:bCs/>
          <w:caps/>
          <w:snapToGrid w:val="0"/>
          <w:color w:val="000000"/>
          <w:kern w:val="22"/>
          <w:sz w:val="22"/>
          <w:szCs w:val="22"/>
          <w:u w:color="000000"/>
          <w:bdr w:val="nil"/>
          <w:lang w:val="en-GB" w:eastAsia="en-US"/>
          <w14:ligatures w14:val="none"/>
        </w:rPr>
        <w:tab/>
      </w:r>
      <w:r w:rsidR="0025042E" w:rsidRPr="00F50F8C">
        <w:rPr>
          <w:rFonts w:ascii="Times New Roman" w:eastAsia="Arial Unicode MS" w:hAnsi="Times New Roman" w:cs="Times New Roman"/>
          <w:b/>
          <w:bCs/>
          <w:caps/>
          <w:snapToGrid w:val="0"/>
          <w:color w:val="000000"/>
          <w:kern w:val="22"/>
          <w:sz w:val="22"/>
          <w:szCs w:val="22"/>
          <w:u w:color="000000"/>
          <w:bdr w:val="nil"/>
          <w:lang w:val="en-GB" w:eastAsia="en-US"/>
          <w14:ligatures w14:val="none"/>
        </w:rPr>
        <w:t>PROPOSAL OF KEY ELEMENTS FOR THE TERMS OF REFE</w:t>
      </w:r>
      <w:r w:rsidR="00A46E98">
        <w:rPr>
          <w:rFonts w:ascii="Times New Roman" w:eastAsia="Arial Unicode MS" w:hAnsi="Times New Roman" w:cs="Times New Roman"/>
          <w:b/>
          <w:bCs/>
          <w:caps/>
          <w:snapToGrid w:val="0"/>
          <w:color w:val="000000"/>
          <w:kern w:val="22"/>
          <w:sz w:val="22"/>
          <w:szCs w:val="22"/>
          <w:u w:color="000000"/>
          <w:bdr w:val="nil"/>
          <w:lang w:val="en-GB" w:eastAsia="en-US"/>
          <w14:ligatures w14:val="none"/>
        </w:rPr>
        <w:t>RE</w:t>
      </w:r>
      <w:r w:rsidR="0025042E" w:rsidRPr="00F50F8C">
        <w:rPr>
          <w:rFonts w:ascii="Times New Roman" w:eastAsia="Arial Unicode MS" w:hAnsi="Times New Roman" w:cs="Times New Roman"/>
          <w:b/>
          <w:bCs/>
          <w:caps/>
          <w:snapToGrid w:val="0"/>
          <w:color w:val="000000"/>
          <w:kern w:val="22"/>
          <w:sz w:val="22"/>
          <w:szCs w:val="22"/>
          <w:u w:color="000000"/>
          <w:bdr w:val="nil"/>
          <w:lang w:val="en-GB" w:eastAsia="en-US"/>
          <w14:ligatures w14:val="none"/>
        </w:rPr>
        <w:t>NCE OF THE INDEPENDENT EVALUATION</w:t>
      </w:r>
    </w:p>
    <w:p w14:paraId="7E2DBC82" w14:textId="294F7DBE" w:rsidR="00112605" w:rsidRDefault="00327BC3" w:rsidP="00B365CB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>
        <w:t>In response to the request made by the Parties in decision 16/3</w:t>
      </w:r>
      <w:r w:rsidR="001B3D11">
        <w:t xml:space="preserve">, the following elements </w:t>
      </w:r>
      <w:r w:rsidR="00BB79E4" w:rsidRPr="00BB79E4">
        <w:t xml:space="preserve">of the terms of reference for the independent evaluation </w:t>
      </w:r>
      <w:r w:rsidR="001B3D11">
        <w:t xml:space="preserve">are proposed for the consideration of the Informal Advisory Group. </w:t>
      </w:r>
      <w:r w:rsidR="00494F64">
        <w:t xml:space="preserve">The elements are </w:t>
      </w:r>
      <w:r w:rsidR="001F5E65">
        <w:t xml:space="preserve">organized into </w:t>
      </w:r>
      <w:r w:rsidR="0013630A">
        <w:t xml:space="preserve">two </w:t>
      </w:r>
      <w:r w:rsidR="00DA53BC">
        <w:t xml:space="preserve">separate </w:t>
      </w:r>
      <w:r w:rsidR="00FA3DB8">
        <w:t>components</w:t>
      </w:r>
      <w:r w:rsidR="009839F7">
        <w:t>:</w:t>
      </w:r>
      <w:r w:rsidR="0038490E" w:rsidRPr="0038490E">
        <w:t xml:space="preserve"> the long-term strategic framework and the technical and scientific cooperation mechanism</w:t>
      </w:r>
      <w:r w:rsidR="009839F7">
        <w:t>.</w:t>
      </w:r>
      <w:r w:rsidR="006C5BF0">
        <w:t xml:space="preserve"> </w:t>
      </w:r>
      <w:r w:rsidR="009839F7">
        <w:t>T</w:t>
      </w:r>
      <w:r w:rsidR="006C5BF0">
        <w:t xml:space="preserve">he proposal is to </w:t>
      </w:r>
      <w:r w:rsidR="001F2E81">
        <w:t>conduct</w:t>
      </w:r>
      <w:r w:rsidR="006C5BF0">
        <w:t xml:space="preserve"> two separate</w:t>
      </w:r>
      <w:r w:rsidR="00FA3DB8">
        <w:t xml:space="preserve"> but interconnected</w:t>
      </w:r>
      <w:r w:rsidR="006C5BF0">
        <w:t xml:space="preserve"> evaluations</w:t>
      </w:r>
      <w:r w:rsidR="00AC1D04">
        <w:t xml:space="preserve">. Each component </w:t>
      </w:r>
      <w:r w:rsidR="002652B6">
        <w:t>proposes objectives, scope, methodology and sources of information to be used in the evaluation.</w:t>
      </w:r>
    </w:p>
    <w:p w14:paraId="34E729A2" w14:textId="69C5360E" w:rsidR="00250D06" w:rsidRPr="00B365CB" w:rsidRDefault="00437A65" w:rsidP="00B365CB">
      <w:pPr>
        <w:pStyle w:val="Para1"/>
        <w:numPr>
          <w:ilvl w:val="0"/>
          <w:numId w:val="2"/>
        </w:numPr>
        <w:suppressLineNumbers/>
        <w:suppressAutoHyphens/>
        <w:kinsoku w:val="0"/>
        <w:overflowPunct w:val="0"/>
        <w:autoSpaceDE w:val="0"/>
        <w:autoSpaceDN w:val="0"/>
        <w:snapToGrid w:val="0"/>
        <w:jc w:val="center"/>
        <w:rPr>
          <w:b/>
          <w:kern w:val="22"/>
          <w:szCs w:val="22"/>
        </w:rPr>
      </w:pPr>
      <w:r>
        <w:rPr>
          <w:b/>
          <w:kern w:val="22"/>
          <w:szCs w:val="22"/>
        </w:rPr>
        <w:t>Evaluation of the l</w:t>
      </w:r>
      <w:r w:rsidR="00112605">
        <w:rPr>
          <w:b/>
          <w:kern w:val="22"/>
          <w:szCs w:val="22"/>
        </w:rPr>
        <w:t xml:space="preserve">ong-term strategic </w:t>
      </w:r>
      <w:r w:rsidR="00004567">
        <w:rPr>
          <w:b/>
          <w:kern w:val="22"/>
          <w:szCs w:val="22"/>
        </w:rPr>
        <w:t>framework</w:t>
      </w:r>
      <w:r w:rsidR="00112605">
        <w:rPr>
          <w:b/>
          <w:kern w:val="22"/>
          <w:szCs w:val="22"/>
        </w:rPr>
        <w:t xml:space="preserve"> for c</w:t>
      </w:r>
      <w:r w:rsidR="005167A3">
        <w:rPr>
          <w:b/>
          <w:kern w:val="22"/>
          <w:szCs w:val="22"/>
        </w:rPr>
        <w:t>apacity-building and development</w:t>
      </w:r>
      <w:r w:rsidR="00D2645E">
        <w:rPr>
          <w:b/>
          <w:kern w:val="22"/>
          <w:szCs w:val="22"/>
        </w:rPr>
        <w:t xml:space="preserve"> </w:t>
      </w:r>
    </w:p>
    <w:p w14:paraId="39D1C302" w14:textId="13584113" w:rsidR="005167A3" w:rsidRPr="00250D06" w:rsidRDefault="001F0A80" w:rsidP="00250D06">
      <w:pPr>
        <w:pStyle w:val="ListParagraph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napToGrid w:val="0"/>
          <w:kern w:val="22"/>
          <w:sz w:val="22"/>
          <w:szCs w:val="22"/>
          <w:lang w:val="en-GB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22"/>
          <w:sz w:val="22"/>
          <w:szCs w:val="22"/>
          <w:lang w:val="en-GB" w:eastAsia="en-US"/>
          <w14:ligatures w14:val="none"/>
        </w:rPr>
        <w:lastRenderedPageBreak/>
        <w:t>S</w:t>
      </w:r>
      <w:r w:rsidR="00250D06" w:rsidRPr="00250D06">
        <w:rPr>
          <w:rFonts w:ascii="Times New Roman" w:eastAsia="Times New Roman" w:hAnsi="Times New Roman" w:cs="Times New Roman"/>
          <w:b/>
          <w:snapToGrid w:val="0"/>
          <w:kern w:val="22"/>
          <w:sz w:val="22"/>
          <w:szCs w:val="22"/>
          <w:lang w:val="en-GB" w:eastAsia="en-US"/>
          <w14:ligatures w14:val="none"/>
        </w:rPr>
        <w:t>cope and objectives of the evaluation</w:t>
      </w:r>
    </w:p>
    <w:p w14:paraId="03F08295" w14:textId="77777777" w:rsidR="00B44672" w:rsidRDefault="001D4AE1" w:rsidP="00845550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 w:rsidRPr="001D4AE1">
        <w:t>In</w:t>
      </w:r>
      <w:r>
        <w:t xml:space="preserve"> accordance with</w:t>
      </w:r>
      <w:r w:rsidRPr="001D4AE1">
        <w:t xml:space="preserve"> paragraph 7 of decision 16/3</w:t>
      </w:r>
      <w:r>
        <w:t xml:space="preserve">, </w:t>
      </w:r>
      <w:r w:rsidR="007F284F">
        <w:t>the e</w:t>
      </w:r>
      <w:r w:rsidR="00E20432">
        <w:t xml:space="preserve">xercise </w:t>
      </w:r>
      <w:r w:rsidR="008349A5">
        <w:t xml:space="preserve">will </w:t>
      </w:r>
      <w:r w:rsidR="00E20432">
        <w:t>focus on</w:t>
      </w:r>
      <w:r w:rsidR="00EB1BD9">
        <w:t>: 1.</w:t>
      </w:r>
      <w:r w:rsidR="00E20432">
        <w:t xml:space="preserve"> evaluating the relevance and effectiveness of the </w:t>
      </w:r>
      <w:r w:rsidR="0051706A">
        <w:t>long-term strategic framework</w:t>
      </w:r>
      <w:r w:rsidR="00F47C4D">
        <w:t xml:space="preserve"> in guiding the capacity-building and development efforts of government and non-government actors</w:t>
      </w:r>
      <w:r w:rsidR="007A076C">
        <w:t>,</w:t>
      </w:r>
      <w:r w:rsidR="00F47C4D">
        <w:t xml:space="preserve"> including indigenous peoples and local communities</w:t>
      </w:r>
      <w:r w:rsidR="007A076C">
        <w:t>,</w:t>
      </w:r>
      <w:r w:rsidR="00F47C4D">
        <w:t xml:space="preserve"> </w:t>
      </w:r>
      <w:r w:rsidR="002A019B" w:rsidRPr="002A019B">
        <w:t xml:space="preserve">in support of priorities determined by Parties in their </w:t>
      </w:r>
      <w:r w:rsidR="00712F31">
        <w:t>NBSAPs</w:t>
      </w:r>
      <w:r w:rsidR="002A019B" w:rsidRPr="002A019B">
        <w:t xml:space="preserve"> for the implementation of the K</w:t>
      </w:r>
      <w:r w:rsidR="00BE2CD4">
        <w:t>MGBF</w:t>
      </w:r>
      <w:r w:rsidR="00EB1BD9">
        <w:t>;</w:t>
      </w:r>
      <w:r w:rsidR="005C36F3">
        <w:t xml:space="preserve"> and </w:t>
      </w:r>
      <w:r w:rsidR="00EB1BD9">
        <w:t xml:space="preserve">2. </w:t>
      </w:r>
      <w:r w:rsidR="005C36F3">
        <w:t xml:space="preserve">offering recommendations that could be useful for </w:t>
      </w:r>
      <w:r w:rsidR="008B1EDD">
        <w:t>a possible revision post 2030</w:t>
      </w:r>
      <w:r w:rsidR="002A019B">
        <w:t>.</w:t>
      </w:r>
      <w:r w:rsidR="007079D6">
        <w:t xml:space="preserve"> </w:t>
      </w:r>
    </w:p>
    <w:p w14:paraId="0CAFBB6F" w14:textId="4BC5F262" w:rsidR="00D248BE" w:rsidRDefault="00A52D82" w:rsidP="00845550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>
        <w:t xml:space="preserve">The evaluation will </w:t>
      </w:r>
      <w:r w:rsidR="008D6EA0">
        <w:t xml:space="preserve">assess </w:t>
      </w:r>
      <w:r w:rsidR="00B4569E">
        <w:t>how</w:t>
      </w:r>
      <w:r w:rsidR="002302AC">
        <w:t xml:space="preserve"> the guidance </w:t>
      </w:r>
      <w:r w:rsidR="00F91C30">
        <w:t xml:space="preserve">contained in </w:t>
      </w:r>
      <w:r w:rsidR="002302AC">
        <w:t xml:space="preserve">the </w:t>
      </w:r>
      <w:r w:rsidR="008D6EA0">
        <w:t xml:space="preserve">long-term strategic framework </w:t>
      </w:r>
      <w:r w:rsidR="002302AC">
        <w:t>has been us</w:t>
      </w:r>
      <w:r w:rsidR="001D6768">
        <w:t>ed</w:t>
      </w:r>
      <w:r w:rsidR="00B56FBD">
        <w:t xml:space="preserve"> by Parties </w:t>
      </w:r>
      <w:r w:rsidR="00486F2B">
        <w:t>and non</w:t>
      </w:r>
      <w:r w:rsidR="00070AB9" w:rsidRPr="00070AB9">
        <w:t>-government actors</w:t>
      </w:r>
      <w:r w:rsidR="00BF5F04">
        <w:t>,</w:t>
      </w:r>
      <w:r w:rsidR="00537FB7">
        <w:t xml:space="preserve"> and</w:t>
      </w:r>
      <w:r w:rsidR="004F1F45">
        <w:t xml:space="preserve"> whether th</w:t>
      </w:r>
      <w:r w:rsidR="0023595E">
        <w:t>is</w:t>
      </w:r>
      <w:r w:rsidR="00670E81">
        <w:t xml:space="preserve"> guidance</w:t>
      </w:r>
      <w:r w:rsidR="004F1F45">
        <w:t xml:space="preserve"> has helped to </w:t>
      </w:r>
      <w:r w:rsidR="00B43DE2">
        <w:t>institutionalize</w:t>
      </w:r>
      <w:r w:rsidR="008F58AA" w:rsidRPr="008F58AA">
        <w:t xml:space="preserve"> capacity</w:t>
      </w:r>
      <w:r w:rsidR="009A3016">
        <w:t>-</w:t>
      </w:r>
      <w:r w:rsidR="008F58AA" w:rsidRPr="008F58AA">
        <w:t>building and development</w:t>
      </w:r>
      <w:r w:rsidR="001615BC">
        <w:t xml:space="preserve"> as part of NBSAP implementation</w:t>
      </w:r>
      <w:r w:rsidR="00537FB7">
        <w:t>,</w:t>
      </w:r>
      <w:r w:rsidR="008F58AA" w:rsidRPr="008F58AA">
        <w:t xml:space="preserve"> </w:t>
      </w:r>
      <w:r w:rsidR="00862EB5">
        <w:t>while</w:t>
      </w:r>
      <w:r w:rsidR="008F58AA" w:rsidRPr="008F58AA">
        <w:t xml:space="preserve"> promot</w:t>
      </w:r>
      <w:r w:rsidR="00862EB5">
        <w:t>ing</w:t>
      </w:r>
      <w:r w:rsidR="008F58AA" w:rsidRPr="008F58AA">
        <w:t xml:space="preserve"> coheren</w:t>
      </w:r>
      <w:r w:rsidR="00862EB5">
        <w:t>t</w:t>
      </w:r>
      <w:r w:rsidR="008F58AA" w:rsidRPr="008F58AA">
        <w:t>, efficie</w:t>
      </w:r>
      <w:r w:rsidR="00862EB5">
        <w:t>nt</w:t>
      </w:r>
      <w:r w:rsidR="008F58AA" w:rsidRPr="008F58AA">
        <w:t xml:space="preserve"> and effective capacity</w:t>
      </w:r>
      <w:r w:rsidR="009A3016">
        <w:t>-</w:t>
      </w:r>
      <w:r w:rsidR="008F58AA" w:rsidRPr="008F58AA">
        <w:t>building and development efforts.</w:t>
      </w:r>
    </w:p>
    <w:p w14:paraId="3C121AFE" w14:textId="2EADF480" w:rsidR="00B63E7D" w:rsidRDefault="00B63E7D" w:rsidP="00845550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>
        <w:t>The</w:t>
      </w:r>
      <w:r w:rsidR="00A2134B">
        <w:t xml:space="preserve"> specific objectives of the evaluation will be to:</w:t>
      </w:r>
    </w:p>
    <w:p w14:paraId="51C91547" w14:textId="2A19D6E2" w:rsidR="00A2134B" w:rsidRDefault="00A2134B" w:rsidP="00A2134B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>
        <w:t xml:space="preserve">Take stock and </w:t>
      </w:r>
      <w:r w:rsidR="00883F24">
        <w:t xml:space="preserve">determine how the guidance </w:t>
      </w:r>
      <w:r w:rsidR="00CF3186">
        <w:t>of the long-term strategic framework has been used</w:t>
      </w:r>
      <w:r w:rsidR="00835B64">
        <w:t xml:space="preserve"> and whether </w:t>
      </w:r>
      <w:r w:rsidR="00D60DC8">
        <w:t>its</w:t>
      </w:r>
      <w:r w:rsidR="00835B64">
        <w:t xml:space="preserve"> strategies</w:t>
      </w:r>
      <w:r w:rsidR="00DB6323">
        <w:t xml:space="preserve">, </w:t>
      </w:r>
      <w:r w:rsidR="00835B64">
        <w:t>approaches</w:t>
      </w:r>
      <w:r w:rsidR="00DB6323">
        <w:t xml:space="preserve"> and implementation mechanisms</w:t>
      </w:r>
      <w:r w:rsidR="00835B64">
        <w:t xml:space="preserve"> have been </w:t>
      </w:r>
      <w:proofErr w:type="gramStart"/>
      <w:r w:rsidR="00835B64">
        <w:t>employed</w:t>
      </w:r>
      <w:r w:rsidR="00CF3186">
        <w:t>;</w:t>
      </w:r>
      <w:proofErr w:type="gramEnd"/>
    </w:p>
    <w:p w14:paraId="526D6FF5" w14:textId="6DC55D9B" w:rsidR="00CF3186" w:rsidRDefault="00C45EC7" w:rsidP="00A2134B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>
        <w:t>R</w:t>
      </w:r>
      <w:r w:rsidR="00CF3186">
        <w:t xml:space="preserve">eview </w:t>
      </w:r>
      <w:r w:rsidR="00495919">
        <w:t>the relevance and effectiveness of the long-term strategic framework in guiding capacity-building and development efforts</w:t>
      </w:r>
      <w:r w:rsidR="00CB3DC8">
        <w:t xml:space="preserve"> contributing to Target 20 of the </w:t>
      </w:r>
      <w:proofErr w:type="gramStart"/>
      <w:r w:rsidR="00CB3DC8">
        <w:t>K</w:t>
      </w:r>
      <w:r w:rsidR="00BE2CD4">
        <w:t>MGBF</w:t>
      </w:r>
      <w:r w:rsidR="002528BD">
        <w:t>;</w:t>
      </w:r>
      <w:proofErr w:type="gramEnd"/>
    </w:p>
    <w:p w14:paraId="3FB05570" w14:textId="391AA8D9" w:rsidR="00C74AC3" w:rsidRPr="00B365CB" w:rsidRDefault="00C45EC7" w:rsidP="00B365CB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>
        <w:t>P</w:t>
      </w:r>
      <w:r w:rsidR="003B53E8">
        <w:t xml:space="preserve">ropose options for enhancing capacity-building and development in support of </w:t>
      </w:r>
      <w:r w:rsidR="00923DF4">
        <w:t>NBSAPs</w:t>
      </w:r>
      <w:r w:rsidR="003B53E8" w:rsidRPr="002A019B">
        <w:t xml:space="preserve"> for the implementation of the K</w:t>
      </w:r>
      <w:r w:rsidR="00BE2CD4">
        <w:t>MGBF</w:t>
      </w:r>
      <w:r w:rsidR="00A95BF7">
        <w:t xml:space="preserve"> beyond 2030</w:t>
      </w:r>
      <w:r w:rsidR="003B53E8">
        <w:t xml:space="preserve"> and </w:t>
      </w:r>
      <w:r w:rsidR="00F95AEE">
        <w:t xml:space="preserve">make recommendations that could be taken into consideration for </w:t>
      </w:r>
      <w:r w:rsidR="00B50DD8">
        <w:t>future strategi</w:t>
      </w:r>
      <w:r w:rsidR="008A27CF">
        <w:t>c frameworks.</w:t>
      </w:r>
    </w:p>
    <w:p w14:paraId="45C12FB0" w14:textId="36FCDB8C" w:rsidR="00D45A4E" w:rsidRPr="00DA52E8" w:rsidRDefault="00880F34" w:rsidP="00DA52E8">
      <w:pPr>
        <w:pStyle w:val="ListParagraph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napToGrid w:val="0"/>
          <w:kern w:val="22"/>
          <w:sz w:val="22"/>
          <w:szCs w:val="22"/>
          <w:lang w:val="en-GB" w:eastAsia="en-US"/>
          <w14:ligatures w14:val="none"/>
        </w:rPr>
      </w:pPr>
      <w:r w:rsidRPr="00DA52E8">
        <w:rPr>
          <w:rFonts w:ascii="Times New Roman" w:eastAsia="Times New Roman" w:hAnsi="Times New Roman" w:cs="Times New Roman"/>
          <w:b/>
          <w:snapToGrid w:val="0"/>
          <w:kern w:val="22"/>
          <w:sz w:val="22"/>
          <w:szCs w:val="22"/>
          <w:lang w:val="en-GB" w:eastAsia="en-US"/>
          <w14:ligatures w14:val="none"/>
        </w:rPr>
        <w:t>Methodology and sources of information</w:t>
      </w:r>
    </w:p>
    <w:p w14:paraId="0AF59A01" w14:textId="1136D191" w:rsidR="0012364D" w:rsidRDefault="00FF3E9A" w:rsidP="0012364D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  <w:rPr>
          <w:kern w:val="22"/>
          <w:szCs w:val="22"/>
        </w:rPr>
      </w:pPr>
      <w:r>
        <w:rPr>
          <w:bCs/>
          <w:kern w:val="22"/>
          <w:szCs w:val="22"/>
        </w:rPr>
        <w:t>Subject to the availability of resources, t</w:t>
      </w:r>
      <w:r w:rsidR="00D45A4E" w:rsidRPr="00D45A4E">
        <w:rPr>
          <w:bCs/>
          <w:kern w:val="22"/>
          <w:szCs w:val="22"/>
        </w:rPr>
        <w:t xml:space="preserve">he </w:t>
      </w:r>
      <w:r w:rsidR="00D45A4E" w:rsidRPr="0012364D">
        <w:t>Secretariat</w:t>
      </w:r>
      <w:r w:rsidR="00D45A4E" w:rsidRPr="00D45A4E">
        <w:rPr>
          <w:bCs/>
          <w:kern w:val="22"/>
          <w:szCs w:val="22"/>
        </w:rPr>
        <w:t xml:space="preserve"> will </w:t>
      </w:r>
      <w:r w:rsidR="00D45A4E" w:rsidRPr="00D45A4E">
        <w:rPr>
          <w:bCs/>
        </w:rPr>
        <w:t>commission</w:t>
      </w:r>
      <w:r w:rsidR="00D45A4E" w:rsidRPr="00D45A4E">
        <w:rPr>
          <w:bCs/>
          <w:kern w:val="22"/>
          <w:szCs w:val="22"/>
        </w:rPr>
        <w:t xml:space="preserve"> an independent evaluation </w:t>
      </w:r>
      <w:r w:rsidR="00126EA7">
        <w:rPr>
          <w:bCs/>
          <w:kern w:val="22"/>
          <w:szCs w:val="22"/>
        </w:rPr>
        <w:t>in 2029</w:t>
      </w:r>
      <w:r w:rsidR="009A4C82">
        <w:rPr>
          <w:bCs/>
          <w:kern w:val="22"/>
          <w:szCs w:val="22"/>
        </w:rPr>
        <w:t xml:space="preserve">. Three main data collection methods will be used: </w:t>
      </w:r>
      <w:r w:rsidR="0012364D" w:rsidRPr="00CA5B18">
        <w:rPr>
          <w:kern w:val="22"/>
          <w:szCs w:val="22"/>
        </w:rPr>
        <w:t>(a) documentation review</w:t>
      </w:r>
      <w:r w:rsidR="0012364D">
        <w:rPr>
          <w:kern w:val="22"/>
          <w:szCs w:val="22"/>
        </w:rPr>
        <w:t>;</w:t>
      </w:r>
      <w:r w:rsidR="0012364D" w:rsidRPr="00CA5B18">
        <w:rPr>
          <w:kern w:val="22"/>
          <w:szCs w:val="22"/>
        </w:rPr>
        <w:t xml:space="preserve"> (b) an online survey</w:t>
      </w:r>
      <w:r w:rsidR="0012364D">
        <w:rPr>
          <w:kern w:val="22"/>
          <w:szCs w:val="22"/>
        </w:rPr>
        <w:t>;</w:t>
      </w:r>
      <w:r w:rsidR="0012364D" w:rsidRPr="00CA5B18">
        <w:rPr>
          <w:kern w:val="22"/>
          <w:szCs w:val="22"/>
        </w:rPr>
        <w:t xml:space="preserve"> and (c) interviews with</w:t>
      </w:r>
      <w:r w:rsidR="00F1149B">
        <w:rPr>
          <w:kern w:val="22"/>
          <w:szCs w:val="22"/>
        </w:rPr>
        <w:t xml:space="preserve"> Parties and</w:t>
      </w:r>
      <w:r w:rsidR="0012364D" w:rsidRPr="00CA5B18">
        <w:rPr>
          <w:kern w:val="22"/>
          <w:szCs w:val="22"/>
        </w:rPr>
        <w:t xml:space="preserve"> key organizations working on capacity</w:t>
      </w:r>
      <w:r w:rsidR="0012364D" w:rsidRPr="00CA5B18">
        <w:rPr>
          <w:kern w:val="22"/>
          <w:szCs w:val="22"/>
        </w:rPr>
        <w:noBreakHyphen/>
        <w:t>building and development.</w:t>
      </w:r>
    </w:p>
    <w:p w14:paraId="5CEC1FEC" w14:textId="000C34FD" w:rsidR="00D46385" w:rsidRDefault="00D46385" w:rsidP="0012364D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  <w:rPr>
          <w:kern w:val="22"/>
          <w:szCs w:val="22"/>
        </w:rPr>
      </w:pPr>
      <w:r>
        <w:rPr>
          <w:kern w:val="22"/>
          <w:szCs w:val="22"/>
        </w:rPr>
        <w:t>To guide the review, the following set of questions is proposed:</w:t>
      </w:r>
    </w:p>
    <w:p w14:paraId="177C10B2" w14:textId="5107B852" w:rsidR="00C177DA" w:rsidRDefault="00AC4B47" w:rsidP="00C177DA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>Who has used the long-term strategic framework</w:t>
      </w:r>
      <w:r w:rsidR="0088556A">
        <w:rPr>
          <w:kern w:val="22"/>
          <w:szCs w:val="22"/>
        </w:rPr>
        <w:t xml:space="preserve"> to guide capacity-building and development efforts?</w:t>
      </w:r>
    </w:p>
    <w:p w14:paraId="3E74EC92" w14:textId="778B82BA" w:rsidR="00A10DEB" w:rsidRPr="00A10DEB" w:rsidRDefault="00A10DEB" w:rsidP="00A10DEB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napToGrid w:val="0"/>
          <w:kern w:val="22"/>
          <w:sz w:val="22"/>
          <w:szCs w:val="22"/>
          <w:lang w:val="en-GB" w:eastAsia="en-US"/>
          <w14:ligatures w14:val="none"/>
        </w:rPr>
      </w:pPr>
      <w:r w:rsidRPr="00A10DEB">
        <w:rPr>
          <w:rFonts w:ascii="Times New Roman" w:eastAsia="Times New Roman" w:hAnsi="Times New Roman" w:cs="Times New Roman"/>
          <w:snapToGrid w:val="0"/>
          <w:kern w:val="22"/>
          <w:sz w:val="22"/>
          <w:szCs w:val="22"/>
          <w:lang w:val="en-GB" w:eastAsia="en-US"/>
          <w14:ligatures w14:val="none"/>
        </w:rPr>
        <w:t xml:space="preserve">How has the strategic framework been used to guide capacity-building </w:t>
      </w:r>
      <w:r>
        <w:rPr>
          <w:rFonts w:ascii="Times New Roman" w:eastAsia="Times New Roman" w:hAnsi="Times New Roman" w:cs="Times New Roman"/>
          <w:snapToGrid w:val="0"/>
          <w:kern w:val="22"/>
          <w:sz w:val="22"/>
          <w:szCs w:val="22"/>
          <w:lang w:val="en-GB" w:eastAsia="en-US"/>
          <w14:ligatures w14:val="none"/>
        </w:rPr>
        <w:t>and development interventions</w:t>
      </w:r>
      <w:r w:rsidRPr="00A10DEB">
        <w:rPr>
          <w:rFonts w:ascii="Times New Roman" w:eastAsia="Times New Roman" w:hAnsi="Times New Roman" w:cs="Times New Roman"/>
          <w:snapToGrid w:val="0"/>
          <w:kern w:val="22"/>
          <w:sz w:val="22"/>
          <w:szCs w:val="22"/>
          <w:lang w:val="en-GB" w:eastAsia="en-US"/>
          <w14:ligatures w14:val="none"/>
        </w:rPr>
        <w:t xml:space="preserve"> at the national, regional and international levels?</w:t>
      </w:r>
    </w:p>
    <w:p w14:paraId="2C410A55" w14:textId="4F556A5C" w:rsidR="0088556A" w:rsidRDefault="000C2F0E" w:rsidP="00C177DA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 xml:space="preserve">What </w:t>
      </w:r>
      <w:r w:rsidR="0069166A">
        <w:rPr>
          <w:kern w:val="22"/>
          <w:szCs w:val="22"/>
        </w:rPr>
        <w:t xml:space="preserve">key </w:t>
      </w:r>
      <w:r>
        <w:rPr>
          <w:kern w:val="22"/>
          <w:szCs w:val="22"/>
        </w:rPr>
        <w:t xml:space="preserve">strategies </w:t>
      </w:r>
      <w:r w:rsidR="0069166A">
        <w:rPr>
          <w:kern w:val="22"/>
          <w:szCs w:val="22"/>
        </w:rPr>
        <w:t>to improve capacity-building and development</w:t>
      </w:r>
      <w:r w:rsidR="00CC2A83">
        <w:rPr>
          <w:kern w:val="22"/>
          <w:szCs w:val="22"/>
        </w:rPr>
        <w:t>, approaches and mechanisms for implementation proposed</w:t>
      </w:r>
      <w:r>
        <w:rPr>
          <w:kern w:val="22"/>
          <w:szCs w:val="22"/>
        </w:rPr>
        <w:t xml:space="preserve"> by the long-term strategic framework have been </w:t>
      </w:r>
      <w:r w:rsidR="004A7B6A">
        <w:rPr>
          <w:kern w:val="22"/>
          <w:szCs w:val="22"/>
        </w:rPr>
        <w:t>used?</w:t>
      </w:r>
    </w:p>
    <w:p w14:paraId="53946544" w14:textId="0286B364" w:rsidR="004A7B6A" w:rsidRDefault="00167912" w:rsidP="00C177DA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>What have been the most</w:t>
      </w:r>
      <w:r w:rsidR="004A7B6A">
        <w:rPr>
          <w:kern w:val="22"/>
          <w:szCs w:val="22"/>
        </w:rPr>
        <w:t xml:space="preserve"> effective strategies</w:t>
      </w:r>
      <w:r w:rsidR="00330E7B">
        <w:rPr>
          <w:kern w:val="22"/>
          <w:szCs w:val="22"/>
        </w:rPr>
        <w:t>,</w:t>
      </w:r>
      <w:r w:rsidR="004A7B6A">
        <w:rPr>
          <w:kern w:val="22"/>
          <w:szCs w:val="22"/>
        </w:rPr>
        <w:t xml:space="preserve"> approaches</w:t>
      </w:r>
      <w:r w:rsidR="00330E7B">
        <w:rPr>
          <w:kern w:val="22"/>
          <w:szCs w:val="22"/>
        </w:rPr>
        <w:t xml:space="preserve"> and mechanisms for implementation</w:t>
      </w:r>
      <w:r w:rsidR="004A7B6A">
        <w:rPr>
          <w:kern w:val="22"/>
          <w:szCs w:val="22"/>
        </w:rPr>
        <w:t>?</w:t>
      </w:r>
    </w:p>
    <w:p w14:paraId="7BE43F4C" w14:textId="4AF87412" w:rsidR="00A85000" w:rsidRDefault="00002F62" w:rsidP="00A85000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>What have been the main challenges or obstacles</w:t>
      </w:r>
      <w:r w:rsidR="00A85000">
        <w:rPr>
          <w:kern w:val="22"/>
          <w:szCs w:val="22"/>
        </w:rPr>
        <w:t xml:space="preserve"> in applying the guidance offered by the long-term strategic framework?</w:t>
      </w:r>
    </w:p>
    <w:p w14:paraId="17A1481C" w14:textId="24D20137" w:rsidR="00560B34" w:rsidRPr="00560B34" w:rsidRDefault="00167912" w:rsidP="00560B34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 w:rsidRPr="00A85000">
        <w:rPr>
          <w:kern w:val="22"/>
          <w:szCs w:val="22"/>
        </w:rPr>
        <w:t xml:space="preserve">To what extent has the long-term strategic framework been effective </w:t>
      </w:r>
      <w:r w:rsidR="00C60A47" w:rsidRPr="00A85000">
        <w:rPr>
          <w:kern w:val="22"/>
          <w:szCs w:val="22"/>
        </w:rPr>
        <w:t xml:space="preserve">in </w:t>
      </w:r>
      <w:r w:rsidR="00846FF9">
        <w:t>institution</w:t>
      </w:r>
      <w:r w:rsidR="0099666A">
        <w:t>alizing</w:t>
      </w:r>
      <w:r w:rsidR="00846FF9" w:rsidRPr="008F58AA">
        <w:t xml:space="preserve"> capacity</w:t>
      </w:r>
      <w:r w:rsidR="000A5D06">
        <w:t>-</w:t>
      </w:r>
      <w:r w:rsidR="00846FF9" w:rsidRPr="008F58AA">
        <w:t>building and development</w:t>
      </w:r>
      <w:r w:rsidR="00846FF9">
        <w:t xml:space="preserve"> as part of NBSAP implementation</w:t>
      </w:r>
      <w:r w:rsidR="00846FF9" w:rsidRPr="008F58AA">
        <w:t xml:space="preserve"> and promot</w:t>
      </w:r>
      <w:r w:rsidR="0099666A">
        <w:t>ing</w:t>
      </w:r>
      <w:r w:rsidR="00846FF9" w:rsidRPr="008F58AA">
        <w:t xml:space="preserve"> coherence, efficiency and effectiveness of capacity</w:t>
      </w:r>
      <w:r w:rsidR="000A5D06">
        <w:t>-</w:t>
      </w:r>
      <w:r w:rsidR="00846FF9" w:rsidRPr="008F58AA">
        <w:t>building and development efforts.</w:t>
      </w:r>
      <w:r w:rsidR="00560B34">
        <w:t xml:space="preserve"> </w:t>
      </w:r>
    </w:p>
    <w:p w14:paraId="01392227" w14:textId="449D7C72" w:rsidR="00560B34" w:rsidRPr="00560B34" w:rsidRDefault="00560B34" w:rsidP="00560B34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 w:rsidRPr="00560B34">
        <w:rPr>
          <w:bCs/>
          <w:kern w:val="22"/>
          <w:szCs w:val="22"/>
        </w:rPr>
        <w:t>Are the elements of the</w:t>
      </w:r>
      <w:r>
        <w:rPr>
          <w:bCs/>
          <w:kern w:val="22"/>
          <w:szCs w:val="22"/>
        </w:rPr>
        <w:t xml:space="preserve"> long-term</w:t>
      </w:r>
      <w:r w:rsidRPr="00560B34">
        <w:rPr>
          <w:bCs/>
          <w:kern w:val="22"/>
          <w:szCs w:val="22"/>
        </w:rPr>
        <w:t xml:space="preserve"> strategic framework (i.e</w:t>
      </w:r>
      <w:r w:rsidR="000A5D06">
        <w:rPr>
          <w:bCs/>
          <w:kern w:val="22"/>
          <w:szCs w:val="22"/>
        </w:rPr>
        <w:t>.,</w:t>
      </w:r>
      <w:r w:rsidRPr="00560B34">
        <w:rPr>
          <w:bCs/>
          <w:kern w:val="22"/>
          <w:szCs w:val="22"/>
        </w:rPr>
        <w:t xml:space="preserve"> </w:t>
      </w:r>
      <w:r w:rsidR="00B61B4F">
        <w:rPr>
          <w:bCs/>
          <w:kern w:val="22"/>
          <w:szCs w:val="22"/>
        </w:rPr>
        <w:t>guiding principles</w:t>
      </w:r>
      <w:r w:rsidRPr="00560B34">
        <w:rPr>
          <w:bCs/>
          <w:kern w:val="22"/>
          <w:szCs w:val="22"/>
        </w:rPr>
        <w:t xml:space="preserve">, </w:t>
      </w:r>
      <w:r w:rsidR="00B61B4F">
        <w:rPr>
          <w:bCs/>
          <w:kern w:val="22"/>
          <w:szCs w:val="22"/>
        </w:rPr>
        <w:t>key strategies to improve capacity-building and development</w:t>
      </w:r>
      <w:r w:rsidR="00847BBF">
        <w:rPr>
          <w:bCs/>
          <w:kern w:val="22"/>
          <w:szCs w:val="22"/>
        </w:rPr>
        <w:t xml:space="preserve"> and mechanisms for implementation</w:t>
      </w:r>
      <w:r w:rsidRPr="00560B34">
        <w:rPr>
          <w:bCs/>
          <w:kern w:val="22"/>
          <w:szCs w:val="22"/>
        </w:rPr>
        <w:t>) still relevant?</w:t>
      </w:r>
    </w:p>
    <w:p w14:paraId="3F23B16D" w14:textId="04784FB8" w:rsidR="00167912" w:rsidRDefault="00097257" w:rsidP="00C177DA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lastRenderedPageBreak/>
        <w:t xml:space="preserve">What </w:t>
      </w:r>
      <w:r w:rsidR="00110BF4">
        <w:rPr>
          <w:kern w:val="22"/>
          <w:szCs w:val="22"/>
        </w:rPr>
        <w:t xml:space="preserve">key recommendations can be made to enhance capacity-building and development in support of the </w:t>
      </w:r>
      <w:r w:rsidR="00CD1F33">
        <w:rPr>
          <w:kern w:val="22"/>
          <w:szCs w:val="22"/>
        </w:rPr>
        <w:t>KMGBF</w:t>
      </w:r>
      <w:r w:rsidR="00110BF4">
        <w:rPr>
          <w:kern w:val="22"/>
          <w:szCs w:val="22"/>
        </w:rPr>
        <w:t xml:space="preserve"> beyond 2030?</w:t>
      </w:r>
    </w:p>
    <w:p w14:paraId="2473FE98" w14:textId="7FBCE5B3" w:rsidR="008A7C73" w:rsidRDefault="000337CF" w:rsidP="000337CF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  <w:rPr>
          <w:kern w:val="22"/>
          <w:szCs w:val="22"/>
        </w:rPr>
      </w:pPr>
      <w:r>
        <w:rPr>
          <w:kern w:val="22"/>
          <w:szCs w:val="22"/>
        </w:rPr>
        <w:t xml:space="preserve">In </w:t>
      </w:r>
      <w:r w:rsidRPr="000337CF">
        <w:rPr>
          <w:bCs/>
          <w:kern w:val="22"/>
          <w:szCs w:val="22"/>
        </w:rPr>
        <w:t>addition</w:t>
      </w:r>
      <w:r>
        <w:rPr>
          <w:kern w:val="22"/>
          <w:szCs w:val="22"/>
        </w:rPr>
        <w:t xml:space="preserve"> to the guiding questions, the evaluation </w:t>
      </w:r>
      <w:r w:rsidR="000B79BB">
        <w:rPr>
          <w:kern w:val="22"/>
          <w:szCs w:val="22"/>
        </w:rPr>
        <w:t xml:space="preserve">could </w:t>
      </w:r>
      <w:r>
        <w:rPr>
          <w:kern w:val="22"/>
          <w:szCs w:val="22"/>
        </w:rPr>
        <w:t>use</w:t>
      </w:r>
      <w:r w:rsidR="003F40EE">
        <w:rPr>
          <w:kern w:val="22"/>
          <w:szCs w:val="22"/>
        </w:rPr>
        <w:t xml:space="preserve"> the</w:t>
      </w:r>
      <w:r w:rsidR="00AB6ACD">
        <w:rPr>
          <w:kern w:val="22"/>
          <w:szCs w:val="22"/>
        </w:rPr>
        <w:t xml:space="preserve"> </w:t>
      </w:r>
      <w:r w:rsidR="00B037B1">
        <w:rPr>
          <w:kern w:val="22"/>
          <w:szCs w:val="22"/>
        </w:rPr>
        <w:t>indicators proposed</w:t>
      </w:r>
      <w:r w:rsidR="00CA3FB5">
        <w:rPr>
          <w:kern w:val="22"/>
          <w:szCs w:val="22"/>
        </w:rPr>
        <w:t xml:space="preserve"> </w:t>
      </w:r>
      <w:r w:rsidR="000B79BB">
        <w:rPr>
          <w:kern w:val="22"/>
          <w:szCs w:val="22"/>
        </w:rPr>
        <w:t xml:space="preserve">by the </w:t>
      </w:r>
      <w:r w:rsidR="00E319FE">
        <w:rPr>
          <w:kern w:val="22"/>
          <w:szCs w:val="22"/>
        </w:rPr>
        <w:t>IAG</w:t>
      </w:r>
      <w:r w:rsidR="000B79BB">
        <w:rPr>
          <w:kern w:val="22"/>
          <w:szCs w:val="22"/>
        </w:rPr>
        <w:t xml:space="preserve"> during its third meeting in 2024</w:t>
      </w:r>
      <w:r w:rsidR="000B79BB">
        <w:rPr>
          <w:rStyle w:val="FootnoteReference"/>
          <w:kern w:val="22"/>
          <w:szCs w:val="22"/>
        </w:rPr>
        <w:footnoteReference w:id="3"/>
      </w:r>
      <w:r w:rsidR="000B79BB">
        <w:rPr>
          <w:kern w:val="22"/>
          <w:szCs w:val="22"/>
        </w:rPr>
        <w:t xml:space="preserve"> to </w:t>
      </w:r>
      <w:r w:rsidR="008A7C73">
        <w:rPr>
          <w:kern w:val="22"/>
          <w:szCs w:val="22"/>
        </w:rPr>
        <w:t>monitor progress in the implementation of the long-term strategic framework. These</w:t>
      </w:r>
      <w:r w:rsidR="00F252F5">
        <w:rPr>
          <w:kern w:val="22"/>
          <w:szCs w:val="22"/>
        </w:rPr>
        <w:t xml:space="preserve"> </w:t>
      </w:r>
      <w:r w:rsidR="008A7C73">
        <w:rPr>
          <w:kern w:val="22"/>
          <w:szCs w:val="22"/>
        </w:rPr>
        <w:t>include the following:</w:t>
      </w:r>
    </w:p>
    <w:p w14:paraId="795F429B" w14:textId="77777777" w:rsidR="003B03A9" w:rsidRDefault="008A7C73" w:rsidP="008A7C73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>Number of national organizations implementing elements of the long-term strategic</w:t>
      </w:r>
      <w:r w:rsidR="003B03A9">
        <w:rPr>
          <w:kern w:val="22"/>
          <w:szCs w:val="22"/>
        </w:rPr>
        <w:t xml:space="preserve"> </w:t>
      </w:r>
      <w:proofErr w:type="gramStart"/>
      <w:r w:rsidR="003B03A9">
        <w:rPr>
          <w:kern w:val="22"/>
          <w:szCs w:val="22"/>
        </w:rPr>
        <w:t>framework;</w:t>
      </w:r>
      <w:proofErr w:type="gramEnd"/>
    </w:p>
    <w:p w14:paraId="2FD8B55B" w14:textId="77777777" w:rsidR="00C96474" w:rsidRDefault="003B03A9" w:rsidP="008A7C73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 xml:space="preserve">Number of countries </w:t>
      </w:r>
      <w:r w:rsidR="00C96474">
        <w:rPr>
          <w:kern w:val="22"/>
          <w:szCs w:val="22"/>
        </w:rPr>
        <w:t xml:space="preserve">that have developed national capacity development </w:t>
      </w:r>
      <w:proofErr w:type="gramStart"/>
      <w:r w:rsidR="00C96474">
        <w:rPr>
          <w:kern w:val="22"/>
          <w:szCs w:val="22"/>
        </w:rPr>
        <w:t>plans;</w:t>
      </w:r>
      <w:proofErr w:type="gramEnd"/>
    </w:p>
    <w:p w14:paraId="06EA07A8" w14:textId="72C381EC" w:rsidR="00C96474" w:rsidRDefault="00C96474" w:rsidP="008A7C73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 xml:space="preserve">Number of thematic capacity development actions plans to support the implementation of the </w:t>
      </w:r>
      <w:proofErr w:type="gramStart"/>
      <w:r>
        <w:rPr>
          <w:kern w:val="22"/>
          <w:szCs w:val="22"/>
        </w:rPr>
        <w:t>K</w:t>
      </w:r>
      <w:r w:rsidR="00CD1F33">
        <w:rPr>
          <w:kern w:val="22"/>
          <w:szCs w:val="22"/>
        </w:rPr>
        <w:t>MGBF</w:t>
      </w:r>
      <w:r>
        <w:rPr>
          <w:kern w:val="22"/>
          <w:szCs w:val="22"/>
        </w:rPr>
        <w:t>;</w:t>
      </w:r>
      <w:proofErr w:type="gramEnd"/>
    </w:p>
    <w:p w14:paraId="70F09752" w14:textId="46F46466" w:rsidR="007A0AE6" w:rsidRPr="00B365CB" w:rsidRDefault="00B71B7E" w:rsidP="00B365CB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 xml:space="preserve">Number of </w:t>
      </w:r>
      <w:r w:rsidR="006E5BD9">
        <w:rPr>
          <w:kern w:val="22"/>
          <w:szCs w:val="22"/>
        </w:rPr>
        <w:t>long-term capacity-building and development initiatives established to support the implementation of the K</w:t>
      </w:r>
      <w:r w:rsidR="00CD1F33">
        <w:rPr>
          <w:kern w:val="22"/>
          <w:szCs w:val="22"/>
        </w:rPr>
        <w:t>MGBF</w:t>
      </w:r>
      <w:r w:rsidR="006E5BD9">
        <w:rPr>
          <w:kern w:val="22"/>
          <w:szCs w:val="22"/>
        </w:rPr>
        <w:t>.</w:t>
      </w:r>
    </w:p>
    <w:p w14:paraId="7D98E12D" w14:textId="1EE5EE3D" w:rsidR="0034770B" w:rsidRDefault="00D96C25" w:rsidP="00DA52E8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  <w:rPr>
          <w:kern w:val="22"/>
          <w:szCs w:val="22"/>
        </w:rPr>
      </w:pPr>
      <w:r w:rsidRPr="00DA52E8">
        <w:rPr>
          <w:bCs/>
          <w:kern w:val="22"/>
          <w:szCs w:val="22"/>
        </w:rPr>
        <w:t>Information</w:t>
      </w:r>
      <w:r>
        <w:rPr>
          <w:kern w:val="22"/>
          <w:szCs w:val="22"/>
        </w:rPr>
        <w:t xml:space="preserve"> for the </w:t>
      </w:r>
      <w:r w:rsidR="009609BC">
        <w:rPr>
          <w:kern w:val="22"/>
          <w:szCs w:val="22"/>
        </w:rPr>
        <w:t>review will be drawn from various sources including the following:</w:t>
      </w:r>
    </w:p>
    <w:p w14:paraId="40AD311A" w14:textId="2B60B277" w:rsidR="00B37D09" w:rsidRPr="004E42A9" w:rsidRDefault="002E1485" w:rsidP="00B37D09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 w:rsidRPr="004E42A9">
        <w:t xml:space="preserve">National </w:t>
      </w:r>
      <w:proofErr w:type="gramStart"/>
      <w:r w:rsidRPr="004E42A9">
        <w:t>reports</w:t>
      </w:r>
      <w:r w:rsidR="007512A4">
        <w:t>;</w:t>
      </w:r>
      <w:proofErr w:type="gramEnd"/>
      <w:r w:rsidRPr="004E42A9">
        <w:t xml:space="preserve"> </w:t>
      </w:r>
    </w:p>
    <w:p w14:paraId="59C1597F" w14:textId="77777777" w:rsidR="00C12F53" w:rsidRPr="004E42A9" w:rsidRDefault="002E1485" w:rsidP="00C12F53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 w:rsidRPr="004E42A9">
        <w:t>Information published in the</w:t>
      </w:r>
      <w:r w:rsidR="00B37D09" w:rsidRPr="004E42A9">
        <w:t xml:space="preserve"> online reporting </w:t>
      </w:r>
      <w:proofErr w:type="gramStart"/>
      <w:r w:rsidR="00B37D09" w:rsidRPr="004E42A9">
        <w:t>tool</w:t>
      </w:r>
      <w:r w:rsidRPr="004E42A9">
        <w:t>;</w:t>
      </w:r>
      <w:proofErr w:type="gramEnd"/>
    </w:p>
    <w:p w14:paraId="7CFAA246" w14:textId="12783ADD" w:rsidR="002E1485" w:rsidRPr="004E42A9" w:rsidRDefault="00F84D01" w:rsidP="00C12F53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 w:rsidRPr="004E42A9">
        <w:t>R</w:t>
      </w:r>
      <w:r w:rsidR="002E1485" w:rsidRPr="004E42A9">
        <w:t>eports</w:t>
      </w:r>
      <w:r w:rsidR="00005D93" w:rsidRPr="004E42A9">
        <w:t xml:space="preserve"> of the glo</w:t>
      </w:r>
      <w:r w:rsidR="00E63693" w:rsidRPr="004E42A9">
        <w:t>bal review of collective pro</w:t>
      </w:r>
      <w:r w:rsidR="00CC4F48">
        <w:t>gr</w:t>
      </w:r>
      <w:r w:rsidR="00E63693" w:rsidRPr="004E42A9">
        <w:t>ess in the implementation of the Kunming-Montreal Global Biodiversity Framework</w:t>
      </w:r>
      <w:r w:rsidR="002E1485" w:rsidRPr="004E42A9">
        <w:t xml:space="preserve"> prepared by the </w:t>
      </w:r>
      <w:proofErr w:type="gramStart"/>
      <w:r w:rsidR="002E1485" w:rsidRPr="004E42A9">
        <w:t>Secretariat;</w:t>
      </w:r>
      <w:proofErr w:type="gramEnd"/>
    </w:p>
    <w:p w14:paraId="5BC22E0A" w14:textId="23B68032" w:rsidR="00F86DF5" w:rsidRPr="004E42A9" w:rsidRDefault="002E1485" w:rsidP="00F86DF5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 w:rsidRPr="004E42A9">
        <w:t xml:space="preserve">Reports and submissions from the Global Environment Facility and its implementing agencies, as well as from other key organizations involved in capacity-building </w:t>
      </w:r>
      <w:r w:rsidR="00F86DF5" w:rsidRPr="004E42A9">
        <w:t xml:space="preserve">and </w:t>
      </w:r>
      <w:proofErr w:type="gramStart"/>
      <w:r w:rsidR="00F86DF5" w:rsidRPr="004E42A9">
        <w:t>development</w:t>
      </w:r>
      <w:r w:rsidR="007512A4">
        <w:t>;</w:t>
      </w:r>
      <w:proofErr w:type="gramEnd"/>
    </w:p>
    <w:p w14:paraId="2A35044E" w14:textId="1F946F76" w:rsidR="00D45A4E" w:rsidRPr="00B365CB" w:rsidRDefault="002E1485" w:rsidP="00B365CB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 w:rsidRPr="004E42A9">
        <w:t>Information gathered in an online survey and targeted interviews with</w:t>
      </w:r>
      <w:r w:rsidR="00765D06" w:rsidRPr="004E42A9">
        <w:t xml:space="preserve"> Parties and</w:t>
      </w:r>
      <w:r w:rsidRPr="004E42A9">
        <w:t xml:space="preserve"> key stakeholders.</w:t>
      </w:r>
    </w:p>
    <w:p w14:paraId="6A3671D1" w14:textId="75D4686B" w:rsidR="002114B5" w:rsidRPr="00B365CB" w:rsidRDefault="00DA1C8F" w:rsidP="00B365CB">
      <w:pPr>
        <w:pStyle w:val="Para1"/>
        <w:numPr>
          <w:ilvl w:val="0"/>
          <w:numId w:val="2"/>
        </w:numPr>
        <w:suppressLineNumbers/>
        <w:suppressAutoHyphens/>
        <w:kinsoku w:val="0"/>
        <w:overflowPunct w:val="0"/>
        <w:autoSpaceDE w:val="0"/>
        <w:autoSpaceDN w:val="0"/>
        <w:snapToGrid w:val="0"/>
        <w:jc w:val="center"/>
        <w:rPr>
          <w:b/>
          <w:kern w:val="22"/>
          <w:szCs w:val="22"/>
        </w:rPr>
      </w:pPr>
      <w:r w:rsidRPr="00DA1C8F">
        <w:rPr>
          <w:b/>
          <w:kern w:val="22"/>
          <w:szCs w:val="22"/>
        </w:rPr>
        <w:t xml:space="preserve">Evaluation of </w:t>
      </w:r>
      <w:r w:rsidR="009F375A">
        <w:rPr>
          <w:b/>
          <w:kern w:val="22"/>
          <w:szCs w:val="22"/>
        </w:rPr>
        <w:t>the t</w:t>
      </w:r>
      <w:r w:rsidR="002114B5">
        <w:rPr>
          <w:b/>
          <w:kern w:val="22"/>
          <w:szCs w:val="22"/>
        </w:rPr>
        <w:t>echnical and scientific cooperation mechanism</w:t>
      </w:r>
    </w:p>
    <w:p w14:paraId="491DAA55" w14:textId="1858B8FD" w:rsidR="002114B5" w:rsidRPr="00250D06" w:rsidRDefault="00EF051E" w:rsidP="002114B5">
      <w:pPr>
        <w:pStyle w:val="ListParagraph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napToGrid w:val="0"/>
          <w:kern w:val="22"/>
          <w:sz w:val="22"/>
          <w:szCs w:val="22"/>
          <w:lang w:val="en-GB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22"/>
          <w:sz w:val="22"/>
          <w:szCs w:val="22"/>
          <w:lang w:val="en-GB" w:eastAsia="en-US"/>
          <w14:ligatures w14:val="none"/>
        </w:rPr>
        <w:t>S</w:t>
      </w:r>
      <w:r w:rsidR="002114B5" w:rsidRPr="00250D06">
        <w:rPr>
          <w:rFonts w:ascii="Times New Roman" w:eastAsia="Times New Roman" w:hAnsi="Times New Roman" w:cs="Times New Roman"/>
          <w:b/>
          <w:snapToGrid w:val="0"/>
          <w:kern w:val="22"/>
          <w:sz w:val="22"/>
          <w:szCs w:val="22"/>
          <w:lang w:val="en-GB" w:eastAsia="en-US"/>
          <w14:ligatures w14:val="none"/>
        </w:rPr>
        <w:t>cope and objectives of the evaluation</w:t>
      </w:r>
    </w:p>
    <w:p w14:paraId="4F7E2B2E" w14:textId="7685910F" w:rsidR="007A6447" w:rsidRDefault="00B23736" w:rsidP="00590DCD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>
        <w:t xml:space="preserve">For </w:t>
      </w:r>
      <w:r w:rsidR="00ED1D8F">
        <w:t>the technical and scientific cooperation mechanism</w:t>
      </w:r>
      <w:r w:rsidR="003B46D6">
        <w:t>,</w:t>
      </w:r>
      <w:r w:rsidR="00ED1D8F">
        <w:t xml:space="preserve"> i</w:t>
      </w:r>
      <w:r w:rsidR="008D68F5">
        <w:t>t is proposed that the exercise focus</w:t>
      </w:r>
      <w:r w:rsidR="003B46D6">
        <w:t>es</w:t>
      </w:r>
      <w:r w:rsidR="008D68F5">
        <w:t xml:space="preserve"> on</w:t>
      </w:r>
      <w:r w:rsidR="00114836">
        <w:t>: 1.</w:t>
      </w:r>
      <w:r w:rsidR="008D68F5">
        <w:t xml:space="preserve"> evaluating </w:t>
      </w:r>
      <w:r w:rsidR="004F01A7">
        <w:t>its</w:t>
      </w:r>
      <w:r w:rsidR="008D68F5">
        <w:t xml:space="preserve"> relevance and effectiveness in </w:t>
      </w:r>
      <w:r w:rsidR="002F2BCA">
        <w:t xml:space="preserve">promoting and facilitating cooperation among Parties and relevant organizations </w:t>
      </w:r>
      <w:r w:rsidR="00473E0F">
        <w:t xml:space="preserve">to enable them to effectively use science, technology and innovation to support the implementation of the Kunming-Montreal Global </w:t>
      </w:r>
      <w:r w:rsidR="00C77530">
        <w:t>Biodiversity Framework</w:t>
      </w:r>
      <w:r w:rsidR="00114836">
        <w:t>;</w:t>
      </w:r>
      <w:r w:rsidR="008D68F5">
        <w:t xml:space="preserve"> </w:t>
      </w:r>
      <w:r w:rsidR="0093069C">
        <w:t>and</w:t>
      </w:r>
      <w:r w:rsidR="008D68F5">
        <w:t xml:space="preserve"> </w:t>
      </w:r>
      <w:r w:rsidR="00114836">
        <w:t xml:space="preserve">2. </w:t>
      </w:r>
      <w:r w:rsidR="008D68F5">
        <w:t xml:space="preserve">offering recommendations that could be useful for </w:t>
      </w:r>
      <w:r w:rsidR="000276EE">
        <w:t>enhanc</w:t>
      </w:r>
      <w:r w:rsidR="00114836">
        <w:t>ing</w:t>
      </w:r>
      <w:r w:rsidR="000276EE">
        <w:t xml:space="preserve"> the mechanism</w:t>
      </w:r>
      <w:r w:rsidR="0029563D">
        <w:t xml:space="preserve"> </w:t>
      </w:r>
      <w:r w:rsidR="0088178F">
        <w:t>and improv</w:t>
      </w:r>
      <w:r w:rsidR="00114836">
        <w:t>ing</w:t>
      </w:r>
      <w:r w:rsidR="0088178F">
        <w:t xml:space="preserve"> the means of implementation of the KMGBF </w:t>
      </w:r>
      <w:r w:rsidR="00407CA8">
        <w:t>beyond 2030</w:t>
      </w:r>
      <w:r w:rsidR="008D68F5">
        <w:t>.</w:t>
      </w:r>
      <w:r w:rsidR="00590DCD">
        <w:t xml:space="preserve"> </w:t>
      </w:r>
    </w:p>
    <w:p w14:paraId="5BD868A1" w14:textId="49B9E735" w:rsidR="00936A1A" w:rsidRDefault="007A6447" w:rsidP="00590DCD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>
        <w:t xml:space="preserve">Specific objectives of the evaluation include </w:t>
      </w:r>
      <w:r w:rsidR="00936A1A">
        <w:t>the following:</w:t>
      </w:r>
      <w:r w:rsidR="003B0ADB">
        <w:t xml:space="preserve"> </w:t>
      </w:r>
    </w:p>
    <w:p w14:paraId="07CDDD85" w14:textId="03D58439" w:rsidR="00A005ED" w:rsidRDefault="00A005ED" w:rsidP="00936A1A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>
        <w:t xml:space="preserve">Review the relevance and effectiveness of the technical and scientific cooperation mechanism as a means of implementation for the Convention its Protocols and the </w:t>
      </w:r>
      <w:proofErr w:type="gramStart"/>
      <w:r>
        <w:t>KMBGF</w:t>
      </w:r>
      <w:r w:rsidR="005B13AA">
        <w:t>;</w:t>
      </w:r>
      <w:proofErr w:type="gramEnd"/>
    </w:p>
    <w:p w14:paraId="4BF94092" w14:textId="29859B2E" w:rsidR="00384248" w:rsidRDefault="007A6447" w:rsidP="00A005ED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>
        <w:t xml:space="preserve">Take stock of the </w:t>
      </w:r>
      <w:r w:rsidR="00F33033">
        <w:t>achievements</w:t>
      </w:r>
      <w:r w:rsidR="00376D09">
        <w:t>, challenges and lessons of the subregional and regional technical and scientific cooperation support centres</w:t>
      </w:r>
      <w:r w:rsidR="00D00066">
        <w:t xml:space="preserve"> (TSCCs)</w:t>
      </w:r>
      <w:r w:rsidR="00376D09">
        <w:t xml:space="preserve"> and the global coordination entity</w:t>
      </w:r>
      <w:r w:rsidR="005F7291">
        <w:t xml:space="preserve"> (GCE</w:t>
      </w:r>
      <w:proofErr w:type="gramStart"/>
      <w:r w:rsidR="005F7291">
        <w:t>)</w:t>
      </w:r>
      <w:r w:rsidR="005D26F8">
        <w:t>;</w:t>
      </w:r>
      <w:proofErr w:type="gramEnd"/>
    </w:p>
    <w:p w14:paraId="003678D6" w14:textId="433C564D" w:rsidR="00C369E2" w:rsidRDefault="005B13AA" w:rsidP="00936A1A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>
        <w:lastRenderedPageBreak/>
        <w:t>I</w:t>
      </w:r>
      <w:r w:rsidR="00EC6E01">
        <w:t>dentify good practices and recommendations</w:t>
      </w:r>
      <w:r w:rsidR="00C369E2" w:rsidRPr="00C369E2">
        <w:t xml:space="preserve"> for enhancing </w:t>
      </w:r>
      <w:r w:rsidR="00A005ED">
        <w:t xml:space="preserve">the Convention’s </w:t>
      </w:r>
      <w:r w:rsidR="008503F8">
        <w:t>technical and scientific cooperation</w:t>
      </w:r>
      <w:r w:rsidR="00A005ED">
        <w:t xml:space="preserve"> mechanism</w:t>
      </w:r>
      <w:r w:rsidR="008503F8">
        <w:t xml:space="preserve"> </w:t>
      </w:r>
      <w:r w:rsidR="00C369E2" w:rsidRPr="00C369E2">
        <w:t xml:space="preserve">in support of </w:t>
      </w:r>
      <w:r w:rsidR="00877AFC">
        <w:t>NBSAPs</w:t>
      </w:r>
      <w:r w:rsidR="00C369E2" w:rsidRPr="00C369E2">
        <w:t xml:space="preserve"> for the implementation of the KMGBF beyond 2030</w:t>
      </w:r>
      <w:r w:rsidR="00EC6E01">
        <w:t>.</w:t>
      </w:r>
    </w:p>
    <w:p w14:paraId="20B5809C" w14:textId="77777777" w:rsidR="00B23736" w:rsidRPr="00DA52E8" w:rsidRDefault="00B23736" w:rsidP="00B23736">
      <w:pPr>
        <w:pStyle w:val="ListParagraph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napToGrid w:val="0"/>
          <w:kern w:val="22"/>
          <w:sz w:val="22"/>
          <w:szCs w:val="22"/>
          <w:lang w:val="en-GB" w:eastAsia="en-US"/>
          <w14:ligatures w14:val="none"/>
        </w:rPr>
      </w:pPr>
      <w:r w:rsidRPr="00DA52E8">
        <w:rPr>
          <w:rFonts w:ascii="Times New Roman" w:eastAsia="Times New Roman" w:hAnsi="Times New Roman" w:cs="Times New Roman"/>
          <w:b/>
          <w:snapToGrid w:val="0"/>
          <w:kern w:val="22"/>
          <w:sz w:val="22"/>
          <w:szCs w:val="22"/>
          <w:lang w:val="en-GB" w:eastAsia="en-US"/>
          <w14:ligatures w14:val="none"/>
        </w:rPr>
        <w:t>Methodology and sources of information</w:t>
      </w:r>
    </w:p>
    <w:p w14:paraId="1EB1A850" w14:textId="72EC7211" w:rsidR="00B23736" w:rsidRDefault="00B23736" w:rsidP="00C16B63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 w:rsidRPr="00A25FFA">
        <w:t>Subject to the availability of resources, the Secretariat will commission a</w:t>
      </w:r>
      <w:r w:rsidR="00B66BDF">
        <w:t>n additional</w:t>
      </w:r>
      <w:r w:rsidR="00D36E6F">
        <w:t xml:space="preserve"> independent</w:t>
      </w:r>
      <w:r w:rsidRPr="00A25FFA">
        <w:t xml:space="preserve"> evaluation in 2029</w:t>
      </w:r>
      <w:r w:rsidR="003C620D">
        <w:t xml:space="preserve"> focusing only on the TSC </w:t>
      </w:r>
      <w:r w:rsidR="00E657A2">
        <w:t>m</w:t>
      </w:r>
      <w:r w:rsidR="003C620D">
        <w:t>echanism</w:t>
      </w:r>
      <w:r w:rsidRPr="00A25FFA">
        <w:t xml:space="preserve">. Three main data collection methods will be used: (a) documentation review; (b) an online survey; and (c) interviews with Parties and key organizations working on </w:t>
      </w:r>
      <w:r w:rsidR="006063DD">
        <w:t>technical and scientific cooperation</w:t>
      </w:r>
      <w:r w:rsidR="00B847C4">
        <w:t xml:space="preserve"> in support of the KMGBF</w:t>
      </w:r>
      <w:r w:rsidR="00EF051E">
        <w:t>.</w:t>
      </w:r>
    </w:p>
    <w:p w14:paraId="7A8B9FF2" w14:textId="5428B002" w:rsidR="007F5E10" w:rsidRDefault="00AC0DEB" w:rsidP="007F5E10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  <w:rPr>
          <w:kern w:val="22"/>
          <w:szCs w:val="22"/>
        </w:rPr>
      </w:pPr>
      <w:r>
        <w:rPr>
          <w:kern w:val="22"/>
          <w:szCs w:val="22"/>
        </w:rPr>
        <w:t xml:space="preserve">To guide the review, the following set of questions </w:t>
      </w:r>
      <w:r w:rsidR="009E081F">
        <w:rPr>
          <w:kern w:val="22"/>
          <w:szCs w:val="22"/>
        </w:rPr>
        <w:t xml:space="preserve">could </w:t>
      </w:r>
      <w:r w:rsidR="00AF2237">
        <w:rPr>
          <w:kern w:val="22"/>
          <w:szCs w:val="22"/>
        </w:rPr>
        <w:t>be used</w:t>
      </w:r>
      <w:r>
        <w:rPr>
          <w:kern w:val="22"/>
          <w:szCs w:val="22"/>
        </w:rPr>
        <w:t>:</w:t>
      </w:r>
    </w:p>
    <w:p w14:paraId="25E0391B" w14:textId="6FF7B2F7" w:rsidR="00C9151E" w:rsidRDefault="007F5E10" w:rsidP="00D845D5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 xml:space="preserve">To what extent has the mechanism </w:t>
      </w:r>
      <w:r w:rsidR="00C9151E">
        <w:rPr>
          <w:kern w:val="22"/>
          <w:szCs w:val="22"/>
        </w:rPr>
        <w:t>succeeded in fostering technical and scientific cooperation among Parties and other stakeholders in support of the KMGBF and implementation of NBSAPs?</w:t>
      </w:r>
    </w:p>
    <w:p w14:paraId="6D65DAF1" w14:textId="5EB1CB0F" w:rsidR="00D845D5" w:rsidRDefault="00C9151E" w:rsidP="00D845D5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t xml:space="preserve">To what extend has the mechanism </w:t>
      </w:r>
      <w:r w:rsidR="00032B48">
        <w:t>enhanc</w:t>
      </w:r>
      <w:r w:rsidR="007F5E10">
        <w:t>ed</w:t>
      </w:r>
      <w:r w:rsidR="00032B48">
        <w:t xml:space="preserve"> </w:t>
      </w:r>
      <w:r w:rsidR="002167BE">
        <w:t xml:space="preserve">technical and institutional </w:t>
      </w:r>
      <w:r w:rsidR="00743835" w:rsidRPr="00743835">
        <w:t>capacities in relation to scienc</w:t>
      </w:r>
      <w:r w:rsidR="00950AB4">
        <w:t xml:space="preserve">e, </w:t>
      </w:r>
      <w:r w:rsidR="00743835" w:rsidRPr="00743835">
        <w:t>technology and innovation</w:t>
      </w:r>
      <w:r w:rsidR="00D845D5">
        <w:t>?</w:t>
      </w:r>
      <w:r w:rsidR="00D56536">
        <w:tab/>
      </w:r>
    </w:p>
    <w:p w14:paraId="6237809C" w14:textId="6B6B714E" w:rsidR="009A1EB4" w:rsidRDefault="00D845D5" w:rsidP="009A1EB4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 xml:space="preserve">What have been the most effective strategies to </w:t>
      </w:r>
      <w:r w:rsidR="00996862">
        <w:t>promot</w:t>
      </w:r>
      <w:r>
        <w:t>e</w:t>
      </w:r>
      <w:r w:rsidR="00996862" w:rsidRPr="00996862">
        <w:t xml:space="preserve"> and facilitat</w:t>
      </w:r>
      <w:r>
        <w:t>e</w:t>
      </w:r>
      <w:r w:rsidR="00996862" w:rsidRPr="00996862">
        <w:t xml:space="preserve"> </w:t>
      </w:r>
      <w:r w:rsidR="00B339A4">
        <w:t xml:space="preserve">technical and scientific cooperation </w:t>
      </w:r>
      <w:r w:rsidR="00D00066">
        <w:t xml:space="preserve">and </w:t>
      </w:r>
      <w:r w:rsidR="00996862" w:rsidRPr="00996862">
        <w:t>the development, transfer and use of technologies</w:t>
      </w:r>
      <w:r w:rsidR="00791FF5">
        <w:t>?</w:t>
      </w:r>
    </w:p>
    <w:p w14:paraId="1009500F" w14:textId="44624226" w:rsidR="003732D4" w:rsidRPr="003732D4" w:rsidRDefault="003732D4" w:rsidP="003732D4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>To what extent have the TSCCs been able to fulfil their functions</w:t>
      </w:r>
      <w:r w:rsidR="00077D86">
        <w:rPr>
          <w:kern w:val="22"/>
          <w:szCs w:val="22"/>
        </w:rPr>
        <w:t>,</w:t>
      </w:r>
      <w:r>
        <w:rPr>
          <w:kern w:val="22"/>
          <w:szCs w:val="22"/>
        </w:rPr>
        <w:t xml:space="preserve"> as per </w:t>
      </w:r>
      <w:r w:rsidR="00934C1D">
        <w:rPr>
          <w:kern w:val="22"/>
          <w:szCs w:val="22"/>
        </w:rPr>
        <w:t xml:space="preserve">paragraph 26 of </w:t>
      </w:r>
      <w:r>
        <w:rPr>
          <w:kern w:val="22"/>
          <w:szCs w:val="22"/>
        </w:rPr>
        <w:t xml:space="preserve">decision 15/8? </w:t>
      </w:r>
    </w:p>
    <w:p w14:paraId="617AE0E2" w14:textId="273F1650" w:rsidR="00D97231" w:rsidRDefault="00E84DAA" w:rsidP="009A1EB4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>What</w:t>
      </w:r>
      <w:r w:rsidR="00E60051">
        <w:rPr>
          <w:kern w:val="22"/>
          <w:szCs w:val="22"/>
        </w:rPr>
        <w:t xml:space="preserve"> has worked well and what</w:t>
      </w:r>
      <w:r>
        <w:rPr>
          <w:kern w:val="22"/>
          <w:szCs w:val="22"/>
        </w:rPr>
        <w:t xml:space="preserve"> have been the main challenges in operationalizing the</w:t>
      </w:r>
      <w:r w:rsidR="002A1B92">
        <w:rPr>
          <w:kern w:val="22"/>
          <w:szCs w:val="22"/>
        </w:rPr>
        <w:t xml:space="preserve"> TSCCs</w:t>
      </w:r>
      <w:r w:rsidR="00D97231">
        <w:rPr>
          <w:kern w:val="22"/>
          <w:szCs w:val="22"/>
        </w:rPr>
        <w:t>?</w:t>
      </w:r>
    </w:p>
    <w:p w14:paraId="52F25DC9" w14:textId="5DC4C848" w:rsidR="00AF2237" w:rsidRDefault="00AF2237" w:rsidP="00AF2237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 xml:space="preserve">How satisfied are Parties with the support they have received from the </w:t>
      </w:r>
      <w:r w:rsidR="00A82FB3">
        <w:rPr>
          <w:kern w:val="22"/>
          <w:szCs w:val="22"/>
        </w:rPr>
        <w:t>TSCCs</w:t>
      </w:r>
      <w:r>
        <w:rPr>
          <w:kern w:val="22"/>
          <w:szCs w:val="22"/>
        </w:rPr>
        <w:t>?</w:t>
      </w:r>
    </w:p>
    <w:p w14:paraId="54E19709" w14:textId="11413E6D" w:rsidR="00934C1D" w:rsidRDefault="00934C1D" w:rsidP="00AF2237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>How satisfied are the TSCCs with the coordination and services offered by the GCE?</w:t>
      </w:r>
    </w:p>
    <w:p w14:paraId="1BEFB1D3" w14:textId="0BD4C02B" w:rsidR="00934C1D" w:rsidRDefault="00934C1D" w:rsidP="00C76A3D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>What</w:t>
      </w:r>
      <w:r w:rsidR="00E60051">
        <w:rPr>
          <w:kern w:val="22"/>
          <w:szCs w:val="22"/>
        </w:rPr>
        <w:t xml:space="preserve"> has worked well and what</w:t>
      </w:r>
      <w:r>
        <w:rPr>
          <w:kern w:val="22"/>
          <w:szCs w:val="22"/>
        </w:rPr>
        <w:t xml:space="preserve"> have been the main challenges in operationalizing the GCE?</w:t>
      </w:r>
    </w:p>
    <w:p w14:paraId="4009D74C" w14:textId="7FB20BA7" w:rsidR="00C6775F" w:rsidRPr="00294685" w:rsidRDefault="00C6775F" w:rsidP="0029468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napToGrid w:val="0"/>
          <w:kern w:val="22"/>
          <w:sz w:val="22"/>
          <w:szCs w:val="22"/>
          <w:lang w:val="en-GB" w:eastAsia="en-US"/>
          <w14:ligatures w14:val="none"/>
        </w:rPr>
      </w:pPr>
      <w:r w:rsidRPr="00C6775F">
        <w:rPr>
          <w:rFonts w:ascii="Times New Roman" w:eastAsia="Times New Roman" w:hAnsi="Times New Roman" w:cs="Times New Roman"/>
          <w:snapToGrid w:val="0"/>
          <w:kern w:val="22"/>
          <w:sz w:val="22"/>
          <w:szCs w:val="22"/>
          <w:lang w:val="en-GB" w:eastAsia="en-US"/>
          <w14:ligatures w14:val="none"/>
        </w:rPr>
        <w:t xml:space="preserve">What key recommendations can be made to enhance </w:t>
      </w:r>
      <w:r>
        <w:rPr>
          <w:rFonts w:ascii="Times New Roman" w:eastAsia="Times New Roman" w:hAnsi="Times New Roman" w:cs="Times New Roman"/>
          <w:snapToGrid w:val="0"/>
          <w:kern w:val="22"/>
          <w:sz w:val="22"/>
          <w:szCs w:val="22"/>
          <w:lang w:val="en-GB" w:eastAsia="en-US"/>
          <w14:ligatures w14:val="none"/>
        </w:rPr>
        <w:t>the technical and scientific cooperation mechanism</w:t>
      </w:r>
      <w:r w:rsidRPr="00C6775F">
        <w:rPr>
          <w:rFonts w:ascii="Times New Roman" w:eastAsia="Times New Roman" w:hAnsi="Times New Roman" w:cs="Times New Roman"/>
          <w:snapToGrid w:val="0"/>
          <w:kern w:val="22"/>
          <w:sz w:val="22"/>
          <w:szCs w:val="22"/>
          <w:lang w:val="en-GB" w:eastAsia="en-US"/>
          <w14:ligatures w14:val="none"/>
        </w:rPr>
        <w:t xml:space="preserve"> beyond 2030?</w:t>
      </w:r>
    </w:p>
    <w:p w14:paraId="02288A9A" w14:textId="2E9F2E8E" w:rsidR="00FC61B4" w:rsidRDefault="00F252F5" w:rsidP="00A4640B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</w:pPr>
      <w:r w:rsidRPr="00F252F5">
        <w:t xml:space="preserve">In addition to the guiding questions, the evaluation </w:t>
      </w:r>
      <w:r w:rsidR="00FC61B4">
        <w:t>will use the</w:t>
      </w:r>
      <w:r w:rsidR="000A1716">
        <w:t xml:space="preserve"> criteria for evaluating the</w:t>
      </w:r>
      <w:r w:rsidR="00FC61B4">
        <w:t xml:space="preserve"> performance </w:t>
      </w:r>
      <w:r w:rsidR="00625BF6">
        <w:t>of the TSCCs and the GCE</w:t>
      </w:r>
      <w:r w:rsidR="00C76A3D">
        <w:t xml:space="preserve"> to be developed jointly by the Secretariat and the I</w:t>
      </w:r>
      <w:r w:rsidR="00727444">
        <w:t>nformal Advisory Group on Technical and Scientific Cooperation</w:t>
      </w:r>
      <w:r w:rsidR="00727444">
        <w:rPr>
          <w:rStyle w:val="FootnoteReference"/>
        </w:rPr>
        <w:footnoteReference w:id="4"/>
      </w:r>
      <w:r w:rsidR="006C6F91">
        <w:t>.</w:t>
      </w:r>
    </w:p>
    <w:p w14:paraId="477E6906" w14:textId="638BC6D2" w:rsidR="007F5614" w:rsidRDefault="007F5614" w:rsidP="007F5614">
      <w:pPr>
        <w:pStyle w:val="Para1"/>
        <w:numPr>
          <w:ilvl w:val="0"/>
          <w:numId w:val="1"/>
        </w:numPr>
        <w:suppressLineNumbers/>
        <w:tabs>
          <w:tab w:val="num" w:pos="720"/>
        </w:tabs>
        <w:suppressAutoHyphens/>
        <w:kinsoku w:val="0"/>
        <w:overflowPunct w:val="0"/>
        <w:autoSpaceDE w:val="0"/>
        <w:autoSpaceDN w:val="0"/>
        <w:snapToGrid w:val="0"/>
        <w:ind w:left="0" w:firstLine="0"/>
        <w:rPr>
          <w:kern w:val="22"/>
          <w:szCs w:val="22"/>
        </w:rPr>
      </w:pPr>
      <w:r w:rsidRPr="00DA52E8">
        <w:rPr>
          <w:bCs/>
          <w:kern w:val="22"/>
          <w:szCs w:val="22"/>
        </w:rPr>
        <w:t>Information</w:t>
      </w:r>
      <w:r>
        <w:rPr>
          <w:kern w:val="22"/>
          <w:szCs w:val="22"/>
        </w:rPr>
        <w:t xml:space="preserve"> for the review will be drawn from various sources including the following:</w:t>
      </w:r>
    </w:p>
    <w:p w14:paraId="25ADDC59" w14:textId="37AB50D4" w:rsidR="007F5614" w:rsidRDefault="007F5614" w:rsidP="007F5614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 xml:space="preserve">Workplans developed for the TSCCs and the </w:t>
      </w:r>
      <w:proofErr w:type="gramStart"/>
      <w:r>
        <w:rPr>
          <w:kern w:val="22"/>
          <w:szCs w:val="22"/>
        </w:rPr>
        <w:t>GCE</w:t>
      </w:r>
      <w:r w:rsidR="007512A4">
        <w:rPr>
          <w:kern w:val="22"/>
          <w:szCs w:val="22"/>
        </w:rPr>
        <w:t>;</w:t>
      </w:r>
      <w:proofErr w:type="gramEnd"/>
    </w:p>
    <w:p w14:paraId="32139DA7" w14:textId="4248A770" w:rsidR="00E05FEF" w:rsidRDefault="007F5614" w:rsidP="00E05FEF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 xml:space="preserve">Biennial activity </w:t>
      </w:r>
      <w:proofErr w:type="gramStart"/>
      <w:r>
        <w:rPr>
          <w:kern w:val="22"/>
          <w:szCs w:val="22"/>
        </w:rPr>
        <w:t>reports</w:t>
      </w:r>
      <w:r w:rsidR="007512A4">
        <w:rPr>
          <w:kern w:val="22"/>
          <w:szCs w:val="22"/>
        </w:rPr>
        <w:t>;</w:t>
      </w:r>
      <w:proofErr w:type="gramEnd"/>
    </w:p>
    <w:p w14:paraId="212792A6" w14:textId="3DD7E2AC" w:rsidR="007512A4" w:rsidRDefault="007512A4" w:rsidP="00E05FEF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>
        <w:rPr>
          <w:kern w:val="22"/>
          <w:szCs w:val="22"/>
        </w:rPr>
        <w:t xml:space="preserve">Progress reports prepared by the Secretariat for the consideration of the Conference of the </w:t>
      </w:r>
      <w:proofErr w:type="gramStart"/>
      <w:r>
        <w:rPr>
          <w:kern w:val="22"/>
          <w:szCs w:val="22"/>
        </w:rPr>
        <w:t>Parties;</w:t>
      </w:r>
      <w:proofErr w:type="gramEnd"/>
    </w:p>
    <w:p w14:paraId="6737499D" w14:textId="1478298E" w:rsidR="00E05FEF" w:rsidRDefault="00E05FEF" w:rsidP="00E05FEF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szCs w:val="22"/>
        </w:rPr>
      </w:pPr>
      <w:r w:rsidRPr="00E05FEF">
        <w:rPr>
          <w:kern w:val="22"/>
          <w:szCs w:val="22"/>
        </w:rPr>
        <w:t>Reports of the global review of collective pro</w:t>
      </w:r>
      <w:r w:rsidR="00955D21">
        <w:rPr>
          <w:kern w:val="22"/>
          <w:szCs w:val="22"/>
        </w:rPr>
        <w:t>gr</w:t>
      </w:r>
      <w:r w:rsidRPr="00E05FEF">
        <w:rPr>
          <w:kern w:val="22"/>
          <w:szCs w:val="22"/>
        </w:rPr>
        <w:t xml:space="preserve">ess in the implementation of the Kunming-Montreal Global Biodiversity Framework prepared by the </w:t>
      </w:r>
      <w:proofErr w:type="gramStart"/>
      <w:r w:rsidRPr="00E05FEF">
        <w:rPr>
          <w:kern w:val="22"/>
          <w:szCs w:val="22"/>
        </w:rPr>
        <w:t>Secretariat;</w:t>
      </w:r>
      <w:proofErr w:type="gramEnd"/>
    </w:p>
    <w:p w14:paraId="428715C0" w14:textId="341BB2C8" w:rsidR="002114B5" w:rsidRPr="007F284F" w:rsidRDefault="007512A4" w:rsidP="009A4E03">
      <w:pPr>
        <w:pStyle w:val="Para1"/>
        <w:numPr>
          <w:ilvl w:val="1"/>
          <w:numId w:val="1"/>
        </w:numPr>
        <w:suppressLineNumbers/>
        <w:suppressAutoHyphens/>
        <w:kinsoku w:val="0"/>
        <w:overflowPunct w:val="0"/>
        <w:autoSpaceDE w:val="0"/>
        <w:autoSpaceDN w:val="0"/>
        <w:snapToGrid w:val="0"/>
      </w:pPr>
      <w:r w:rsidRPr="004E42A9">
        <w:t>Information gathered in an online survey and targeted interviews with Parties and key stakeholders.</w:t>
      </w:r>
    </w:p>
    <w:sectPr w:rsidR="002114B5" w:rsidRPr="007F284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B852" w14:textId="77777777" w:rsidR="00B32ADA" w:rsidRDefault="00B32ADA" w:rsidP="00224C94">
      <w:pPr>
        <w:spacing w:after="0" w:line="240" w:lineRule="auto"/>
      </w:pPr>
      <w:r>
        <w:separator/>
      </w:r>
    </w:p>
  </w:endnote>
  <w:endnote w:type="continuationSeparator" w:id="0">
    <w:p w14:paraId="243D1C0C" w14:textId="77777777" w:rsidR="00B32ADA" w:rsidRDefault="00B32ADA" w:rsidP="0022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807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A416C" w14:textId="3161068A" w:rsidR="003D44E4" w:rsidRDefault="003D44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3C76D" w14:textId="77777777" w:rsidR="003D44E4" w:rsidRDefault="003D4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9548" w14:textId="77777777" w:rsidR="00B32ADA" w:rsidRDefault="00B32ADA" w:rsidP="00224C94">
      <w:pPr>
        <w:spacing w:after="0" w:line="240" w:lineRule="auto"/>
      </w:pPr>
      <w:r>
        <w:separator/>
      </w:r>
    </w:p>
  </w:footnote>
  <w:footnote w:type="continuationSeparator" w:id="0">
    <w:p w14:paraId="6616DF06" w14:textId="77777777" w:rsidR="00B32ADA" w:rsidRDefault="00B32ADA" w:rsidP="00224C94">
      <w:pPr>
        <w:spacing w:after="0" w:line="240" w:lineRule="auto"/>
      </w:pPr>
      <w:r>
        <w:continuationSeparator/>
      </w:r>
    </w:p>
  </w:footnote>
  <w:footnote w:id="1">
    <w:p w14:paraId="0305EFD5" w14:textId="378FA98D" w:rsidR="00224C94" w:rsidRPr="00224C94" w:rsidRDefault="00224C94" w:rsidP="00967853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C42C07" w:rsidRPr="006F7287">
        <w:rPr>
          <w:rFonts w:asciiTheme="majorBidi" w:hAnsiTheme="majorBidi" w:cstheme="majorBidi"/>
          <w:sz w:val="18"/>
          <w:szCs w:val="18"/>
          <w:lang w:val="en-US"/>
        </w:rPr>
        <w:t>T</w:t>
      </w:r>
      <w:r w:rsidR="00B3440F" w:rsidRPr="006F7287">
        <w:rPr>
          <w:rFonts w:asciiTheme="majorBidi" w:hAnsiTheme="majorBidi" w:cstheme="majorBidi"/>
          <w:sz w:val="18"/>
          <w:szCs w:val="18"/>
          <w:lang w:val="en-US"/>
        </w:rPr>
        <w:t>he purpose of this framework is to guide the capacity development</w:t>
      </w:r>
      <w:r w:rsidR="006F7287" w:rsidRPr="006F7287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 w:rsidR="00E10A8B">
        <w:rPr>
          <w:rFonts w:asciiTheme="majorBidi" w:hAnsiTheme="majorBidi" w:cstheme="majorBidi"/>
          <w:sz w:val="18"/>
          <w:szCs w:val="18"/>
          <w:lang w:val="en-US"/>
        </w:rPr>
        <w:t xml:space="preserve">efforts </w:t>
      </w:r>
      <w:r w:rsidR="006F7287" w:rsidRPr="006F7287">
        <w:rPr>
          <w:rFonts w:asciiTheme="majorBidi" w:hAnsiTheme="majorBidi" w:cstheme="majorBidi"/>
          <w:sz w:val="18"/>
          <w:szCs w:val="18"/>
          <w:lang w:val="en-US"/>
        </w:rPr>
        <w:t xml:space="preserve">of government and non-government </w:t>
      </w:r>
      <w:r w:rsidR="00967853" w:rsidRPr="006F7287">
        <w:rPr>
          <w:rFonts w:asciiTheme="majorBidi" w:hAnsiTheme="majorBidi" w:cstheme="majorBidi"/>
          <w:sz w:val="18"/>
          <w:szCs w:val="18"/>
          <w:lang w:val="en-US"/>
        </w:rPr>
        <w:t>actors, including</w:t>
      </w:r>
      <w:r w:rsidR="006F7287" w:rsidRPr="006F7287">
        <w:rPr>
          <w:rFonts w:asciiTheme="majorBidi" w:hAnsiTheme="majorBidi" w:cstheme="majorBidi"/>
          <w:sz w:val="18"/>
          <w:szCs w:val="18"/>
          <w:lang w:val="en-US"/>
        </w:rPr>
        <w:t xml:space="preserve"> indigenous peoples and local communities, in support of priorities determined by Parties in their national biodiversity strategies and action plans for the implementation of the Kunming-Montreal Global Biodiversity Framework</w:t>
      </w:r>
      <w:r w:rsidR="006F7287">
        <w:rPr>
          <w:rFonts w:asciiTheme="majorBidi" w:hAnsiTheme="majorBidi" w:cstheme="majorBidi"/>
          <w:sz w:val="18"/>
          <w:szCs w:val="18"/>
          <w:lang w:val="en-US"/>
        </w:rPr>
        <w:t>.</w:t>
      </w:r>
    </w:p>
  </w:footnote>
  <w:footnote w:id="2">
    <w:p w14:paraId="74DBA09D" w14:textId="5CCF970E" w:rsidR="00D31374" w:rsidRPr="00D31374" w:rsidRDefault="00D31374" w:rsidP="00967853">
      <w:pPr>
        <w:pStyle w:val="FootnoteText"/>
        <w:jc w:val="both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val="en-US"/>
        </w:rPr>
        <w:t xml:space="preserve">The mechanism consists of 18 subregional and/or regional technical and scientific cooperation support centres (TSCCs) coordinated by a </w:t>
      </w:r>
      <w:r w:rsidR="00BB5259">
        <w:rPr>
          <w:rFonts w:asciiTheme="majorBidi" w:hAnsiTheme="majorBidi" w:cstheme="majorBidi"/>
          <w:sz w:val="18"/>
          <w:szCs w:val="18"/>
          <w:lang w:val="en-US"/>
        </w:rPr>
        <w:t>global</w:t>
      </w:r>
      <w:r>
        <w:rPr>
          <w:rFonts w:asciiTheme="majorBidi" w:hAnsiTheme="majorBidi" w:cstheme="majorBidi"/>
          <w:sz w:val="18"/>
          <w:szCs w:val="18"/>
          <w:lang w:val="en-US"/>
        </w:rPr>
        <w:t xml:space="preserve"> coordination entity hosted by the Secretariat. A complete list of the TSCCs as well as the countries they cover is available at </w:t>
      </w:r>
      <w:hyperlink r:id="rId1" w:history="1">
        <w:r w:rsidR="00186FC3" w:rsidRPr="006A3C88">
          <w:rPr>
            <w:rStyle w:val="Hyperlink"/>
            <w:rFonts w:asciiTheme="majorBidi" w:hAnsiTheme="majorBidi" w:cstheme="majorBidi"/>
            <w:sz w:val="18"/>
            <w:szCs w:val="18"/>
            <w:lang w:val="en-US"/>
          </w:rPr>
          <w:t>https://www.cbd.int/tsc/tscm</w:t>
        </w:r>
      </w:hyperlink>
      <w:r w:rsidR="00186FC3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</w:p>
  </w:footnote>
  <w:footnote w:id="3">
    <w:p w14:paraId="44A9F857" w14:textId="77777777" w:rsidR="000B79BB" w:rsidRPr="00FE606C" w:rsidRDefault="000B79BB" w:rsidP="000B79B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5E105A">
          <w:rPr>
            <w:rStyle w:val="Hyperlink"/>
            <w:rFonts w:asciiTheme="majorBidi" w:hAnsiTheme="majorBidi" w:cstheme="majorBidi"/>
            <w:sz w:val="18"/>
            <w:szCs w:val="18"/>
          </w:rPr>
          <w:t>CBD/TSC/IAG/2024/1/2</w:t>
        </w:r>
      </w:hyperlink>
    </w:p>
  </w:footnote>
  <w:footnote w:id="4">
    <w:p w14:paraId="21B3E772" w14:textId="370F0C73" w:rsidR="00727444" w:rsidRPr="00727444" w:rsidRDefault="0072744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13E32">
        <w:rPr>
          <w:rFonts w:asciiTheme="majorBidi" w:hAnsiTheme="majorBidi" w:cstheme="majorBidi"/>
          <w:sz w:val="18"/>
          <w:szCs w:val="18"/>
          <w:lang w:val="en-US"/>
        </w:rPr>
        <w:t xml:space="preserve">A proposal with draft criteria </w:t>
      </w:r>
      <w:r w:rsidR="008E3FF0">
        <w:rPr>
          <w:rFonts w:asciiTheme="majorBidi" w:hAnsiTheme="majorBidi" w:cstheme="majorBidi"/>
          <w:sz w:val="18"/>
          <w:szCs w:val="18"/>
          <w:lang w:val="en-US"/>
        </w:rPr>
        <w:t xml:space="preserve">for evaluating the performance of  the TSCCs and the GCE </w:t>
      </w:r>
      <w:r w:rsidRPr="00913E32">
        <w:rPr>
          <w:rFonts w:asciiTheme="majorBidi" w:hAnsiTheme="majorBidi" w:cstheme="majorBidi"/>
          <w:sz w:val="18"/>
          <w:szCs w:val="18"/>
          <w:lang w:val="en-US"/>
        </w:rPr>
        <w:t xml:space="preserve">will be prepared for the consideration of the Informal Advisory Group </w:t>
      </w:r>
      <w:r w:rsidR="00E625DC" w:rsidRPr="00913E32">
        <w:rPr>
          <w:rFonts w:asciiTheme="majorBidi" w:hAnsiTheme="majorBidi" w:cstheme="majorBidi"/>
          <w:sz w:val="18"/>
          <w:szCs w:val="18"/>
          <w:lang w:val="en-US"/>
        </w:rPr>
        <w:t xml:space="preserve">during its meeting to take place on </w:t>
      </w:r>
      <w:r w:rsidR="00226503" w:rsidRPr="00913E32">
        <w:rPr>
          <w:rFonts w:asciiTheme="majorBidi" w:hAnsiTheme="majorBidi" w:cstheme="majorBidi"/>
          <w:sz w:val="18"/>
          <w:szCs w:val="18"/>
          <w:lang w:val="en-US"/>
        </w:rPr>
        <w:t>30</w:t>
      </w:r>
      <w:r w:rsidR="00913E32" w:rsidRPr="00913E32">
        <w:rPr>
          <w:rFonts w:asciiTheme="majorBidi" w:hAnsiTheme="majorBidi" w:cstheme="majorBidi"/>
          <w:sz w:val="18"/>
          <w:szCs w:val="18"/>
          <w:lang w:val="en-US"/>
        </w:rPr>
        <w:t xml:space="preserve"> September to 2 October 2025 in Montreal, Canada.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1CF"/>
    <w:multiLevelType w:val="hybridMultilevel"/>
    <w:tmpl w:val="89E0C34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585F4C"/>
    <w:multiLevelType w:val="hybridMultilevel"/>
    <w:tmpl w:val="EFCAA102"/>
    <w:lvl w:ilvl="0" w:tplc="CD5A82D6">
      <w:start w:val="1"/>
      <w:numFmt w:val="upperLetter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86370"/>
    <w:multiLevelType w:val="hybridMultilevel"/>
    <w:tmpl w:val="0D38A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F1E9F"/>
    <w:multiLevelType w:val="hybridMultilevel"/>
    <w:tmpl w:val="D6F2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63CF"/>
    <w:multiLevelType w:val="hybridMultilevel"/>
    <w:tmpl w:val="89E0C3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D9393E"/>
    <w:multiLevelType w:val="hybridMultilevel"/>
    <w:tmpl w:val="9C804CD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442B4"/>
    <w:multiLevelType w:val="multilevel"/>
    <w:tmpl w:val="4FF01174"/>
    <w:styleLink w:val="Style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70174406">
    <w:abstractNumId w:val="2"/>
  </w:num>
  <w:num w:numId="2" w16cid:durableId="902444727">
    <w:abstractNumId w:val="5"/>
  </w:num>
  <w:num w:numId="3" w16cid:durableId="340861835">
    <w:abstractNumId w:val="3"/>
  </w:num>
  <w:num w:numId="4" w16cid:durableId="898201822">
    <w:abstractNumId w:val="4"/>
  </w:num>
  <w:num w:numId="5" w16cid:durableId="1555849014">
    <w:abstractNumId w:val="0"/>
  </w:num>
  <w:num w:numId="6" w16cid:durableId="455221182">
    <w:abstractNumId w:val="6"/>
  </w:num>
  <w:num w:numId="7" w16cid:durableId="139323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8B"/>
    <w:rsid w:val="00002F62"/>
    <w:rsid w:val="00004567"/>
    <w:rsid w:val="00005D93"/>
    <w:rsid w:val="000276EE"/>
    <w:rsid w:val="00032B48"/>
    <w:rsid w:val="000337CF"/>
    <w:rsid w:val="0003486E"/>
    <w:rsid w:val="000361E2"/>
    <w:rsid w:val="000508C9"/>
    <w:rsid w:val="00070AB9"/>
    <w:rsid w:val="00071612"/>
    <w:rsid w:val="00077D86"/>
    <w:rsid w:val="00092589"/>
    <w:rsid w:val="00097257"/>
    <w:rsid w:val="000A0344"/>
    <w:rsid w:val="000A1716"/>
    <w:rsid w:val="000A5D06"/>
    <w:rsid w:val="000B0C64"/>
    <w:rsid w:val="000B79BB"/>
    <w:rsid w:val="000C2F0E"/>
    <w:rsid w:val="000D4D56"/>
    <w:rsid w:val="000F4107"/>
    <w:rsid w:val="001077EA"/>
    <w:rsid w:val="00110BF4"/>
    <w:rsid w:val="00112605"/>
    <w:rsid w:val="00114836"/>
    <w:rsid w:val="00115539"/>
    <w:rsid w:val="00116EAE"/>
    <w:rsid w:val="00122566"/>
    <w:rsid w:val="0012364D"/>
    <w:rsid w:val="00126EA7"/>
    <w:rsid w:val="001308C5"/>
    <w:rsid w:val="00130BB9"/>
    <w:rsid w:val="0013630A"/>
    <w:rsid w:val="00142286"/>
    <w:rsid w:val="00144021"/>
    <w:rsid w:val="001615BC"/>
    <w:rsid w:val="00161638"/>
    <w:rsid w:val="00167912"/>
    <w:rsid w:val="00173E79"/>
    <w:rsid w:val="00177A18"/>
    <w:rsid w:val="00186FC3"/>
    <w:rsid w:val="00196737"/>
    <w:rsid w:val="00196D07"/>
    <w:rsid w:val="001A7F8B"/>
    <w:rsid w:val="001B3D11"/>
    <w:rsid w:val="001C6601"/>
    <w:rsid w:val="001C7AFB"/>
    <w:rsid w:val="001D4AE1"/>
    <w:rsid w:val="001D6768"/>
    <w:rsid w:val="001E566B"/>
    <w:rsid w:val="001F0A80"/>
    <w:rsid w:val="001F2E81"/>
    <w:rsid w:val="001F5567"/>
    <w:rsid w:val="001F5E65"/>
    <w:rsid w:val="002114B5"/>
    <w:rsid w:val="002114BB"/>
    <w:rsid w:val="002167BE"/>
    <w:rsid w:val="00224C94"/>
    <w:rsid w:val="00226503"/>
    <w:rsid w:val="002302AC"/>
    <w:rsid w:val="002306A5"/>
    <w:rsid w:val="0023595E"/>
    <w:rsid w:val="0025042E"/>
    <w:rsid w:val="00250D06"/>
    <w:rsid w:val="002528BD"/>
    <w:rsid w:val="002652B6"/>
    <w:rsid w:val="00290256"/>
    <w:rsid w:val="00294685"/>
    <w:rsid w:val="0029563D"/>
    <w:rsid w:val="002A019B"/>
    <w:rsid w:val="002A1B92"/>
    <w:rsid w:val="002A2A66"/>
    <w:rsid w:val="002B078A"/>
    <w:rsid w:val="002E0052"/>
    <w:rsid w:val="002E1485"/>
    <w:rsid w:val="002E2605"/>
    <w:rsid w:val="002F2BCA"/>
    <w:rsid w:val="002F2FF9"/>
    <w:rsid w:val="002F7C3B"/>
    <w:rsid w:val="00327BC3"/>
    <w:rsid w:val="00330E7B"/>
    <w:rsid w:val="00336DE2"/>
    <w:rsid w:val="0034770B"/>
    <w:rsid w:val="003514DC"/>
    <w:rsid w:val="00354FCE"/>
    <w:rsid w:val="00367FEB"/>
    <w:rsid w:val="003732D4"/>
    <w:rsid w:val="00376D09"/>
    <w:rsid w:val="003810B0"/>
    <w:rsid w:val="00384248"/>
    <w:rsid w:val="0038490E"/>
    <w:rsid w:val="00387D80"/>
    <w:rsid w:val="003A0DA1"/>
    <w:rsid w:val="003B03A9"/>
    <w:rsid w:val="003B0ADB"/>
    <w:rsid w:val="003B46D6"/>
    <w:rsid w:val="003B53E8"/>
    <w:rsid w:val="003C1F67"/>
    <w:rsid w:val="003C620D"/>
    <w:rsid w:val="003C633F"/>
    <w:rsid w:val="003D011E"/>
    <w:rsid w:val="003D44E4"/>
    <w:rsid w:val="003D67D4"/>
    <w:rsid w:val="003F40EE"/>
    <w:rsid w:val="003F62EC"/>
    <w:rsid w:val="00406096"/>
    <w:rsid w:val="00407CA8"/>
    <w:rsid w:val="00410F60"/>
    <w:rsid w:val="00437A65"/>
    <w:rsid w:val="00440FD2"/>
    <w:rsid w:val="00445502"/>
    <w:rsid w:val="00454599"/>
    <w:rsid w:val="004736EA"/>
    <w:rsid w:val="00473E0F"/>
    <w:rsid w:val="00476C27"/>
    <w:rsid w:val="00486F2B"/>
    <w:rsid w:val="00492717"/>
    <w:rsid w:val="00494F64"/>
    <w:rsid w:val="00495919"/>
    <w:rsid w:val="004A7B6A"/>
    <w:rsid w:val="004C0E65"/>
    <w:rsid w:val="004C3ED4"/>
    <w:rsid w:val="004E42A9"/>
    <w:rsid w:val="004F01A7"/>
    <w:rsid w:val="004F1F45"/>
    <w:rsid w:val="0050368C"/>
    <w:rsid w:val="0050455E"/>
    <w:rsid w:val="005167A3"/>
    <w:rsid w:val="0051706A"/>
    <w:rsid w:val="0052094F"/>
    <w:rsid w:val="00520AC9"/>
    <w:rsid w:val="00530F32"/>
    <w:rsid w:val="00532CDD"/>
    <w:rsid w:val="00537FB7"/>
    <w:rsid w:val="005520AE"/>
    <w:rsid w:val="00556EA3"/>
    <w:rsid w:val="00560B34"/>
    <w:rsid w:val="00580361"/>
    <w:rsid w:val="00582F22"/>
    <w:rsid w:val="00584FCD"/>
    <w:rsid w:val="00590DCD"/>
    <w:rsid w:val="005A1DA7"/>
    <w:rsid w:val="005B13AA"/>
    <w:rsid w:val="005C2ACE"/>
    <w:rsid w:val="005C36F3"/>
    <w:rsid w:val="005D1CB7"/>
    <w:rsid w:val="005D26F8"/>
    <w:rsid w:val="005E105A"/>
    <w:rsid w:val="005E2BFB"/>
    <w:rsid w:val="005E5F1D"/>
    <w:rsid w:val="005F0F1A"/>
    <w:rsid w:val="005F6F13"/>
    <w:rsid w:val="005F7291"/>
    <w:rsid w:val="005F78E4"/>
    <w:rsid w:val="006039E4"/>
    <w:rsid w:val="006063DD"/>
    <w:rsid w:val="00622F08"/>
    <w:rsid w:val="00625BF6"/>
    <w:rsid w:val="00651349"/>
    <w:rsid w:val="00670E81"/>
    <w:rsid w:val="00671938"/>
    <w:rsid w:val="00673F29"/>
    <w:rsid w:val="00683C14"/>
    <w:rsid w:val="0069166A"/>
    <w:rsid w:val="006B3D1C"/>
    <w:rsid w:val="006C2625"/>
    <w:rsid w:val="006C5BF0"/>
    <w:rsid w:val="006C6F91"/>
    <w:rsid w:val="006C7F49"/>
    <w:rsid w:val="006D453D"/>
    <w:rsid w:val="006E1B94"/>
    <w:rsid w:val="006E4353"/>
    <w:rsid w:val="006E5BD9"/>
    <w:rsid w:val="006F7287"/>
    <w:rsid w:val="007079D6"/>
    <w:rsid w:val="00712F31"/>
    <w:rsid w:val="007139FF"/>
    <w:rsid w:val="00727444"/>
    <w:rsid w:val="00731A6D"/>
    <w:rsid w:val="00743835"/>
    <w:rsid w:val="00745386"/>
    <w:rsid w:val="007512A4"/>
    <w:rsid w:val="00765D06"/>
    <w:rsid w:val="00774842"/>
    <w:rsid w:val="0079189E"/>
    <w:rsid w:val="007919C1"/>
    <w:rsid w:val="00791FF5"/>
    <w:rsid w:val="0079313E"/>
    <w:rsid w:val="007A076C"/>
    <w:rsid w:val="007A0AE6"/>
    <w:rsid w:val="007A1A9F"/>
    <w:rsid w:val="007A6447"/>
    <w:rsid w:val="007D5DEE"/>
    <w:rsid w:val="007D65C7"/>
    <w:rsid w:val="007D75DF"/>
    <w:rsid w:val="007F284F"/>
    <w:rsid w:val="007F5614"/>
    <w:rsid w:val="007F5835"/>
    <w:rsid w:val="007F5E10"/>
    <w:rsid w:val="00802025"/>
    <w:rsid w:val="00814AA9"/>
    <w:rsid w:val="008175E1"/>
    <w:rsid w:val="0082579A"/>
    <w:rsid w:val="008349A5"/>
    <w:rsid w:val="00835B64"/>
    <w:rsid w:val="00845550"/>
    <w:rsid w:val="00846FF9"/>
    <w:rsid w:val="00847BBF"/>
    <w:rsid w:val="008503F8"/>
    <w:rsid w:val="00857EEA"/>
    <w:rsid w:val="00860000"/>
    <w:rsid w:val="00862EB5"/>
    <w:rsid w:val="00866C94"/>
    <w:rsid w:val="00867D8F"/>
    <w:rsid w:val="00870785"/>
    <w:rsid w:val="00870E33"/>
    <w:rsid w:val="00874D00"/>
    <w:rsid w:val="0087736E"/>
    <w:rsid w:val="00877AFC"/>
    <w:rsid w:val="00880F34"/>
    <w:rsid w:val="0088178F"/>
    <w:rsid w:val="00883F24"/>
    <w:rsid w:val="0088556A"/>
    <w:rsid w:val="008A27CF"/>
    <w:rsid w:val="008A7C73"/>
    <w:rsid w:val="008B1EDD"/>
    <w:rsid w:val="008C5158"/>
    <w:rsid w:val="008C5297"/>
    <w:rsid w:val="008C72AC"/>
    <w:rsid w:val="008C7CF9"/>
    <w:rsid w:val="008D2F31"/>
    <w:rsid w:val="008D34A3"/>
    <w:rsid w:val="008D68F5"/>
    <w:rsid w:val="008D6EA0"/>
    <w:rsid w:val="008E3FF0"/>
    <w:rsid w:val="008E5446"/>
    <w:rsid w:val="008F249D"/>
    <w:rsid w:val="008F4DE8"/>
    <w:rsid w:val="008F58AA"/>
    <w:rsid w:val="009136D8"/>
    <w:rsid w:val="00913E32"/>
    <w:rsid w:val="00923DF4"/>
    <w:rsid w:val="0092660A"/>
    <w:rsid w:val="0093069C"/>
    <w:rsid w:val="00934C1D"/>
    <w:rsid w:val="00935EFF"/>
    <w:rsid w:val="00936A1A"/>
    <w:rsid w:val="00936C6A"/>
    <w:rsid w:val="00940259"/>
    <w:rsid w:val="00944FC7"/>
    <w:rsid w:val="00950AB4"/>
    <w:rsid w:val="00955D21"/>
    <w:rsid w:val="009609BC"/>
    <w:rsid w:val="00965E39"/>
    <w:rsid w:val="00967853"/>
    <w:rsid w:val="00981949"/>
    <w:rsid w:val="009839F7"/>
    <w:rsid w:val="00992EBB"/>
    <w:rsid w:val="0099666A"/>
    <w:rsid w:val="00996862"/>
    <w:rsid w:val="0099729C"/>
    <w:rsid w:val="009A1EB4"/>
    <w:rsid w:val="009A3016"/>
    <w:rsid w:val="009A4C82"/>
    <w:rsid w:val="009A4E03"/>
    <w:rsid w:val="009C4027"/>
    <w:rsid w:val="009D7F4A"/>
    <w:rsid w:val="009E081F"/>
    <w:rsid w:val="009F375A"/>
    <w:rsid w:val="00A005ED"/>
    <w:rsid w:val="00A04DE5"/>
    <w:rsid w:val="00A10DEB"/>
    <w:rsid w:val="00A141EF"/>
    <w:rsid w:val="00A2134B"/>
    <w:rsid w:val="00A244EE"/>
    <w:rsid w:val="00A25849"/>
    <w:rsid w:val="00A25FFA"/>
    <w:rsid w:val="00A30C23"/>
    <w:rsid w:val="00A36F6F"/>
    <w:rsid w:val="00A4640B"/>
    <w:rsid w:val="00A46E98"/>
    <w:rsid w:val="00A5221E"/>
    <w:rsid w:val="00A52D82"/>
    <w:rsid w:val="00A67BDE"/>
    <w:rsid w:val="00A82FB3"/>
    <w:rsid w:val="00A85000"/>
    <w:rsid w:val="00A87A18"/>
    <w:rsid w:val="00A95BF7"/>
    <w:rsid w:val="00A97DBE"/>
    <w:rsid w:val="00AB6ACD"/>
    <w:rsid w:val="00AC0DEB"/>
    <w:rsid w:val="00AC1D04"/>
    <w:rsid w:val="00AC4B47"/>
    <w:rsid w:val="00AC57EA"/>
    <w:rsid w:val="00AD16E1"/>
    <w:rsid w:val="00AD2CEF"/>
    <w:rsid w:val="00AF2237"/>
    <w:rsid w:val="00B037B1"/>
    <w:rsid w:val="00B05D54"/>
    <w:rsid w:val="00B12AD7"/>
    <w:rsid w:val="00B15EBE"/>
    <w:rsid w:val="00B23736"/>
    <w:rsid w:val="00B32ADA"/>
    <w:rsid w:val="00B339A4"/>
    <w:rsid w:val="00B3440F"/>
    <w:rsid w:val="00B365CB"/>
    <w:rsid w:val="00B37D09"/>
    <w:rsid w:val="00B37D2F"/>
    <w:rsid w:val="00B43DE2"/>
    <w:rsid w:val="00B44672"/>
    <w:rsid w:val="00B4569E"/>
    <w:rsid w:val="00B50DD8"/>
    <w:rsid w:val="00B51ACF"/>
    <w:rsid w:val="00B56FBD"/>
    <w:rsid w:val="00B61B4F"/>
    <w:rsid w:val="00B62549"/>
    <w:rsid w:val="00B63E7D"/>
    <w:rsid w:val="00B64CCF"/>
    <w:rsid w:val="00B66BDF"/>
    <w:rsid w:val="00B71B7E"/>
    <w:rsid w:val="00B847C4"/>
    <w:rsid w:val="00B86996"/>
    <w:rsid w:val="00BA5CBC"/>
    <w:rsid w:val="00BB5259"/>
    <w:rsid w:val="00BB79E4"/>
    <w:rsid w:val="00BC280B"/>
    <w:rsid w:val="00BE2CD4"/>
    <w:rsid w:val="00BF4C20"/>
    <w:rsid w:val="00BF5F04"/>
    <w:rsid w:val="00BF68CE"/>
    <w:rsid w:val="00BF791C"/>
    <w:rsid w:val="00C12F53"/>
    <w:rsid w:val="00C16B63"/>
    <w:rsid w:val="00C177DA"/>
    <w:rsid w:val="00C359AE"/>
    <w:rsid w:val="00C369E2"/>
    <w:rsid w:val="00C36E84"/>
    <w:rsid w:val="00C36FD7"/>
    <w:rsid w:val="00C42C07"/>
    <w:rsid w:val="00C45EC7"/>
    <w:rsid w:val="00C606F8"/>
    <w:rsid w:val="00C60A47"/>
    <w:rsid w:val="00C64A94"/>
    <w:rsid w:val="00C6699E"/>
    <w:rsid w:val="00C6775F"/>
    <w:rsid w:val="00C74AC3"/>
    <w:rsid w:val="00C76A3D"/>
    <w:rsid w:val="00C77530"/>
    <w:rsid w:val="00C77CB3"/>
    <w:rsid w:val="00C9151E"/>
    <w:rsid w:val="00C92C5A"/>
    <w:rsid w:val="00C96474"/>
    <w:rsid w:val="00CA3FB5"/>
    <w:rsid w:val="00CB3DC8"/>
    <w:rsid w:val="00CC2A83"/>
    <w:rsid w:val="00CC4F48"/>
    <w:rsid w:val="00CC6CB2"/>
    <w:rsid w:val="00CD1F33"/>
    <w:rsid w:val="00CD35C3"/>
    <w:rsid w:val="00CD664C"/>
    <w:rsid w:val="00CF3186"/>
    <w:rsid w:val="00D00066"/>
    <w:rsid w:val="00D248BE"/>
    <w:rsid w:val="00D2645E"/>
    <w:rsid w:val="00D31374"/>
    <w:rsid w:val="00D360F2"/>
    <w:rsid w:val="00D36E6F"/>
    <w:rsid w:val="00D45A4E"/>
    <w:rsid w:val="00D46385"/>
    <w:rsid w:val="00D56536"/>
    <w:rsid w:val="00D60DC8"/>
    <w:rsid w:val="00D6107E"/>
    <w:rsid w:val="00D61B75"/>
    <w:rsid w:val="00D65B4B"/>
    <w:rsid w:val="00D72283"/>
    <w:rsid w:val="00D80C5E"/>
    <w:rsid w:val="00D810FE"/>
    <w:rsid w:val="00D845D5"/>
    <w:rsid w:val="00D96C25"/>
    <w:rsid w:val="00D97231"/>
    <w:rsid w:val="00DA1C8F"/>
    <w:rsid w:val="00DA52E8"/>
    <w:rsid w:val="00DA53BC"/>
    <w:rsid w:val="00DB6323"/>
    <w:rsid w:val="00DB7B4B"/>
    <w:rsid w:val="00DD54EA"/>
    <w:rsid w:val="00DE02A5"/>
    <w:rsid w:val="00E04250"/>
    <w:rsid w:val="00E05FEF"/>
    <w:rsid w:val="00E10A8B"/>
    <w:rsid w:val="00E16DBE"/>
    <w:rsid w:val="00E20432"/>
    <w:rsid w:val="00E25AED"/>
    <w:rsid w:val="00E265CA"/>
    <w:rsid w:val="00E319FE"/>
    <w:rsid w:val="00E4174C"/>
    <w:rsid w:val="00E45074"/>
    <w:rsid w:val="00E4691E"/>
    <w:rsid w:val="00E60051"/>
    <w:rsid w:val="00E625DC"/>
    <w:rsid w:val="00E63693"/>
    <w:rsid w:val="00E657A2"/>
    <w:rsid w:val="00E82A13"/>
    <w:rsid w:val="00E84DAA"/>
    <w:rsid w:val="00E86581"/>
    <w:rsid w:val="00E865E4"/>
    <w:rsid w:val="00E92277"/>
    <w:rsid w:val="00E95C04"/>
    <w:rsid w:val="00EA2174"/>
    <w:rsid w:val="00EA618A"/>
    <w:rsid w:val="00EA675C"/>
    <w:rsid w:val="00EB1BD9"/>
    <w:rsid w:val="00EB1DB9"/>
    <w:rsid w:val="00EC3CD7"/>
    <w:rsid w:val="00EC6E01"/>
    <w:rsid w:val="00ED1D8F"/>
    <w:rsid w:val="00ED5008"/>
    <w:rsid w:val="00ED6EB0"/>
    <w:rsid w:val="00ED74A0"/>
    <w:rsid w:val="00EE59A4"/>
    <w:rsid w:val="00EF051E"/>
    <w:rsid w:val="00EF13CC"/>
    <w:rsid w:val="00EF5736"/>
    <w:rsid w:val="00F01F8F"/>
    <w:rsid w:val="00F07D2E"/>
    <w:rsid w:val="00F111C1"/>
    <w:rsid w:val="00F1149B"/>
    <w:rsid w:val="00F12FA4"/>
    <w:rsid w:val="00F21CFD"/>
    <w:rsid w:val="00F252F5"/>
    <w:rsid w:val="00F26BFD"/>
    <w:rsid w:val="00F33033"/>
    <w:rsid w:val="00F375EB"/>
    <w:rsid w:val="00F47C4D"/>
    <w:rsid w:val="00F50B5E"/>
    <w:rsid w:val="00F50F8C"/>
    <w:rsid w:val="00F573B4"/>
    <w:rsid w:val="00F60A12"/>
    <w:rsid w:val="00F65599"/>
    <w:rsid w:val="00F6792F"/>
    <w:rsid w:val="00F7648B"/>
    <w:rsid w:val="00F81147"/>
    <w:rsid w:val="00F84D01"/>
    <w:rsid w:val="00F86DF5"/>
    <w:rsid w:val="00F87AF2"/>
    <w:rsid w:val="00F91C30"/>
    <w:rsid w:val="00F95AEE"/>
    <w:rsid w:val="00FA3DB8"/>
    <w:rsid w:val="00FA6360"/>
    <w:rsid w:val="00FB0445"/>
    <w:rsid w:val="00FB1E25"/>
    <w:rsid w:val="00FB613F"/>
    <w:rsid w:val="00FC61B4"/>
    <w:rsid w:val="00FD2F41"/>
    <w:rsid w:val="00FD7B51"/>
    <w:rsid w:val="00FE606C"/>
    <w:rsid w:val="00FF2F1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AAFA4"/>
  <w15:chartTrackingRefBased/>
  <w15:docId w15:val="{80C7C03A-7E0C-4C5E-87F3-97A28793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1A7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F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F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F8B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F8B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F8B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F8B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F8B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F8B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F8B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A7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F8B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F8B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1A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F8B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1A7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F8B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1A7F8B"/>
    <w:rPr>
      <w:b/>
      <w:bCs/>
      <w:smallCaps/>
      <w:color w:val="0F4761" w:themeColor="accent1" w:themeShade="BF"/>
      <w:spacing w:val="5"/>
    </w:rPr>
  </w:style>
  <w:style w:type="paragraph" w:customStyle="1" w:styleId="Para1">
    <w:name w:val="Para1"/>
    <w:basedOn w:val="Normal"/>
    <w:link w:val="Para1Char"/>
    <w:qFormat/>
    <w:rsid w:val="006E1B9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2"/>
      <w:szCs w:val="18"/>
      <w:lang w:val="en-GB" w:eastAsia="en-US"/>
      <w14:ligatures w14:val="none"/>
    </w:rPr>
  </w:style>
  <w:style w:type="character" w:customStyle="1" w:styleId="Para1Char">
    <w:name w:val="Para1 Char"/>
    <w:link w:val="Para1"/>
    <w:qFormat/>
    <w:locked/>
    <w:rsid w:val="006E1B94"/>
    <w:rPr>
      <w:rFonts w:ascii="Times New Roman" w:eastAsia="Times New Roman" w:hAnsi="Times New Roman" w:cs="Times New Roman"/>
      <w:snapToGrid w:val="0"/>
      <w:kern w:val="0"/>
      <w:sz w:val="22"/>
      <w:szCs w:val="18"/>
      <w:lang w:val="en-GB" w:eastAsia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C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C94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224C9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6F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F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4E4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D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E4"/>
    <w:rPr>
      <w:lang w:val="en-CA"/>
    </w:rPr>
  </w:style>
  <w:style w:type="numbering" w:customStyle="1" w:styleId="Style2">
    <w:name w:val="Style2"/>
    <w:rsid w:val="00E4174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doc/c/4464/c36b/67438e54c88b3a7a18541831/tsc-iag-2024-01-02-en.docx" TargetMode="External"/><Relationship Id="rId1" Type="http://schemas.openxmlformats.org/officeDocument/2006/relationships/hyperlink" Target="https://www.cbd.int/tsc/t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c94992f5-a359-4d94-8e49-dff5d2ea1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3986C6E596F4C96CD14E9741E51CD" ma:contentTypeVersion="18" ma:contentTypeDescription="Create a new document." ma:contentTypeScope="" ma:versionID="fab21c5adeab2d0853a59615c4fbb272">
  <xsd:schema xmlns:xsd="http://www.w3.org/2001/XMLSchema" xmlns:xs="http://www.w3.org/2001/XMLSchema" xmlns:p="http://schemas.microsoft.com/office/2006/metadata/properties" xmlns:ns2="c94992f5-a359-4d94-8e49-dff5d2ea1d95" xmlns:ns3="fe72fbc4-6f8a-48c1-aa23-bf2e3b11ad0f" xmlns:ns4="985ec44e-1bab-4c0b-9df0-6ba128686fc9" targetNamespace="http://schemas.microsoft.com/office/2006/metadata/properties" ma:root="true" ma:fieldsID="184de465073913577a4cb64b0db36386" ns2:_="" ns3:_="" ns4:_="">
    <xsd:import namespace="c94992f5-a359-4d94-8e49-dff5d2ea1d95"/>
    <xsd:import namespace="fe72fbc4-6f8a-48c1-aa23-bf2e3b11ad0f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992f5-a359-4d94-8e49-dff5d2ea1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2fbc4-6f8a-48c1-aa23-bf2e3b11a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42433fd-4ae7-40fc-8dcd-2b202d3840bb}" ma:internalName="TaxCatchAll" ma:showField="CatchAllData" ma:web="fe72fbc4-6f8a-48c1-aa23-bf2e3b11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AA2F5-24E7-4A78-8CF6-F182E3E5BD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724E8-F3F5-43C0-98CF-722C9D134FFB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fe72fbc4-6f8a-48c1-aa23-bf2e3b11ad0f"/>
    <ds:schemaRef ds:uri="985ec44e-1bab-4c0b-9df0-6ba128686fc9"/>
    <ds:schemaRef ds:uri="http://schemas.microsoft.com/office/infopath/2007/PartnerControls"/>
    <ds:schemaRef ds:uri="c94992f5-a359-4d94-8e49-dff5d2ea1d95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863B9B-89FF-4516-9BFC-83E5FBD54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E3A75-0809-4CB0-9103-279B36266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992f5-a359-4d94-8e49-dff5d2ea1d95"/>
    <ds:schemaRef ds:uri="fe72fbc4-6f8a-48c1-aa23-bf2e3b11ad0f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1668</Words>
  <Characters>9513</Characters>
  <Application>Microsoft Office Word</Application>
  <DocSecurity>0</DocSecurity>
  <Lines>79</Lines>
  <Paragraphs>22</Paragraphs>
  <ScaleCrop>false</ScaleCrop>
  <Company/>
  <LinksUpToDate>false</LinksUpToDate>
  <CharactersWithSpaces>11159</CharactersWithSpaces>
  <SharedDoc>false</SharedDoc>
  <HLinks>
    <vt:vector size="12" baseType="variant">
      <vt:variant>
        <vt:i4>2818086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https://www.cbd.int/doc/c/4464/c36b/67438e54c88b3a7a18541831/tsc-iag-2024-01-02-en.docx</vt:lpwstr>
      </vt:variant>
      <vt:variant>
        <vt:lpwstr/>
      </vt:variant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https://www.cbd.int/tsc/tscm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scbd</dc:creator>
  <cp:keywords/>
  <dc:description/>
  <cp:lastModifiedBy>scbd</cp:lastModifiedBy>
  <cp:revision>2</cp:revision>
  <dcterms:created xsi:type="dcterms:W3CDTF">2025-08-08T15:18:00Z</dcterms:created>
  <dcterms:modified xsi:type="dcterms:W3CDTF">2025-08-08T15:18:00Z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0x010100A843986C6E596F4C96CD14E9741E51CD</vt:lpwstr>
  </property>
  <property fmtid="{D5CDD505-2E9C-101B-9397-08002B2CF9AE}" pid="3" name="MediaServiceImageTags">
    <vt:lpwstr/>
  </property>
</Properties>
</file>