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B0AE" w14:textId="00878AE5" w:rsidR="00F522C8" w:rsidRPr="00000E0D" w:rsidRDefault="00891BEC" w:rsidP="00891BEC">
      <w:pPr>
        <w:jc w:val="center"/>
        <w:rPr>
          <w:rFonts w:ascii="Arial" w:hAnsi="Arial" w:cs="Arial"/>
          <w:b/>
          <w:bCs/>
        </w:rPr>
      </w:pPr>
      <w:r w:rsidRPr="00000E0D">
        <w:rPr>
          <w:rFonts w:ascii="Arial" w:hAnsi="Arial" w:cs="Arial"/>
          <w:b/>
          <w:bCs/>
        </w:rPr>
        <w:t>Draft criteria for assessing the performance of T</w:t>
      </w:r>
      <w:r w:rsidR="00BA6C62">
        <w:rPr>
          <w:rFonts w:ascii="Arial" w:hAnsi="Arial" w:cs="Arial"/>
          <w:b/>
          <w:bCs/>
        </w:rPr>
        <w:t>echnical and Scientific Cooperation Centres and the Global Coordination Entity</w:t>
      </w:r>
    </w:p>
    <w:p w14:paraId="61028F14" w14:textId="77777777" w:rsidR="00A6515A" w:rsidRPr="00000E0D" w:rsidRDefault="00A6515A">
      <w:pPr>
        <w:rPr>
          <w:rFonts w:ascii="Arial" w:hAnsi="Arial" w:cs="Arial"/>
        </w:rPr>
      </w:pPr>
    </w:p>
    <w:p w14:paraId="56B26914" w14:textId="3AD03809" w:rsidR="005B0755" w:rsidRPr="00000E0D" w:rsidRDefault="00F522C8">
      <w:pPr>
        <w:rPr>
          <w:rFonts w:ascii="Arial" w:hAnsi="Arial" w:cs="Arial"/>
          <w:b/>
          <w:bCs/>
        </w:rPr>
      </w:pPr>
      <w:r w:rsidRPr="00000E0D">
        <w:rPr>
          <w:rFonts w:ascii="Arial" w:hAnsi="Arial" w:cs="Arial"/>
          <w:b/>
          <w:bCs/>
        </w:rPr>
        <w:t>Background</w:t>
      </w:r>
    </w:p>
    <w:p w14:paraId="1F597C5B" w14:textId="6FEBDC53" w:rsidR="00000E0D" w:rsidRDefault="00BD0533" w:rsidP="00E63329">
      <w:pPr>
        <w:jc w:val="both"/>
        <w:rPr>
          <w:rFonts w:ascii="Arial" w:eastAsia="Times New Roman" w:hAnsi="Arial" w:cs="Arial"/>
        </w:rPr>
      </w:pPr>
      <w:r w:rsidRPr="00000E0D">
        <w:rPr>
          <w:rFonts w:ascii="Arial" w:hAnsi="Arial" w:cs="Arial"/>
        </w:rPr>
        <w:t xml:space="preserve">In decision 16/3 paragraph </w:t>
      </w:r>
      <w:r w:rsidR="007B04A2" w:rsidRPr="00000E0D">
        <w:rPr>
          <w:rFonts w:ascii="Arial" w:hAnsi="Arial" w:cs="Arial"/>
        </w:rPr>
        <w:t>25</w:t>
      </w:r>
      <w:r w:rsidR="00AF024E">
        <w:rPr>
          <w:rFonts w:ascii="Arial" w:hAnsi="Arial" w:cs="Arial"/>
        </w:rPr>
        <w:t>(</w:t>
      </w:r>
      <w:r w:rsidR="007B04A2" w:rsidRPr="00000E0D">
        <w:rPr>
          <w:rFonts w:ascii="Arial" w:hAnsi="Arial" w:cs="Arial"/>
        </w:rPr>
        <w:t>c</w:t>
      </w:r>
      <w:r w:rsidR="00AF024E">
        <w:rPr>
          <w:rFonts w:ascii="Arial" w:hAnsi="Arial" w:cs="Arial"/>
        </w:rPr>
        <w:t>)</w:t>
      </w:r>
      <w:r w:rsidR="007B04A2" w:rsidRPr="00000E0D">
        <w:rPr>
          <w:rFonts w:ascii="Arial" w:hAnsi="Arial" w:cs="Arial"/>
        </w:rPr>
        <w:t xml:space="preserve"> the Parties requested the Secretariat to </w:t>
      </w:r>
      <w:r w:rsidR="007B04A2" w:rsidRPr="00000E0D">
        <w:rPr>
          <w:rFonts w:ascii="Arial" w:eastAsia="Times New Roman" w:hAnsi="Arial" w:cs="Arial"/>
        </w:rPr>
        <w:t xml:space="preserve">develop, in collaboration with the Informal Advisory Group and in line with the indicators </w:t>
      </w:r>
      <w:r w:rsidR="007B04A2" w:rsidRPr="00000E0D">
        <w:rPr>
          <w:rFonts w:ascii="Arial" w:eastAsiaTheme="majorEastAsia" w:hAnsi="Arial" w:cs="Arial"/>
          <w:color w:val="000000"/>
        </w:rPr>
        <w:t xml:space="preserve">outlined </w:t>
      </w:r>
      <w:r w:rsidR="007B04A2" w:rsidRPr="00000E0D">
        <w:rPr>
          <w:rFonts w:ascii="Arial" w:eastAsia="Times New Roman" w:hAnsi="Arial" w:cs="Arial"/>
        </w:rPr>
        <w:t xml:space="preserve">in document </w:t>
      </w:r>
      <w:hyperlink r:id="rId10" w:history="1">
        <w:r w:rsidR="007B04A2" w:rsidRPr="00000E0D">
          <w:rPr>
            <w:rStyle w:val="Hyperlink"/>
            <w:rFonts w:ascii="Arial" w:eastAsia="Times New Roman" w:hAnsi="Arial" w:cs="Arial"/>
          </w:rPr>
          <w:t>CBD/TSC/IAG/2024/1/2</w:t>
        </w:r>
      </w:hyperlink>
      <w:r w:rsidR="007B04A2" w:rsidRPr="00000E0D">
        <w:rPr>
          <w:rFonts w:ascii="Arial" w:eastAsia="Times New Roman" w:hAnsi="Arial" w:cs="Arial"/>
        </w:rPr>
        <w:t>, the criteria for evaluating the performance of the regional and subregional support centres</w:t>
      </w:r>
      <w:r w:rsidR="00D83FC5">
        <w:rPr>
          <w:rFonts w:ascii="Arial" w:eastAsia="Times New Roman" w:hAnsi="Arial" w:cs="Arial"/>
        </w:rPr>
        <w:t xml:space="preserve"> (TSCCs)</w:t>
      </w:r>
      <w:r w:rsidR="007B04A2" w:rsidRPr="00000E0D">
        <w:rPr>
          <w:rFonts w:ascii="Arial" w:eastAsia="Times New Roman" w:hAnsi="Arial" w:cs="Arial"/>
        </w:rPr>
        <w:t xml:space="preserve"> and of the global coordination entity</w:t>
      </w:r>
      <w:r w:rsidR="00D83FC5">
        <w:rPr>
          <w:rFonts w:ascii="Arial" w:eastAsia="Times New Roman" w:hAnsi="Arial" w:cs="Arial"/>
        </w:rPr>
        <w:t xml:space="preserve"> (GCE)</w:t>
      </w:r>
      <w:r w:rsidR="00000E0D">
        <w:rPr>
          <w:rFonts w:ascii="Arial" w:eastAsia="Times New Roman" w:hAnsi="Arial" w:cs="Arial"/>
        </w:rPr>
        <w:t xml:space="preserve">. </w:t>
      </w:r>
    </w:p>
    <w:p w14:paraId="101C5E3C" w14:textId="65245701" w:rsidR="00000E0D" w:rsidRDefault="00A619D4" w:rsidP="004C5C9A">
      <w:pPr>
        <w:jc w:val="both"/>
        <w:rPr>
          <w:rFonts w:ascii="Arial" w:eastAsia="Times New Roman" w:hAnsi="Arial" w:cs="Arial"/>
        </w:rPr>
      </w:pPr>
      <w:r w:rsidRPr="00A619D4">
        <w:rPr>
          <w:rFonts w:ascii="Arial" w:eastAsia="Times New Roman" w:hAnsi="Arial" w:cs="Arial"/>
        </w:rPr>
        <w:t>At its fifth meeting, the Informal Advisory Group noted that any assessment of the performance of the regional and subregional support centres, as well as the global coordination entity, should be firmly anchored in existing decisions of the Conference of the Parties. In this regard, key reference points include the core functions of the centres and the global coordination entity, the guiding principles of the technical and scientific cooperation mechanism, and relevant elements of the Kunming</w:t>
      </w:r>
      <w:r w:rsidRPr="00A619D4">
        <w:rPr>
          <w:rFonts w:ascii="Cambria Math" w:eastAsia="Times New Roman" w:hAnsi="Cambria Math" w:cs="Cambria Math"/>
        </w:rPr>
        <w:t>‑</w:t>
      </w:r>
      <w:r w:rsidRPr="00A619D4">
        <w:rPr>
          <w:rFonts w:ascii="Arial" w:eastAsia="Times New Roman" w:hAnsi="Arial" w:cs="Arial"/>
        </w:rPr>
        <w:t>Montreal Global Biodiversity Framework and its associated monitoring framework.</w:t>
      </w:r>
      <w:r w:rsidR="00E63329" w:rsidRPr="00E63329">
        <w:rPr>
          <w:rFonts w:ascii="Arial" w:eastAsia="Times New Roman" w:hAnsi="Arial" w:cs="Arial"/>
        </w:rPr>
        <w:t xml:space="preserve"> </w:t>
      </w:r>
    </w:p>
    <w:p w14:paraId="0F971A41" w14:textId="7A19AC60" w:rsidR="00F522C8" w:rsidRDefault="00A84E2C" w:rsidP="0099563C">
      <w:pPr>
        <w:jc w:val="both"/>
        <w:rPr>
          <w:rFonts w:ascii="Arial" w:hAnsi="Arial" w:cs="Arial"/>
        </w:rPr>
      </w:pPr>
      <w:r w:rsidRPr="00A84E2C">
        <w:rPr>
          <w:rFonts w:ascii="Arial" w:hAnsi="Arial" w:cs="Arial"/>
        </w:rPr>
        <w:t>At the same meeting, the Informal Advisory Group provided advice on the draft terms of reference for the independent evaluation of the technical and scientific cooperation mechanism. Subsequently, at the sixth meeting of the Subsidiary Body on Implementation, Parties, through recommendation 6/5, recommended the adoption</w:t>
      </w:r>
      <w:r w:rsidR="004F22A8">
        <w:rPr>
          <w:rFonts w:ascii="Arial" w:hAnsi="Arial" w:cs="Arial"/>
        </w:rPr>
        <w:t xml:space="preserve">, by </w:t>
      </w:r>
      <w:r w:rsidR="00CE2DB2">
        <w:rPr>
          <w:rFonts w:ascii="Arial" w:hAnsi="Arial" w:cs="Arial"/>
        </w:rPr>
        <w:t>COP 17,</w:t>
      </w:r>
      <w:r w:rsidRPr="00A84E2C">
        <w:rPr>
          <w:rFonts w:ascii="Arial" w:hAnsi="Arial" w:cs="Arial"/>
        </w:rPr>
        <w:t xml:space="preserve"> of the draft terms of reference contained in the annex. Section II of the annex, which addresses the evaluation of the technical and scientific cooperation mechanism, refers to the criteria for assessing the performance of the technical and scientific cooperation support centres and calls for the use of the indicators proposed by the Informal Advisory Group at its third meeting.</w:t>
      </w:r>
    </w:p>
    <w:p w14:paraId="0BEE524A" w14:textId="24795B82" w:rsidR="00945582" w:rsidRDefault="00252659" w:rsidP="0099563C">
      <w:pPr>
        <w:jc w:val="both"/>
        <w:rPr>
          <w:rFonts w:ascii="Arial" w:hAnsi="Arial" w:cs="Arial"/>
        </w:rPr>
      </w:pPr>
      <w:r w:rsidRPr="00252659">
        <w:rPr>
          <w:rFonts w:ascii="Arial" w:hAnsi="Arial" w:cs="Arial"/>
        </w:rPr>
        <w:t xml:space="preserve">The GCE has received 13 of the 15 TSCC workplans to date. These submissions provide </w:t>
      </w:r>
      <w:r w:rsidR="00D92981">
        <w:rPr>
          <w:rFonts w:ascii="Arial" w:hAnsi="Arial" w:cs="Arial"/>
        </w:rPr>
        <w:t>additional valuable</w:t>
      </w:r>
      <w:r w:rsidRPr="00252659">
        <w:rPr>
          <w:rFonts w:ascii="Arial" w:hAnsi="Arial" w:cs="Arial"/>
        </w:rPr>
        <w:t xml:space="preserve"> </w:t>
      </w:r>
      <w:r w:rsidR="00D92981">
        <w:rPr>
          <w:rFonts w:ascii="Arial" w:hAnsi="Arial" w:cs="Arial"/>
        </w:rPr>
        <w:t>input</w:t>
      </w:r>
      <w:r w:rsidR="00CC0DDB">
        <w:rPr>
          <w:rFonts w:ascii="Arial" w:hAnsi="Arial" w:cs="Arial"/>
        </w:rPr>
        <w:t>s</w:t>
      </w:r>
      <w:r w:rsidR="00D92981">
        <w:rPr>
          <w:rFonts w:ascii="Arial" w:hAnsi="Arial" w:cs="Arial"/>
        </w:rPr>
        <w:t xml:space="preserve"> to inform</w:t>
      </w:r>
      <w:r w:rsidRPr="00252659">
        <w:rPr>
          <w:rFonts w:ascii="Arial" w:hAnsi="Arial" w:cs="Arial"/>
        </w:rPr>
        <w:t xml:space="preserve"> and refine the criteria for assessing TSCC performance</w:t>
      </w:r>
      <w:r w:rsidR="0023224F">
        <w:rPr>
          <w:rFonts w:ascii="Arial" w:hAnsi="Arial" w:cs="Arial"/>
        </w:rPr>
        <w:t>.</w:t>
      </w:r>
    </w:p>
    <w:p w14:paraId="7B9043FE" w14:textId="72061368" w:rsidR="00F704AF" w:rsidRPr="00E461E3" w:rsidRDefault="002D6A26">
      <w:pPr>
        <w:rPr>
          <w:rFonts w:ascii="Arial" w:hAnsi="Arial" w:cs="Arial"/>
          <w:b/>
          <w:bCs/>
        </w:rPr>
      </w:pPr>
      <w:r>
        <w:rPr>
          <w:rFonts w:ascii="Arial" w:hAnsi="Arial" w:cs="Arial"/>
          <w:b/>
          <w:bCs/>
        </w:rPr>
        <w:t>Draft</w:t>
      </w:r>
      <w:r w:rsidR="00E461E3" w:rsidRPr="00E461E3">
        <w:rPr>
          <w:rFonts w:ascii="Arial" w:hAnsi="Arial" w:cs="Arial"/>
          <w:b/>
          <w:bCs/>
        </w:rPr>
        <w:t xml:space="preserve"> criteria </w:t>
      </w:r>
      <w:r w:rsidR="001519D7">
        <w:rPr>
          <w:rFonts w:ascii="Arial" w:hAnsi="Arial" w:cs="Arial"/>
          <w:b/>
          <w:bCs/>
        </w:rPr>
        <w:t xml:space="preserve">and framework </w:t>
      </w:r>
      <w:r w:rsidR="00E461E3" w:rsidRPr="00E461E3">
        <w:rPr>
          <w:rFonts w:ascii="Arial" w:hAnsi="Arial" w:cs="Arial"/>
          <w:b/>
          <w:bCs/>
        </w:rPr>
        <w:t>for assessing the performance of the TSCCs</w:t>
      </w:r>
    </w:p>
    <w:p w14:paraId="1545D3CB" w14:textId="03CED353" w:rsidR="00F704AF" w:rsidRPr="00000E0D" w:rsidRDefault="004F6DB5">
      <w:pPr>
        <w:rPr>
          <w:rFonts w:ascii="Arial" w:hAnsi="Arial" w:cs="Arial"/>
        </w:rPr>
      </w:pPr>
      <w:r w:rsidRPr="004F6DB5">
        <w:rPr>
          <w:rFonts w:ascii="Arial" w:hAnsi="Arial" w:cs="Arial"/>
        </w:rPr>
        <w:t>The table below consolidates the key elements that inform the definition of the criteria, namely: the core functions of the TSCCs as set out in decision 15/8; the indicators contained in section II of the annex to SBI 6/5; and a compilation of common outputs reflected in TSCC workplans.</w:t>
      </w:r>
    </w:p>
    <w:tbl>
      <w:tblPr>
        <w:tblStyle w:val="TableGrid"/>
        <w:tblpPr w:leftFromText="180" w:rightFromText="180" w:vertAnchor="page" w:horzAnchor="margin" w:tblpY="1826"/>
        <w:tblW w:w="0" w:type="auto"/>
        <w:tblLook w:val="04A0" w:firstRow="1" w:lastRow="0" w:firstColumn="1" w:lastColumn="0" w:noHBand="0" w:noVBand="1"/>
      </w:tblPr>
      <w:tblGrid>
        <w:gridCol w:w="3106"/>
        <w:gridCol w:w="3076"/>
        <w:gridCol w:w="3168"/>
      </w:tblGrid>
      <w:tr w:rsidR="00222174" w:rsidRPr="00000E0D" w14:paraId="0ABFB970" w14:textId="77777777" w:rsidTr="00222174">
        <w:tc>
          <w:tcPr>
            <w:tcW w:w="9350" w:type="dxa"/>
            <w:gridSpan w:val="3"/>
            <w:shd w:val="clear" w:color="auto" w:fill="000000" w:themeFill="text1"/>
          </w:tcPr>
          <w:p w14:paraId="2BA4FCB8" w14:textId="5DCA1F8F" w:rsidR="00222174" w:rsidRPr="00000E0D" w:rsidRDefault="003C520A" w:rsidP="00222174">
            <w:pPr>
              <w:jc w:val="center"/>
              <w:rPr>
                <w:rFonts w:ascii="Arial" w:hAnsi="Arial" w:cs="Arial"/>
                <w:b/>
                <w:bCs/>
                <w:color w:val="FFFFFF" w:themeColor="background1"/>
              </w:rPr>
            </w:pPr>
            <w:r>
              <w:rPr>
                <w:rFonts w:ascii="Arial" w:hAnsi="Arial" w:cs="Arial"/>
                <w:b/>
                <w:bCs/>
              </w:rPr>
              <w:lastRenderedPageBreak/>
              <w:t xml:space="preserve">Key reference points for defining </w:t>
            </w:r>
            <w:r w:rsidR="00E95758">
              <w:rPr>
                <w:rFonts w:ascii="Arial" w:hAnsi="Arial" w:cs="Arial"/>
                <w:b/>
                <w:bCs/>
              </w:rPr>
              <w:t xml:space="preserve">the </w:t>
            </w:r>
            <w:r>
              <w:rPr>
                <w:rFonts w:ascii="Arial" w:hAnsi="Arial" w:cs="Arial"/>
                <w:b/>
                <w:bCs/>
              </w:rPr>
              <w:t>assessment criteria</w:t>
            </w:r>
          </w:p>
          <w:p w14:paraId="737FD949" w14:textId="77777777" w:rsidR="00222174" w:rsidRPr="00000E0D" w:rsidRDefault="00222174" w:rsidP="00222174">
            <w:pPr>
              <w:jc w:val="center"/>
              <w:rPr>
                <w:rFonts w:ascii="Arial" w:hAnsi="Arial" w:cs="Arial"/>
              </w:rPr>
            </w:pPr>
          </w:p>
        </w:tc>
      </w:tr>
      <w:tr w:rsidR="00222174" w:rsidRPr="00000E0D" w14:paraId="3F5A412A" w14:textId="77777777" w:rsidTr="00222174">
        <w:tc>
          <w:tcPr>
            <w:tcW w:w="3106" w:type="dxa"/>
          </w:tcPr>
          <w:p w14:paraId="7839B129"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Core functions of TSCCs from 15/8</w:t>
            </w:r>
          </w:p>
        </w:tc>
        <w:tc>
          <w:tcPr>
            <w:tcW w:w="3076" w:type="dxa"/>
          </w:tcPr>
          <w:p w14:paraId="584E69EE" w14:textId="7C519478" w:rsidR="00222174" w:rsidRPr="00A11443" w:rsidRDefault="00A32738" w:rsidP="00222174">
            <w:pPr>
              <w:rPr>
                <w:rFonts w:ascii="Arial" w:hAnsi="Arial" w:cs="Arial"/>
                <w:b/>
                <w:bCs/>
                <w:sz w:val="22"/>
                <w:szCs w:val="22"/>
              </w:rPr>
            </w:pPr>
            <w:r w:rsidRPr="00A11443">
              <w:rPr>
                <w:rFonts w:ascii="Arial" w:hAnsi="Arial" w:cs="Arial"/>
                <w:b/>
                <w:bCs/>
                <w:sz w:val="22"/>
                <w:szCs w:val="22"/>
              </w:rPr>
              <w:t>Indicators</w:t>
            </w:r>
            <w:r w:rsidR="00222174" w:rsidRPr="00A11443">
              <w:rPr>
                <w:rFonts w:ascii="Arial" w:hAnsi="Arial" w:cs="Arial"/>
                <w:b/>
                <w:bCs/>
                <w:sz w:val="22"/>
                <w:szCs w:val="22"/>
              </w:rPr>
              <w:t xml:space="preserve"> from annex in SBI 6/5</w:t>
            </w:r>
          </w:p>
        </w:tc>
        <w:tc>
          <w:tcPr>
            <w:tcW w:w="3168" w:type="dxa"/>
          </w:tcPr>
          <w:p w14:paraId="5342A900"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Common outputs from TSCC workplans</w:t>
            </w:r>
          </w:p>
        </w:tc>
      </w:tr>
      <w:tr w:rsidR="00222174" w:rsidRPr="00000E0D" w14:paraId="642431AA" w14:textId="77777777" w:rsidTr="00222174">
        <w:trPr>
          <w:trHeight w:val="596"/>
        </w:trPr>
        <w:tc>
          <w:tcPr>
            <w:tcW w:w="3106" w:type="dxa"/>
          </w:tcPr>
          <w:p w14:paraId="0482ABC6" w14:textId="77777777" w:rsidR="00222174" w:rsidRPr="00A11443" w:rsidRDefault="00222174" w:rsidP="00222174">
            <w:pPr>
              <w:rPr>
                <w:rFonts w:ascii="Arial" w:hAnsi="Arial" w:cs="Arial"/>
                <w:sz w:val="22"/>
                <w:szCs w:val="22"/>
              </w:rPr>
            </w:pPr>
            <w:r w:rsidRPr="00A11443">
              <w:rPr>
                <w:rFonts w:ascii="Arial" w:hAnsi="Arial" w:cs="Arial"/>
                <w:sz w:val="22"/>
                <w:szCs w:val="22"/>
              </w:rPr>
              <w:t>Promote and facilitate demand-driven TSC including through joint research programmes</w:t>
            </w:r>
          </w:p>
        </w:tc>
        <w:tc>
          <w:tcPr>
            <w:tcW w:w="3076" w:type="dxa"/>
          </w:tcPr>
          <w:p w14:paraId="2404714C"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research programmes</w:t>
            </w:r>
          </w:p>
        </w:tc>
        <w:tc>
          <w:tcPr>
            <w:tcW w:w="3168" w:type="dxa"/>
          </w:tcPr>
          <w:p w14:paraId="597B241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Technical and scientific cooperation facilitated </w:t>
            </w:r>
          </w:p>
        </w:tc>
      </w:tr>
      <w:tr w:rsidR="00222174" w:rsidRPr="00000E0D" w14:paraId="3FD0855F" w14:textId="77777777" w:rsidTr="00222174">
        <w:trPr>
          <w:trHeight w:val="293"/>
        </w:trPr>
        <w:tc>
          <w:tcPr>
            <w:tcW w:w="3106" w:type="dxa"/>
            <w:vMerge w:val="restart"/>
          </w:tcPr>
          <w:p w14:paraId="5B92202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Promote and facilitate TT including joint ventures </w:t>
            </w:r>
          </w:p>
        </w:tc>
        <w:tc>
          <w:tcPr>
            <w:tcW w:w="3076" w:type="dxa"/>
          </w:tcPr>
          <w:p w14:paraId="0FE8200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technological applications adopted across countries</w:t>
            </w:r>
          </w:p>
        </w:tc>
        <w:tc>
          <w:tcPr>
            <w:tcW w:w="3168" w:type="dxa"/>
            <w:vMerge w:val="restart"/>
          </w:tcPr>
          <w:p w14:paraId="57219EA8"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Technology transfer facilitated </w:t>
            </w:r>
          </w:p>
        </w:tc>
      </w:tr>
      <w:tr w:rsidR="00222174" w:rsidRPr="00000E0D" w14:paraId="001E036C" w14:textId="77777777" w:rsidTr="00222174">
        <w:trPr>
          <w:trHeight w:val="292"/>
        </w:trPr>
        <w:tc>
          <w:tcPr>
            <w:tcW w:w="3106" w:type="dxa"/>
            <w:vMerge/>
          </w:tcPr>
          <w:p w14:paraId="3D996E65" w14:textId="77777777" w:rsidR="00222174" w:rsidRPr="00A11443" w:rsidRDefault="00222174" w:rsidP="00222174">
            <w:pPr>
              <w:rPr>
                <w:rFonts w:ascii="Arial" w:hAnsi="Arial" w:cs="Arial"/>
                <w:sz w:val="22"/>
                <w:szCs w:val="22"/>
              </w:rPr>
            </w:pPr>
          </w:p>
        </w:tc>
        <w:tc>
          <w:tcPr>
            <w:tcW w:w="3076" w:type="dxa"/>
          </w:tcPr>
          <w:p w14:paraId="422CED36"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technological development ventures</w:t>
            </w:r>
          </w:p>
        </w:tc>
        <w:tc>
          <w:tcPr>
            <w:tcW w:w="3168" w:type="dxa"/>
            <w:vMerge/>
          </w:tcPr>
          <w:p w14:paraId="50950642" w14:textId="77777777" w:rsidR="00222174" w:rsidRPr="00A11443" w:rsidRDefault="00222174" w:rsidP="00222174">
            <w:pPr>
              <w:rPr>
                <w:rFonts w:ascii="Arial" w:hAnsi="Arial" w:cs="Arial"/>
                <w:sz w:val="22"/>
                <w:szCs w:val="22"/>
              </w:rPr>
            </w:pPr>
          </w:p>
        </w:tc>
      </w:tr>
      <w:tr w:rsidR="00222174" w:rsidRPr="00000E0D" w14:paraId="67531BC7" w14:textId="77777777" w:rsidTr="00222174">
        <w:trPr>
          <w:trHeight w:val="889"/>
        </w:trPr>
        <w:tc>
          <w:tcPr>
            <w:tcW w:w="3106" w:type="dxa"/>
          </w:tcPr>
          <w:p w14:paraId="1A75F9DD"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scientific knowledge, expertise, tools and other resources</w:t>
            </w:r>
          </w:p>
        </w:tc>
        <w:tc>
          <w:tcPr>
            <w:tcW w:w="3076" w:type="dxa"/>
          </w:tcPr>
          <w:p w14:paraId="3AFF4C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tools and technical resources exchanged</w:t>
            </w:r>
          </w:p>
        </w:tc>
        <w:tc>
          <w:tcPr>
            <w:tcW w:w="3168" w:type="dxa"/>
          </w:tcPr>
          <w:p w14:paraId="6F27DCEB"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products, tools and systems developed</w:t>
            </w:r>
          </w:p>
        </w:tc>
      </w:tr>
      <w:tr w:rsidR="00222174" w:rsidRPr="00000E0D" w14:paraId="445F105A" w14:textId="77777777" w:rsidTr="00222174">
        <w:tc>
          <w:tcPr>
            <w:tcW w:w="3106" w:type="dxa"/>
          </w:tcPr>
          <w:p w14:paraId="7A5D9D99"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information on opportunities for TSC</w:t>
            </w:r>
          </w:p>
        </w:tc>
        <w:tc>
          <w:tcPr>
            <w:tcW w:w="3076" w:type="dxa"/>
          </w:tcPr>
          <w:p w14:paraId="7473DD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technical and scientific cooperation opportunities made available</w:t>
            </w:r>
          </w:p>
        </w:tc>
        <w:tc>
          <w:tcPr>
            <w:tcW w:w="3168" w:type="dxa"/>
          </w:tcPr>
          <w:p w14:paraId="1C069A6D" w14:textId="77777777" w:rsidR="00222174" w:rsidRPr="00A11443" w:rsidRDefault="00222174" w:rsidP="00222174">
            <w:pPr>
              <w:rPr>
                <w:rFonts w:ascii="Arial" w:hAnsi="Arial" w:cs="Arial"/>
                <w:sz w:val="22"/>
                <w:szCs w:val="22"/>
              </w:rPr>
            </w:pPr>
            <w:r w:rsidRPr="00A11443">
              <w:rPr>
                <w:rFonts w:ascii="Arial" w:hAnsi="Arial" w:cs="Arial"/>
                <w:sz w:val="22"/>
                <w:szCs w:val="22"/>
              </w:rPr>
              <w:t>Helpdesk services provided</w:t>
            </w:r>
          </w:p>
        </w:tc>
      </w:tr>
      <w:tr w:rsidR="00222174" w:rsidRPr="00000E0D" w14:paraId="3732DB01" w14:textId="77777777" w:rsidTr="00222174">
        <w:tc>
          <w:tcPr>
            <w:tcW w:w="3106" w:type="dxa"/>
          </w:tcPr>
          <w:p w14:paraId="0E0334D9" w14:textId="77777777" w:rsidR="00222174" w:rsidRPr="00A11443" w:rsidRDefault="00222174" w:rsidP="00222174">
            <w:pPr>
              <w:rPr>
                <w:rFonts w:ascii="Arial" w:hAnsi="Arial" w:cs="Arial"/>
                <w:sz w:val="22"/>
                <w:szCs w:val="22"/>
              </w:rPr>
            </w:pPr>
            <w:r w:rsidRPr="00A11443">
              <w:rPr>
                <w:rFonts w:ascii="Arial" w:hAnsi="Arial" w:cs="Arial"/>
                <w:sz w:val="22"/>
                <w:szCs w:val="22"/>
              </w:rPr>
              <w:t>Mobilize resources for TSC</w:t>
            </w:r>
          </w:p>
        </w:tc>
        <w:tc>
          <w:tcPr>
            <w:tcW w:w="3076" w:type="dxa"/>
          </w:tcPr>
          <w:p w14:paraId="2C0F2EBE" w14:textId="77777777" w:rsidR="00222174" w:rsidRPr="00A11443" w:rsidRDefault="00222174" w:rsidP="00222174">
            <w:pPr>
              <w:rPr>
                <w:rFonts w:ascii="Arial" w:hAnsi="Arial" w:cs="Arial"/>
                <w:sz w:val="22"/>
                <w:szCs w:val="22"/>
              </w:rPr>
            </w:pPr>
            <w:r w:rsidRPr="00A11443">
              <w:rPr>
                <w:rFonts w:ascii="Arial" w:hAnsi="Arial" w:cs="Arial"/>
                <w:sz w:val="22"/>
                <w:szCs w:val="22"/>
              </w:rPr>
              <w:t>Proportion of financial resources mobilized against estimated budgets</w:t>
            </w:r>
          </w:p>
        </w:tc>
        <w:tc>
          <w:tcPr>
            <w:tcW w:w="3168" w:type="dxa"/>
          </w:tcPr>
          <w:p w14:paraId="5D80F48E" w14:textId="77777777" w:rsidR="00222174" w:rsidRPr="00A11443" w:rsidRDefault="00222174" w:rsidP="00222174">
            <w:pPr>
              <w:rPr>
                <w:rFonts w:ascii="Arial" w:hAnsi="Arial" w:cs="Arial"/>
                <w:sz w:val="22"/>
                <w:szCs w:val="22"/>
              </w:rPr>
            </w:pPr>
            <w:r w:rsidRPr="00A11443">
              <w:rPr>
                <w:rFonts w:ascii="Arial" w:hAnsi="Arial" w:cs="Arial"/>
                <w:sz w:val="22"/>
                <w:szCs w:val="22"/>
              </w:rPr>
              <w:t>Resources mobilized and partnerships established</w:t>
            </w:r>
          </w:p>
        </w:tc>
      </w:tr>
      <w:tr w:rsidR="00222174" w:rsidRPr="00000E0D" w14:paraId="2F48A1F5" w14:textId="77777777" w:rsidTr="00222174">
        <w:tc>
          <w:tcPr>
            <w:tcW w:w="3106" w:type="dxa"/>
          </w:tcPr>
          <w:p w14:paraId="35089306"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matchmaking</w:t>
            </w:r>
          </w:p>
        </w:tc>
        <w:tc>
          <w:tcPr>
            <w:tcW w:w="3076" w:type="dxa"/>
          </w:tcPr>
          <w:p w14:paraId="24FD28F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successful matchmaking efforts</w:t>
            </w:r>
          </w:p>
        </w:tc>
        <w:tc>
          <w:tcPr>
            <w:tcW w:w="3168" w:type="dxa"/>
          </w:tcPr>
          <w:p w14:paraId="1F197921" w14:textId="77777777" w:rsidR="00222174" w:rsidRPr="00A11443" w:rsidRDefault="00222174" w:rsidP="00222174">
            <w:pPr>
              <w:rPr>
                <w:rFonts w:ascii="Arial" w:hAnsi="Arial" w:cs="Arial"/>
                <w:sz w:val="22"/>
                <w:szCs w:val="22"/>
              </w:rPr>
            </w:pPr>
            <w:r w:rsidRPr="00A11443">
              <w:rPr>
                <w:rFonts w:ascii="Arial" w:hAnsi="Arial" w:cs="Arial"/>
                <w:sz w:val="22"/>
                <w:szCs w:val="22"/>
              </w:rPr>
              <w:t>Matchmaking facilitated</w:t>
            </w:r>
          </w:p>
        </w:tc>
      </w:tr>
      <w:tr w:rsidR="00222174" w:rsidRPr="00000E0D" w14:paraId="39F46BC0" w14:textId="77777777" w:rsidTr="00222174">
        <w:trPr>
          <w:trHeight w:val="293"/>
        </w:trPr>
        <w:tc>
          <w:tcPr>
            <w:tcW w:w="3106" w:type="dxa"/>
            <w:vMerge w:val="restart"/>
          </w:tcPr>
          <w:p w14:paraId="107A0BF9" w14:textId="77777777" w:rsidR="00222174" w:rsidRPr="00A11443" w:rsidRDefault="00222174" w:rsidP="00222174">
            <w:pPr>
              <w:rPr>
                <w:rFonts w:ascii="Arial" w:hAnsi="Arial" w:cs="Arial"/>
                <w:sz w:val="22"/>
                <w:szCs w:val="22"/>
              </w:rPr>
            </w:pPr>
            <w:r w:rsidRPr="00A11443">
              <w:rPr>
                <w:rFonts w:ascii="Arial" w:hAnsi="Arial" w:cs="Arial"/>
                <w:sz w:val="22"/>
                <w:szCs w:val="22"/>
              </w:rPr>
              <w:t>Catalyze and support TSC projects and programmes</w:t>
            </w:r>
          </w:p>
        </w:tc>
        <w:tc>
          <w:tcPr>
            <w:tcW w:w="3076" w:type="dxa"/>
          </w:tcPr>
          <w:p w14:paraId="352A0C60"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countries receiving support</w:t>
            </w:r>
          </w:p>
        </w:tc>
        <w:tc>
          <w:tcPr>
            <w:tcW w:w="3168" w:type="dxa"/>
            <w:vMerge w:val="restart"/>
          </w:tcPr>
          <w:p w14:paraId="29298C34" w14:textId="77777777" w:rsidR="00222174" w:rsidRPr="00A11443" w:rsidRDefault="00222174" w:rsidP="00222174">
            <w:pPr>
              <w:rPr>
                <w:rFonts w:ascii="Arial" w:hAnsi="Arial" w:cs="Arial"/>
                <w:sz w:val="22"/>
                <w:szCs w:val="22"/>
              </w:rPr>
            </w:pPr>
            <w:r w:rsidRPr="00A11443">
              <w:rPr>
                <w:rFonts w:ascii="Arial" w:hAnsi="Arial" w:cs="Arial"/>
                <w:sz w:val="22"/>
                <w:szCs w:val="22"/>
              </w:rPr>
              <w:t>Support to NBSAP and KMGBF implementation provided</w:t>
            </w:r>
          </w:p>
        </w:tc>
      </w:tr>
      <w:tr w:rsidR="00222174" w:rsidRPr="00000E0D" w14:paraId="0DB3F4FF" w14:textId="77777777" w:rsidTr="00222174">
        <w:trPr>
          <w:trHeight w:val="292"/>
        </w:trPr>
        <w:tc>
          <w:tcPr>
            <w:tcW w:w="3106" w:type="dxa"/>
            <w:vMerge/>
          </w:tcPr>
          <w:p w14:paraId="70D67BD0" w14:textId="77777777" w:rsidR="00222174" w:rsidRPr="00A11443" w:rsidRDefault="00222174" w:rsidP="00222174">
            <w:pPr>
              <w:rPr>
                <w:rFonts w:ascii="Arial" w:hAnsi="Arial" w:cs="Arial"/>
                <w:sz w:val="22"/>
                <w:szCs w:val="22"/>
              </w:rPr>
            </w:pPr>
          </w:p>
        </w:tc>
        <w:tc>
          <w:tcPr>
            <w:tcW w:w="3076" w:type="dxa"/>
          </w:tcPr>
          <w:p w14:paraId="6F58DD4F"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expert exchange programmes</w:t>
            </w:r>
          </w:p>
        </w:tc>
        <w:tc>
          <w:tcPr>
            <w:tcW w:w="3168" w:type="dxa"/>
            <w:vMerge/>
          </w:tcPr>
          <w:p w14:paraId="3F2F1E8E" w14:textId="77777777" w:rsidR="00222174" w:rsidRPr="00A11443" w:rsidRDefault="00222174" w:rsidP="00222174">
            <w:pPr>
              <w:rPr>
                <w:rFonts w:ascii="Arial" w:hAnsi="Arial" w:cs="Arial"/>
                <w:sz w:val="22"/>
                <w:szCs w:val="22"/>
              </w:rPr>
            </w:pPr>
          </w:p>
        </w:tc>
      </w:tr>
      <w:tr w:rsidR="00222174" w:rsidRPr="00000E0D" w14:paraId="3CDC44EA" w14:textId="77777777" w:rsidTr="00222174">
        <w:tc>
          <w:tcPr>
            <w:tcW w:w="3106" w:type="dxa"/>
          </w:tcPr>
          <w:p w14:paraId="4BCA9215" w14:textId="77777777" w:rsidR="00222174" w:rsidRPr="00A11443" w:rsidRDefault="00222174" w:rsidP="00222174">
            <w:pPr>
              <w:rPr>
                <w:rFonts w:ascii="Arial" w:hAnsi="Arial" w:cs="Arial"/>
                <w:sz w:val="22"/>
                <w:szCs w:val="22"/>
              </w:rPr>
            </w:pPr>
            <w:r w:rsidRPr="00A11443">
              <w:rPr>
                <w:rFonts w:ascii="Arial" w:hAnsi="Arial" w:cs="Arial"/>
                <w:sz w:val="22"/>
                <w:szCs w:val="22"/>
              </w:rPr>
              <w:t>Strengthen capacities of other institutions to facilitate TSC</w:t>
            </w:r>
          </w:p>
        </w:tc>
        <w:tc>
          <w:tcPr>
            <w:tcW w:w="3076" w:type="dxa"/>
          </w:tcPr>
          <w:p w14:paraId="3553195B" w14:textId="77777777" w:rsidR="00222174" w:rsidRPr="00A11443" w:rsidRDefault="00222174" w:rsidP="00222174">
            <w:pPr>
              <w:rPr>
                <w:rFonts w:ascii="Arial" w:hAnsi="Arial" w:cs="Arial"/>
                <w:sz w:val="22"/>
                <w:szCs w:val="22"/>
              </w:rPr>
            </w:pPr>
          </w:p>
        </w:tc>
        <w:tc>
          <w:tcPr>
            <w:tcW w:w="3168" w:type="dxa"/>
          </w:tcPr>
          <w:p w14:paraId="500076D9" w14:textId="77777777" w:rsidR="00222174" w:rsidRPr="00A11443" w:rsidRDefault="00222174" w:rsidP="00222174">
            <w:pPr>
              <w:rPr>
                <w:rFonts w:ascii="Arial" w:hAnsi="Arial" w:cs="Arial"/>
                <w:sz w:val="22"/>
                <w:szCs w:val="22"/>
              </w:rPr>
            </w:pPr>
            <w:r w:rsidRPr="00A11443">
              <w:rPr>
                <w:rFonts w:ascii="Arial" w:hAnsi="Arial" w:cs="Arial"/>
                <w:sz w:val="22"/>
                <w:szCs w:val="22"/>
              </w:rPr>
              <w:t>Technical support and capacity-building delivered</w:t>
            </w:r>
          </w:p>
        </w:tc>
      </w:tr>
      <w:tr w:rsidR="00222174" w:rsidRPr="00000E0D" w14:paraId="512795B5" w14:textId="77777777" w:rsidTr="00222174">
        <w:tc>
          <w:tcPr>
            <w:tcW w:w="3106" w:type="dxa"/>
          </w:tcPr>
          <w:p w14:paraId="694C95EE"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knowledge sharing and organizational learning</w:t>
            </w:r>
          </w:p>
        </w:tc>
        <w:tc>
          <w:tcPr>
            <w:tcW w:w="3076" w:type="dxa"/>
          </w:tcPr>
          <w:p w14:paraId="3A20ABE5" w14:textId="77777777" w:rsidR="00222174" w:rsidRPr="00A11443" w:rsidRDefault="00222174" w:rsidP="00222174">
            <w:pPr>
              <w:rPr>
                <w:rFonts w:ascii="Arial" w:hAnsi="Arial" w:cs="Arial"/>
                <w:sz w:val="22"/>
                <w:szCs w:val="22"/>
              </w:rPr>
            </w:pPr>
          </w:p>
        </w:tc>
        <w:tc>
          <w:tcPr>
            <w:tcW w:w="3168" w:type="dxa"/>
          </w:tcPr>
          <w:p w14:paraId="126F4144"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exchange and peer learning facilitated</w:t>
            </w:r>
          </w:p>
        </w:tc>
      </w:tr>
      <w:tr w:rsidR="00222174" w:rsidRPr="00000E0D" w14:paraId="6B77AA3A" w14:textId="77777777" w:rsidTr="00222174">
        <w:tc>
          <w:tcPr>
            <w:tcW w:w="3106" w:type="dxa"/>
          </w:tcPr>
          <w:p w14:paraId="76A72FF2" w14:textId="77777777" w:rsidR="00222174" w:rsidRPr="00A11443" w:rsidRDefault="00222174" w:rsidP="00222174">
            <w:pPr>
              <w:rPr>
                <w:rFonts w:ascii="Arial" w:hAnsi="Arial" w:cs="Arial"/>
                <w:sz w:val="22"/>
                <w:szCs w:val="22"/>
              </w:rPr>
            </w:pPr>
            <w:r w:rsidRPr="00A11443">
              <w:rPr>
                <w:rFonts w:ascii="Arial" w:hAnsi="Arial" w:cs="Arial"/>
                <w:sz w:val="22"/>
                <w:szCs w:val="22"/>
              </w:rPr>
              <w:t>Share good practices and lessons</w:t>
            </w:r>
          </w:p>
        </w:tc>
        <w:tc>
          <w:tcPr>
            <w:tcW w:w="3076" w:type="dxa"/>
          </w:tcPr>
          <w:p w14:paraId="06E74609" w14:textId="77777777" w:rsidR="00222174" w:rsidRPr="00A11443" w:rsidRDefault="00222174" w:rsidP="00222174">
            <w:pPr>
              <w:rPr>
                <w:rFonts w:ascii="Arial" w:hAnsi="Arial" w:cs="Arial"/>
                <w:sz w:val="22"/>
                <w:szCs w:val="22"/>
              </w:rPr>
            </w:pPr>
          </w:p>
        </w:tc>
        <w:tc>
          <w:tcPr>
            <w:tcW w:w="3168" w:type="dxa"/>
          </w:tcPr>
          <w:p w14:paraId="71768921" w14:textId="77777777" w:rsidR="00222174" w:rsidRPr="00A11443" w:rsidRDefault="00222174" w:rsidP="00222174">
            <w:pPr>
              <w:rPr>
                <w:rFonts w:ascii="Arial" w:hAnsi="Arial" w:cs="Arial"/>
                <w:sz w:val="22"/>
                <w:szCs w:val="22"/>
              </w:rPr>
            </w:pPr>
          </w:p>
        </w:tc>
      </w:tr>
    </w:tbl>
    <w:p w14:paraId="3611C014" w14:textId="77777777" w:rsidR="00222174" w:rsidRDefault="00222174" w:rsidP="000E2089">
      <w:pPr>
        <w:rPr>
          <w:rFonts w:ascii="Arial" w:hAnsi="Arial" w:cs="Arial"/>
        </w:rPr>
      </w:pPr>
    </w:p>
    <w:p w14:paraId="0EAAE6E5" w14:textId="77777777" w:rsidR="00A11443" w:rsidRDefault="00A11443" w:rsidP="00C75C91">
      <w:pPr>
        <w:jc w:val="both"/>
        <w:rPr>
          <w:rFonts w:ascii="Arial" w:hAnsi="Arial" w:cs="Arial"/>
        </w:rPr>
      </w:pPr>
    </w:p>
    <w:p w14:paraId="71A2C6D6" w14:textId="2AD6D4B5" w:rsidR="00355E6C" w:rsidRPr="00000E0D" w:rsidRDefault="00355E6C" w:rsidP="00C75C91">
      <w:pPr>
        <w:jc w:val="both"/>
        <w:rPr>
          <w:rFonts w:ascii="Arial" w:hAnsi="Arial" w:cs="Arial"/>
        </w:rPr>
      </w:pPr>
      <w:r w:rsidRPr="00355E6C">
        <w:rPr>
          <w:rFonts w:ascii="Arial" w:hAnsi="Arial" w:cs="Arial"/>
        </w:rPr>
        <w:t xml:space="preserve">Considering the </w:t>
      </w:r>
      <w:r w:rsidR="000024E5">
        <w:rPr>
          <w:rFonts w:ascii="Arial" w:hAnsi="Arial" w:cs="Arial"/>
        </w:rPr>
        <w:t>key reference points</w:t>
      </w:r>
      <w:r w:rsidRPr="00355E6C">
        <w:rPr>
          <w:rFonts w:ascii="Arial" w:hAnsi="Arial" w:cs="Arial"/>
        </w:rPr>
        <w:t xml:space="preserve"> outlined above, and to consolidate related concepts into a manageable and coherent framework, six overarching criteria are proposed for use in assessing the performance</w:t>
      </w:r>
      <w:r>
        <w:rPr>
          <w:rFonts w:ascii="Arial" w:hAnsi="Arial" w:cs="Arial"/>
        </w:rPr>
        <w:t xml:space="preserve"> of the TSCCs:</w:t>
      </w:r>
    </w:p>
    <w:p w14:paraId="6AE8BFD8" w14:textId="12AB4FA0" w:rsidR="00472584" w:rsidRPr="00000E0D" w:rsidRDefault="00E7748C" w:rsidP="00B643B6">
      <w:pPr>
        <w:pStyle w:val="ListParagraph"/>
        <w:numPr>
          <w:ilvl w:val="0"/>
          <w:numId w:val="4"/>
        </w:numPr>
        <w:rPr>
          <w:rFonts w:ascii="Arial" w:hAnsi="Arial" w:cs="Arial"/>
        </w:rPr>
      </w:pPr>
      <w:r w:rsidRPr="00000E0D">
        <w:rPr>
          <w:rFonts w:ascii="Arial" w:hAnsi="Arial" w:cs="Arial"/>
        </w:rPr>
        <w:t>Success in i</w:t>
      </w:r>
      <w:r w:rsidR="00296C3B" w:rsidRPr="00000E0D">
        <w:rPr>
          <w:rFonts w:ascii="Arial" w:hAnsi="Arial" w:cs="Arial"/>
        </w:rPr>
        <w:t>dentifying and responding to the</w:t>
      </w:r>
      <w:r w:rsidRPr="00000E0D">
        <w:rPr>
          <w:rFonts w:ascii="Arial" w:hAnsi="Arial" w:cs="Arial"/>
        </w:rPr>
        <w:t xml:space="preserve"> </w:t>
      </w:r>
      <w:r w:rsidR="007921A3">
        <w:rPr>
          <w:rFonts w:ascii="Arial" w:hAnsi="Arial" w:cs="Arial"/>
        </w:rPr>
        <w:t>technical and scientific cooperation</w:t>
      </w:r>
      <w:r w:rsidRPr="00000E0D">
        <w:rPr>
          <w:rFonts w:ascii="Arial" w:hAnsi="Arial" w:cs="Arial"/>
        </w:rPr>
        <w:t xml:space="preserve"> and </w:t>
      </w:r>
      <w:r w:rsidR="007921A3">
        <w:rPr>
          <w:rFonts w:ascii="Arial" w:hAnsi="Arial" w:cs="Arial"/>
        </w:rPr>
        <w:t>technology transfer</w:t>
      </w:r>
      <w:r w:rsidR="00296C3B" w:rsidRPr="00000E0D">
        <w:rPr>
          <w:rFonts w:ascii="Arial" w:hAnsi="Arial" w:cs="Arial"/>
        </w:rPr>
        <w:t xml:space="preserve"> needs of Parties.</w:t>
      </w:r>
    </w:p>
    <w:p w14:paraId="2954BDC7" w14:textId="69AE8A46" w:rsidR="00472584" w:rsidRPr="00000E0D" w:rsidRDefault="00296C3B" w:rsidP="00B643B6">
      <w:pPr>
        <w:pStyle w:val="ListParagraph"/>
        <w:numPr>
          <w:ilvl w:val="0"/>
          <w:numId w:val="4"/>
        </w:numPr>
        <w:rPr>
          <w:rFonts w:ascii="Arial" w:hAnsi="Arial" w:cs="Arial"/>
        </w:rPr>
      </w:pPr>
      <w:r w:rsidRPr="00000E0D">
        <w:rPr>
          <w:rFonts w:ascii="Arial" w:hAnsi="Arial" w:cs="Arial"/>
        </w:rPr>
        <w:t>Achievement of tangible and measurable results across capacity-building, technical assistance</w:t>
      </w:r>
      <w:r w:rsidR="00DA5403">
        <w:rPr>
          <w:rFonts w:ascii="Arial" w:hAnsi="Arial" w:cs="Arial"/>
        </w:rPr>
        <w:t xml:space="preserve"> and cooperation</w:t>
      </w:r>
      <w:r w:rsidRPr="00000E0D">
        <w:rPr>
          <w:rFonts w:ascii="Arial" w:hAnsi="Arial" w:cs="Arial"/>
        </w:rPr>
        <w:t xml:space="preserve"> and technology transfer.</w:t>
      </w:r>
    </w:p>
    <w:p w14:paraId="3385B6AE" w14:textId="2CD88639" w:rsidR="00472584" w:rsidRPr="00000E0D" w:rsidRDefault="00296C3B" w:rsidP="00B643B6">
      <w:pPr>
        <w:pStyle w:val="ListParagraph"/>
        <w:numPr>
          <w:ilvl w:val="0"/>
          <w:numId w:val="4"/>
        </w:numPr>
        <w:rPr>
          <w:rFonts w:ascii="Arial" w:hAnsi="Arial" w:cs="Arial"/>
        </w:rPr>
      </w:pPr>
      <w:r w:rsidRPr="00000E0D">
        <w:rPr>
          <w:rFonts w:ascii="Arial" w:hAnsi="Arial" w:cs="Arial"/>
        </w:rPr>
        <w:lastRenderedPageBreak/>
        <w:t xml:space="preserve">Development </w:t>
      </w:r>
      <w:r w:rsidR="008F081F">
        <w:rPr>
          <w:rFonts w:ascii="Arial" w:hAnsi="Arial" w:cs="Arial" w:hint="eastAsia"/>
          <w:lang w:eastAsia="ko-KR"/>
        </w:rPr>
        <w:t xml:space="preserve">and </w:t>
      </w:r>
      <w:r w:rsidR="00E95758">
        <w:rPr>
          <w:rFonts w:ascii="Arial" w:hAnsi="Arial" w:cs="Arial"/>
          <w:lang w:eastAsia="ko-KR"/>
        </w:rPr>
        <w:t>facilitation of access to</w:t>
      </w:r>
      <w:r w:rsidRPr="00000E0D">
        <w:rPr>
          <w:rFonts w:ascii="Arial" w:hAnsi="Arial" w:cs="Arial"/>
        </w:rPr>
        <w:t xml:space="preserve"> knowledge products and technical tools that support effective implementation.</w:t>
      </w:r>
    </w:p>
    <w:p w14:paraId="772859D1" w14:textId="4515B7EA" w:rsidR="00472584" w:rsidRPr="00000E0D" w:rsidRDefault="00E95758" w:rsidP="00B643B6">
      <w:pPr>
        <w:pStyle w:val="ListParagraph"/>
        <w:numPr>
          <w:ilvl w:val="0"/>
          <w:numId w:val="4"/>
        </w:numPr>
        <w:rPr>
          <w:rFonts w:ascii="Arial" w:hAnsi="Arial" w:cs="Arial"/>
        </w:rPr>
      </w:pPr>
      <w:r>
        <w:rPr>
          <w:rFonts w:ascii="Arial" w:hAnsi="Arial" w:cs="Arial"/>
        </w:rPr>
        <w:t>Success in facilitating k</w:t>
      </w:r>
      <w:r w:rsidR="00296C3B" w:rsidRPr="00000E0D">
        <w:rPr>
          <w:rFonts w:ascii="Arial" w:hAnsi="Arial" w:cs="Arial"/>
        </w:rPr>
        <w:t>nowledge sharing and learning through peer exchange, dissemination of good practices and lessons learned</w:t>
      </w:r>
      <w:r w:rsidR="00334B5B">
        <w:rPr>
          <w:rFonts w:ascii="Arial" w:hAnsi="Arial" w:cs="Arial" w:hint="eastAsia"/>
          <w:lang w:eastAsia="ko-KR"/>
        </w:rPr>
        <w:t xml:space="preserve">, leading to improved practices and </w:t>
      </w:r>
      <w:r w:rsidR="00B15334">
        <w:rPr>
          <w:rFonts w:ascii="Arial" w:hAnsi="Arial" w:cs="Arial" w:hint="eastAsia"/>
          <w:lang w:eastAsia="ko-KR"/>
        </w:rPr>
        <w:t>replication</w:t>
      </w:r>
      <w:r w:rsidR="00F02A59">
        <w:rPr>
          <w:rFonts w:ascii="Arial" w:hAnsi="Arial" w:cs="Arial" w:hint="eastAsia"/>
          <w:lang w:eastAsia="ko-KR"/>
        </w:rPr>
        <w:t>.</w:t>
      </w:r>
    </w:p>
    <w:p w14:paraId="4AD95037" w14:textId="028F1D71" w:rsidR="00472584" w:rsidRPr="00000E0D" w:rsidRDefault="00296C3B" w:rsidP="00B643B6">
      <w:pPr>
        <w:pStyle w:val="ListParagraph"/>
        <w:numPr>
          <w:ilvl w:val="0"/>
          <w:numId w:val="4"/>
        </w:numPr>
        <w:rPr>
          <w:rFonts w:ascii="Arial" w:hAnsi="Arial" w:cs="Arial"/>
        </w:rPr>
      </w:pPr>
      <w:r w:rsidRPr="00000E0D">
        <w:rPr>
          <w:rFonts w:ascii="Arial" w:hAnsi="Arial" w:cs="Arial"/>
        </w:rPr>
        <w:t xml:space="preserve">Establishment and strengthening of </w:t>
      </w:r>
      <w:r w:rsidR="00DA74C5">
        <w:rPr>
          <w:rFonts w:ascii="Arial" w:hAnsi="Arial" w:cs="Arial"/>
          <w:lang w:eastAsia="ko-KR"/>
        </w:rPr>
        <w:t>strategic</w:t>
      </w:r>
      <w:r w:rsidR="00DA74C5">
        <w:rPr>
          <w:rFonts w:ascii="Arial" w:hAnsi="Arial" w:cs="Arial" w:hint="eastAsia"/>
          <w:lang w:eastAsia="ko-KR"/>
        </w:rPr>
        <w:t xml:space="preserve"> and results-oriented </w:t>
      </w:r>
      <w:r w:rsidRPr="00000E0D">
        <w:rPr>
          <w:rFonts w:ascii="Arial" w:hAnsi="Arial" w:cs="Arial"/>
        </w:rPr>
        <w:t>partnerships among countries</w:t>
      </w:r>
      <w:r w:rsidR="0052683A">
        <w:rPr>
          <w:rFonts w:ascii="Arial" w:hAnsi="Arial" w:cs="Arial" w:hint="eastAsia"/>
          <w:lang w:eastAsia="ko-KR"/>
        </w:rPr>
        <w:t xml:space="preserve">, </w:t>
      </w:r>
      <w:r w:rsidRPr="00000E0D">
        <w:rPr>
          <w:rFonts w:ascii="Arial" w:hAnsi="Arial" w:cs="Arial"/>
        </w:rPr>
        <w:t>institution</w:t>
      </w:r>
      <w:r>
        <w:rPr>
          <w:rFonts w:ascii="Arial" w:hAnsi="Arial" w:cs="Arial"/>
          <w:lang w:eastAsia="ko-KR"/>
        </w:rPr>
        <w:t>s</w:t>
      </w:r>
      <w:r w:rsidR="0052683A">
        <w:rPr>
          <w:rFonts w:ascii="Arial" w:hAnsi="Arial" w:cs="Arial" w:hint="eastAsia"/>
          <w:lang w:eastAsia="ko-KR"/>
        </w:rPr>
        <w:t xml:space="preserve"> and relevant stakeholders.</w:t>
      </w:r>
    </w:p>
    <w:p w14:paraId="0F98D7EF" w14:textId="41C9E4A8" w:rsidR="00296C3B" w:rsidRPr="00000E0D" w:rsidRDefault="00E95758" w:rsidP="00B643B6">
      <w:pPr>
        <w:pStyle w:val="ListParagraph"/>
        <w:numPr>
          <w:ilvl w:val="0"/>
          <w:numId w:val="4"/>
        </w:numPr>
        <w:rPr>
          <w:rFonts w:ascii="Arial" w:hAnsi="Arial" w:cs="Arial"/>
        </w:rPr>
      </w:pPr>
      <w:r>
        <w:rPr>
          <w:rFonts w:ascii="Arial" w:hAnsi="Arial" w:cs="Arial"/>
        </w:rPr>
        <w:t>Success in m</w:t>
      </w:r>
      <w:r w:rsidR="00296C3B" w:rsidRPr="00000E0D">
        <w:rPr>
          <w:rFonts w:ascii="Arial" w:hAnsi="Arial" w:cs="Arial"/>
        </w:rPr>
        <w:t xml:space="preserve">obilization and leveraging of financial, technical and in-kind resources to support </w:t>
      </w:r>
      <w:r w:rsidR="00CC0086">
        <w:rPr>
          <w:rFonts w:ascii="Arial" w:hAnsi="Arial" w:cs="Arial"/>
        </w:rPr>
        <w:t>technical and scientific cooperation and technology transfer.</w:t>
      </w:r>
    </w:p>
    <w:p w14:paraId="62327A96" w14:textId="34FDC5B8" w:rsidR="00676749" w:rsidRDefault="00372103" w:rsidP="00C46E5E">
      <w:pPr>
        <w:jc w:val="both"/>
        <w:rPr>
          <w:rFonts w:ascii="Arial" w:hAnsi="Arial" w:cs="Arial"/>
          <w:lang w:val="en-US"/>
        </w:rPr>
      </w:pPr>
      <w:r w:rsidRPr="0377B680">
        <w:rPr>
          <w:rFonts w:ascii="Arial" w:hAnsi="Arial" w:cs="Arial"/>
          <w:lang w:val="en-US"/>
        </w:rPr>
        <w:t xml:space="preserve">In addition to </w:t>
      </w:r>
      <w:r w:rsidR="004B0F13" w:rsidRPr="0377B680">
        <w:rPr>
          <w:rFonts w:ascii="Arial" w:hAnsi="Arial" w:cs="Arial"/>
          <w:lang w:val="en-US"/>
        </w:rPr>
        <w:t>these criteria, it</w:t>
      </w:r>
      <w:r w:rsidR="00676749" w:rsidRPr="0377B680">
        <w:rPr>
          <w:rFonts w:ascii="Arial" w:hAnsi="Arial" w:cs="Arial"/>
          <w:lang w:val="en-US"/>
        </w:rPr>
        <w:t xml:space="preserve"> is</w:t>
      </w:r>
      <w:r w:rsidR="004B0F13" w:rsidRPr="0377B680">
        <w:rPr>
          <w:rFonts w:ascii="Arial" w:hAnsi="Arial" w:cs="Arial"/>
          <w:lang w:val="en-US"/>
        </w:rPr>
        <w:t xml:space="preserve"> </w:t>
      </w:r>
      <w:r w:rsidR="001519D7" w:rsidRPr="0377B680">
        <w:rPr>
          <w:rFonts w:ascii="Arial" w:hAnsi="Arial" w:cs="Arial"/>
          <w:lang w:val="en-US"/>
        </w:rPr>
        <w:t>important</w:t>
      </w:r>
      <w:r w:rsidR="004B0F13" w:rsidRPr="0377B680">
        <w:rPr>
          <w:rFonts w:ascii="Arial" w:hAnsi="Arial" w:cs="Arial"/>
          <w:lang w:val="en-US"/>
        </w:rPr>
        <w:t xml:space="preserve"> to define a</w:t>
      </w:r>
      <w:r w:rsidR="00B52D57" w:rsidRPr="0377B680">
        <w:rPr>
          <w:rFonts w:ascii="Arial" w:hAnsi="Arial" w:cs="Arial"/>
          <w:lang w:val="en-US"/>
        </w:rPr>
        <w:t xml:space="preserve"> </w:t>
      </w:r>
      <w:r w:rsidR="004B0F13" w:rsidRPr="0377B680">
        <w:rPr>
          <w:rFonts w:ascii="Arial" w:hAnsi="Arial" w:cs="Arial"/>
          <w:lang w:val="en-US"/>
        </w:rPr>
        <w:t xml:space="preserve">framework </w:t>
      </w:r>
      <w:r w:rsidR="00B52D57" w:rsidRPr="0377B680">
        <w:rPr>
          <w:rFonts w:ascii="Arial" w:hAnsi="Arial" w:cs="Arial"/>
          <w:lang w:val="en-US"/>
        </w:rPr>
        <w:t>to facilitate</w:t>
      </w:r>
      <w:r w:rsidR="004B0F13" w:rsidRPr="0377B680">
        <w:rPr>
          <w:rFonts w:ascii="Arial" w:hAnsi="Arial" w:cs="Arial"/>
          <w:lang w:val="en-US"/>
        </w:rPr>
        <w:t xml:space="preserve"> the assessment</w:t>
      </w:r>
      <w:r w:rsidR="00463917" w:rsidRPr="0377B680">
        <w:rPr>
          <w:rFonts w:ascii="Arial" w:hAnsi="Arial" w:cs="Arial"/>
          <w:lang w:val="en-US"/>
        </w:rPr>
        <w:t xml:space="preserve">. </w:t>
      </w:r>
      <w:r w:rsidR="004B0F13" w:rsidRPr="0377B680">
        <w:rPr>
          <w:rFonts w:ascii="Arial" w:hAnsi="Arial" w:cs="Arial"/>
          <w:lang w:val="en-US"/>
        </w:rPr>
        <w:t xml:space="preserve"> </w:t>
      </w:r>
      <w:r w:rsidR="005B4CFE" w:rsidRPr="0377B680">
        <w:rPr>
          <w:rFonts w:ascii="Arial" w:hAnsi="Arial" w:cs="Arial"/>
          <w:lang w:val="en-US"/>
        </w:rPr>
        <w:t xml:space="preserve">Given the diversity of institutional contexts, mandates, and resource environments in which TSCCs operate, </w:t>
      </w:r>
      <w:r w:rsidR="00586AB0">
        <w:rPr>
          <w:rFonts w:ascii="Arial" w:hAnsi="Arial" w:cs="Arial"/>
          <w:lang w:val="en-US"/>
        </w:rPr>
        <w:t>it is important for</w:t>
      </w:r>
      <w:r w:rsidR="005B4CFE" w:rsidRPr="0377B680">
        <w:rPr>
          <w:rFonts w:ascii="Arial" w:hAnsi="Arial" w:cs="Arial"/>
          <w:lang w:val="en-US"/>
        </w:rPr>
        <w:t xml:space="preserve"> each </w:t>
      </w:r>
      <w:r w:rsidR="00EF0BD7" w:rsidRPr="0377B680">
        <w:rPr>
          <w:rFonts w:ascii="Arial" w:hAnsi="Arial" w:cs="Arial"/>
          <w:lang w:val="en-US"/>
        </w:rPr>
        <w:t>Centre</w:t>
      </w:r>
      <w:r w:rsidR="005B4CFE" w:rsidRPr="0377B680">
        <w:rPr>
          <w:rFonts w:ascii="Arial" w:hAnsi="Arial" w:cs="Arial"/>
          <w:lang w:val="en-US"/>
        </w:rPr>
        <w:t xml:space="preserve"> to contextualize its achievements and constraints against agreed objectives, while promoting ownership, learning, and adaptive management</w:t>
      </w:r>
      <w:r w:rsidR="00C46E5E" w:rsidRPr="0377B680">
        <w:rPr>
          <w:rFonts w:ascii="Arial" w:hAnsi="Arial" w:cs="Arial"/>
          <w:lang w:val="en-US"/>
        </w:rPr>
        <w:t>.</w:t>
      </w:r>
    </w:p>
    <w:p w14:paraId="1BD66354" w14:textId="6B3F9173" w:rsidR="00B52D57" w:rsidRDefault="00541216">
      <w:pPr>
        <w:rPr>
          <w:rFonts w:ascii="Arial" w:hAnsi="Arial" w:cs="Arial"/>
          <w:lang w:val="en-US"/>
        </w:rPr>
      </w:pPr>
      <w:r>
        <w:rPr>
          <w:rFonts w:ascii="Arial" w:hAnsi="Arial" w:cs="Arial"/>
          <w:lang w:val="en-US"/>
        </w:rPr>
        <w:t>The</w:t>
      </w:r>
      <w:r w:rsidR="00A81020">
        <w:rPr>
          <w:rFonts w:ascii="Arial" w:hAnsi="Arial" w:cs="Arial"/>
          <w:lang w:val="en-US"/>
        </w:rPr>
        <w:t xml:space="preserve"> </w:t>
      </w:r>
      <w:r w:rsidR="00C311E1">
        <w:rPr>
          <w:rFonts w:ascii="Arial" w:hAnsi="Arial" w:cs="Arial"/>
          <w:lang w:val="en-US"/>
        </w:rPr>
        <w:t xml:space="preserve">following generic performance scale </w:t>
      </w:r>
      <w:r w:rsidR="000E5141">
        <w:rPr>
          <w:rFonts w:ascii="Arial" w:hAnsi="Arial" w:cs="Arial"/>
          <w:lang w:val="en-US"/>
        </w:rPr>
        <w:t>can be</w:t>
      </w:r>
      <w:r w:rsidR="00C311E1">
        <w:rPr>
          <w:rFonts w:ascii="Arial" w:hAnsi="Arial" w:cs="Arial"/>
          <w:lang w:val="en-US"/>
        </w:rPr>
        <w:t xml:space="preserve"> </w:t>
      </w:r>
      <w:r w:rsidR="00A81020">
        <w:rPr>
          <w:rFonts w:ascii="Arial" w:hAnsi="Arial" w:cs="Arial"/>
          <w:lang w:val="en-US"/>
        </w:rPr>
        <w:t>used</w:t>
      </w:r>
      <w:r w:rsidR="00C311E1">
        <w:rPr>
          <w:rFonts w:ascii="Arial" w:hAnsi="Arial" w:cs="Arial"/>
          <w:lang w:val="en-US"/>
        </w:rPr>
        <w:t>:</w:t>
      </w:r>
    </w:p>
    <w:p w14:paraId="4068B46B" w14:textId="414C4DED" w:rsidR="00C311E1" w:rsidRPr="00C311E1" w:rsidRDefault="00C311E1" w:rsidP="00C311E1">
      <w:pPr>
        <w:spacing w:after="120" w:line="240" w:lineRule="auto"/>
        <w:ind w:left="360"/>
        <w:rPr>
          <w:rFonts w:ascii="Arial" w:hAnsi="Arial" w:cs="Arial"/>
          <w:lang w:val="en-US"/>
        </w:rPr>
      </w:pPr>
      <w:r w:rsidRPr="00C311E1">
        <w:rPr>
          <w:rFonts w:ascii="Arial" w:hAnsi="Arial" w:cs="Arial"/>
          <w:lang w:val="en-US"/>
        </w:rPr>
        <w:t>0 – No</w:t>
      </w:r>
      <w:r w:rsidR="00E13080">
        <w:rPr>
          <w:rFonts w:ascii="Arial" w:hAnsi="Arial" w:cs="Arial"/>
          <w:lang w:val="en-US"/>
        </w:rPr>
        <w:t>thing done</w:t>
      </w:r>
      <w:r w:rsidRPr="00C311E1">
        <w:rPr>
          <w:rFonts w:ascii="Arial" w:hAnsi="Arial" w:cs="Arial"/>
          <w:lang w:val="en-US"/>
        </w:rPr>
        <w:t xml:space="preserve"> </w:t>
      </w:r>
    </w:p>
    <w:p w14:paraId="211B6D47" w14:textId="0D085677" w:rsidR="00C311E1" w:rsidRDefault="00C311E1" w:rsidP="00C311E1">
      <w:pPr>
        <w:spacing w:after="120" w:line="240" w:lineRule="auto"/>
        <w:ind w:left="360"/>
        <w:rPr>
          <w:rFonts w:ascii="Arial" w:hAnsi="Arial" w:cs="Arial"/>
          <w:lang w:val="en-US"/>
        </w:rPr>
      </w:pPr>
      <w:r w:rsidRPr="00C311E1">
        <w:rPr>
          <w:rFonts w:ascii="Arial" w:hAnsi="Arial" w:cs="Arial"/>
          <w:lang w:val="en-US"/>
        </w:rPr>
        <w:t>1 – Minima</w:t>
      </w:r>
      <w:r w:rsidR="00D838B8">
        <w:rPr>
          <w:rFonts w:ascii="Arial" w:hAnsi="Arial" w:cs="Arial"/>
          <w:lang w:val="en-US"/>
        </w:rPr>
        <w:t xml:space="preserve">l </w:t>
      </w:r>
      <w:r w:rsidRPr="00C311E1">
        <w:rPr>
          <w:rFonts w:ascii="Arial" w:hAnsi="Arial" w:cs="Arial"/>
          <w:lang w:val="en-US"/>
        </w:rPr>
        <w:t xml:space="preserve">(isolated or pilot actions) </w:t>
      </w:r>
    </w:p>
    <w:p w14:paraId="1C5DCC5C" w14:textId="18DD3AE9"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2 – Moderate (repeatable but limited delivery) </w:t>
      </w:r>
    </w:p>
    <w:p w14:paraId="3F970B39" w14:textId="53DB9D40"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3 – Strong (regular, multi activity or multi partner delivery) </w:t>
      </w:r>
    </w:p>
    <w:p w14:paraId="429A5D86" w14:textId="66ED71A0" w:rsidR="00C311E1" w:rsidRDefault="00C311E1" w:rsidP="00C311E1">
      <w:pPr>
        <w:spacing w:after="120" w:line="240" w:lineRule="auto"/>
        <w:ind w:left="360"/>
        <w:rPr>
          <w:rFonts w:ascii="Arial" w:hAnsi="Arial" w:cs="Arial"/>
          <w:lang w:val="en-US"/>
        </w:rPr>
      </w:pPr>
      <w:r w:rsidRPr="00C311E1">
        <w:rPr>
          <w:rFonts w:ascii="Arial" w:hAnsi="Arial" w:cs="Arial"/>
          <w:lang w:val="en-US"/>
        </w:rPr>
        <w:t>4 – High (sustained, trusted, and value adding delivery)</w:t>
      </w:r>
    </w:p>
    <w:p w14:paraId="6981ADA7" w14:textId="77777777" w:rsidR="00C311E1" w:rsidRDefault="00C311E1">
      <w:pPr>
        <w:rPr>
          <w:rFonts w:ascii="Arial" w:hAnsi="Arial" w:cs="Arial"/>
          <w:lang w:val="en-US"/>
        </w:rPr>
      </w:pPr>
    </w:p>
    <w:p w14:paraId="3E4F2A13" w14:textId="0075E81E" w:rsidR="002618E2" w:rsidRPr="00372103" w:rsidRDefault="00020B0E">
      <w:pPr>
        <w:rPr>
          <w:rFonts w:ascii="Arial" w:hAnsi="Arial" w:cs="Arial"/>
          <w:lang w:val="en-US"/>
        </w:rPr>
      </w:pPr>
      <w:r>
        <w:rPr>
          <w:rFonts w:ascii="Arial" w:hAnsi="Arial" w:cs="Arial"/>
          <w:lang w:val="en-US"/>
        </w:rPr>
        <w:t>The following table combines the criteria</w:t>
      </w:r>
      <w:r w:rsidR="00094C5A">
        <w:rPr>
          <w:rFonts w:ascii="Arial" w:hAnsi="Arial" w:cs="Arial"/>
          <w:lang w:val="en-US"/>
        </w:rPr>
        <w:t>,</w:t>
      </w:r>
      <w:r>
        <w:rPr>
          <w:rFonts w:ascii="Arial" w:hAnsi="Arial" w:cs="Arial"/>
          <w:lang w:val="en-US"/>
        </w:rPr>
        <w:t xml:space="preserve"> assessment scale</w:t>
      </w:r>
      <w:r w:rsidR="00094C5A">
        <w:rPr>
          <w:rFonts w:ascii="Arial" w:hAnsi="Arial" w:cs="Arial"/>
          <w:lang w:val="en-US"/>
        </w:rPr>
        <w:t xml:space="preserve"> and possible indicators to be used as evidence for the scoring</w:t>
      </w:r>
      <w:r>
        <w:rPr>
          <w:rFonts w:ascii="Arial" w:hAnsi="Arial" w:cs="Arial"/>
          <w:lang w:val="en-US"/>
        </w:rPr>
        <w:t>.</w:t>
      </w:r>
    </w:p>
    <w:p w14:paraId="76118A1C" w14:textId="77777777" w:rsidR="002618E2" w:rsidRDefault="002618E2">
      <w:pPr>
        <w:rPr>
          <w:rFonts w:ascii="Arial" w:hAnsi="Arial" w:cs="Arial"/>
          <w:b/>
          <w:bCs/>
          <w:lang w:val="en-US"/>
        </w:rPr>
      </w:pPr>
      <w:r>
        <w:rPr>
          <w:rFonts w:ascii="Arial" w:hAnsi="Arial" w:cs="Arial"/>
          <w:b/>
          <w:bCs/>
          <w:lang w:val="en-US"/>
        </w:rPr>
        <w:br w:type="page"/>
      </w:r>
    </w:p>
    <w:p w14:paraId="0B256A46" w14:textId="77777777" w:rsidR="001D6A80" w:rsidRDefault="001D6A80" w:rsidP="006973AD">
      <w:pPr>
        <w:sectPr w:rsidR="001D6A80" w:rsidSect="002618E2">
          <w:headerReference w:type="even"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tbl>
      <w:tblPr>
        <w:tblStyle w:val="TableGrid"/>
        <w:tblW w:w="14034" w:type="dxa"/>
        <w:tblInd w:w="-431" w:type="dxa"/>
        <w:tblLook w:val="04A0" w:firstRow="1" w:lastRow="0" w:firstColumn="1" w:lastColumn="0" w:noHBand="0" w:noVBand="1"/>
      </w:tblPr>
      <w:tblGrid>
        <w:gridCol w:w="3122"/>
        <w:gridCol w:w="1660"/>
        <w:gridCol w:w="2472"/>
        <w:gridCol w:w="1899"/>
        <w:gridCol w:w="2051"/>
        <w:gridCol w:w="2830"/>
      </w:tblGrid>
      <w:tr w:rsidR="004A6A0B" w14:paraId="4A016CA0" w14:textId="77777777" w:rsidTr="00291F06">
        <w:tc>
          <w:tcPr>
            <w:tcW w:w="3413" w:type="dxa"/>
          </w:tcPr>
          <w:p w14:paraId="04DDCFD2" w14:textId="77777777" w:rsidR="00012D1E" w:rsidRPr="001D6A80" w:rsidRDefault="00012D1E" w:rsidP="006973AD">
            <w:pPr>
              <w:rPr>
                <w:b/>
                <w:bCs/>
              </w:rPr>
            </w:pPr>
            <w:commentRangeStart w:id="0"/>
            <w:r w:rsidRPr="001D6A80">
              <w:rPr>
                <w:b/>
                <w:bCs/>
              </w:rPr>
              <w:lastRenderedPageBreak/>
              <w:t>Assessment Criterion</w:t>
            </w:r>
            <w:commentRangeEnd w:id="0"/>
            <w:r w:rsidR="00492ED0" w:rsidRPr="001D6A80">
              <w:rPr>
                <w:rStyle w:val="CommentReference"/>
                <w:b/>
                <w:bCs/>
                <w:sz w:val="24"/>
                <w:szCs w:val="24"/>
              </w:rPr>
              <w:commentReference w:id="0"/>
            </w:r>
          </w:p>
        </w:tc>
        <w:tc>
          <w:tcPr>
            <w:tcW w:w="1691" w:type="dxa"/>
          </w:tcPr>
          <w:p w14:paraId="4C7A4C1B" w14:textId="0F042DBF" w:rsidR="00012D1E" w:rsidRPr="001D6A80" w:rsidRDefault="00012D1E" w:rsidP="006973AD">
            <w:pPr>
              <w:rPr>
                <w:b/>
                <w:bCs/>
              </w:rPr>
            </w:pPr>
            <w:r w:rsidRPr="001D6A80">
              <w:rPr>
                <w:b/>
                <w:bCs/>
              </w:rPr>
              <w:t>0 – No</w:t>
            </w:r>
            <w:r w:rsidR="00E13080">
              <w:rPr>
                <w:b/>
                <w:bCs/>
              </w:rPr>
              <w:t>thing</w:t>
            </w:r>
          </w:p>
        </w:tc>
        <w:tc>
          <w:tcPr>
            <w:tcW w:w="1893" w:type="dxa"/>
          </w:tcPr>
          <w:p w14:paraId="0AC69715" w14:textId="77777777" w:rsidR="00012D1E" w:rsidRPr="001D6A80" w:rsidRDefault="00012D1E" w:rsidP="006973AD">
            <w:pPr>
              <w:rPr>
                <w:b/>
                <w:bCs/>
              </w:rPr>
            </w:pPr>
            <w:r w:rsidRPr="001D6A80">
              <w:rPr>
                <w:b/>
                <w:bCs/>
              </w:rPr>
              <w:t>1 – Minimal</w:t>
            </w:r>
          </w:p>
        </w:tc>
        <w:tc>
          <w:tcPr>
            <w:tcW w:w="1934" w:type="dxa"/>
          </w:tcPr>
          <w:p w14:paraId="7F9EA9FC" w14:textId="77777777" w:rsidR="00012D1E" w:rsidRPr="001D6A80" w:rsidRDefault="00012D1E" w:rsidP="006973AD">
            <w:pPr>
              <w:rPr>
                <w:b/>
                <w:bCs/>
              </w:rPr>
            </w:pPr>
            <w:r w:rsidRPr="001D6A80">
              <w:rPr>
                <w:b/>
                <w:bCs/>
              </w:rPr>
              <w:t>2 – Moderate</w:t>
            </w:r>
          </w:p>
        </w:tc>
        <w:tc>
          <w:tcPr>
            <w:tcW w:w="2163" w:type="dxa"/>
          </w:tcPr>
          <w:p w14:paraId="04EC32F2" w14:textId="77777777" w:rsidR="00012D1E" w:rsidRPr="001D6A80" w:rsidRDefault="00012D1E" w:rsidP="006973AD">
            <w:pPr>
              <w:rPr>
                <w:b/>
                <w:bCs/>
              </w:rPr>
            </w:pPr>
            <w:commentRangeStart w:id="1"/>
            <w:r w:rsidRPr="001D6A80">
              <w:rPr>
                <w:b/>
                <w:bCs/>
              </w:rPr>
              <w:t>3 – Strong</w:t>
            </w:r>
            <w:commentRangeEnd w:id="1"/>
            <w:r w:rsidR="005F69FC" w:rsidRPr="001D6A80">
              <w:rPr>
                <w:rStyle w:val="CommentReference"/>
                <w:b/>
                <w:bCs/>
                <w:sz w:val="24"/>
                <w:szCs w:val="24"/>
              </w:rPr>
              <w:commentReference w:id="1"/>
            </w:r>
          </w:p>
        </w:tc>
        <w:tc>
          <w:tcPr>
            <w:tcW w:w="2940" w:type="dxa"/>
          </w:tcPr>
          <w:p w14:paraId="746B0DE8" w14:textId="77777777" w:rsidR="00012D1E" w:rsidRPr="001D6A80" w:rsidRDefault="00012D1E" w:rsidP="006973AD">
            <w:pPr>
              <w:rPr>
                <w:b/>
                <w:bCs/>
              </w:rPr>
            </w:pPr>
            <w:r w:rsidRPr="001D6A80">
              <w:rPr>
                <w:b/>
                <w:bCs/>
              </w:rPr>
              <w:t>4 – High</w:t>
            </w:r>
          </w:p>
        </w:tc>
      </w:tr>
      <w:tr w:rsidR="004A6A0B" w14:paraId="792B412F" w14:textId="77777777" w:rsidTr="00291F06">
        <w:tc>
          <w:tcPr>
            <w:tcW w:w="3413" w:type="dxa"/>
          </w:tcPr>
          <w:p w14:paraId="33B10CF8" w14:textId="77777777" w:rsidR="00012D1E" w:rsidRDefault="00012D1E" w:rsidP="006973AD">
            <w:r>
              <w:t xml:space="preserve">1. </w:t>
            </w:r>
            <w:commentRangeStart w:id="2"/>
            <w:r>
              <w:t>Identifying and responding to TSC &amp; TT needs of Parties</w:t>
            </w:r>
            <w:commentRangeEnd w:id="2"/>
            <w:r w:rsidR="00B67A15">
              <w:rPr>
                <w:rStyle w:val="CommentReference"/>
                <w:sz w:val="24"/>
                <w:szCs w:val="24"/>
              </w:rPr>
              <w:commentReference w:id="2"/>
            </w:r>
          </w:p>
        </w:tc>
        <w:tc>
          <w:tcPr>
            <w:tcW w:w="1691" w:type="dxa"/>
          </w:tcPr>
          <w:p w14:paraId="2A4B4D94" w14:textId="77777777" w:rsidR="00012D1E" w:rsidRDefault="00012D1E" w:rsidP="006973AD">
            <w:r>
              <w:t>No needs identified or responded to</w:t>
            </w:r>
          </w:p>
        </w:tc>
        <w:tc>
          <w:tcPr>
            <w:tcW w:w="1893" w:type="dxa"/>
          </w:tcPr>
          <w:p w14:paraId="25EBE52F" w14:textId="77777777" w:rsidR="00012D1E" w:rsidRDefault="00012D1E" w:rsidP="006973AD">
            <w:r>
              <w:t>Initial identification or one response</w:t>
            </w:r>
          </w:p>
        </w:tc>
        <w:tc>
          <w:tcPr>
            <w:tcW w:w="1934" w:type="dxa"/>
          </w:tcPr>
          <w:p w14:paraId="65C3FB50" w14:textId="77777777" w:rsidR="00012D1E" w:rsidRDefault="00012D1E" w:rsidP="006973AD">
            <w:r>
              <w:t xml:space="preserve">Responses delivered to </w:t>
            </w:r>
            <w:commentRangeStart w:id="3"/>
            <w:r>
              <w:t xml:space="preserve">≥2 </w:t>
            </w:r>
            <w:commentRangeEnd w:id="3"/>
            <w:r w:rsidR="000E008D">
              <w:rPr>
                <w:rStyle w:val="CommentReference"/>
                <w:sz w:val="24"/>
                <w:szCs w:val="24"/>
              </w:rPr>
              <w:commentReference w:id="3"/>
            </w:r>
            <w:r>
              <w:t>Parties</w:t>
            </w:r>
          </w:p>
        </w:tc>
        <w:tc>
          <w:tcPr>
            <w:tcW w:w="2163" w:type="dxa"/>
          </w:tcPr>
          <w:p w14:paraId="2A8D1198" w14:textId="77777777" w:rsidR="00012D1E" w:rsidRDefault="00012D1E" w:rsidP="006973AD">
            <w:r>
              <w:t>Regular responses across countries</w:t>
            </w:r>
          </w:p>
        </w:tc>
        <w:tc>
          <w:tcPr>
            <w:tcW w:w="2940" w:type="dxa"/>
          </w:tcPr>
          <w:p w14:paraId="00E8AC6B" w14:textId="693E9568" w:rsidR="00012D1E" w:rsidRDefault="00012D1E" w:rsidP="006973AD">
            <w:commentRangeStart w:id="4"/>
            <w:r>
              <w:t>Sustained</w:t>
            </w:r>
            <w:commentRangeEnd w:id="4"/>
            <w:r w:rsidR="009A35A5">
              <w:rPr>
                <w:rStyle w:val="CommentReference"/>
                <w:sz w:val="24"/>
                <w:szCs w:val="24"/>
              </w:rPr>
              <w:commentReference w:id="4"/>
            </w:r>
            <w:r>
              <w:t xml:space="preserve"> demand</w:t>
            </w:r>
            <w:r w:rsidR="00836782">
              <w:t>-</w:t>
            </w:r>
            <w:r>
              <w:t>driven engagement</w:t>
            </w:r>
          </w:p>
        </w:tc>
      </w:tr>
      <w:tr w:rsidR="00012D1E" w14:paraId="1C4D815A" w14:textId="77777777" w:rsidTr="00291F06">
        <w:tc>
          <w:tcPr>
            <w:tcW w:w="3413" w:type="dxa"/>
          </w:tcPr>
          <w:p w14:paraId="0B70B0C0" w14:textId="258D7359" w:rsidR="00012D1E" w:rsidRDefault="00836782" w:rsidP="006973AD">
            <w:commentRangeStart w:id="5"/>
            <w:r>
              <w:t>I</w:t>
            </w:r>
            <w:r w:rsidR="00012D1E">
              <w:t>ndicators</w:t>
            </w:r>
            <w:commentRangeEnd w:id="5"/>
            <w:r w:rsidR="009A35A5">
              <w:rPr>
                <w:rStyle w:val="CommentReference"/>
                <w:sz w:val="24"/>
                <w:szCs w:val="24"/>
              </w:rPr>
              <w:commentReference w:id="5"/>
            </w:r>
            <w:r w:rsidR="00012D1E">
              <w:t xml:space="preserve"> (non</w:t>
            </w:r>
            <w:r w:rsidR="00CE4085">
              <w:t>-</w:t>
            </w:r>
            <w:r w:rsidR="00012D1E">
              <w:t>exhaustive)</w:t>
            </w:r>
          </w:p>
        </w:tc>
        <w:tc>
          <w:tcPr>
            <w:tcW w:w="10621" w:type="dxa"/>
            <w:gridSpan w:val="5"/>
          </w:tcPr>
          <w:p w14:paraId="7D395A63" w14:textId="3E2BF16D" w:rsidR="00012D1E" w:rsidRDefault="00012D1E" w:rsidP="006973AD">
            <w:r>
              <w:t>Indicative indicators</w:t>
            </w:r>
            <w:r w:rsidR="001D6A80">
              <w:t xml:space="preserve">: draw from SBI 6/5 and </w:t>
            </w:r>
            <w:r w:rsidR="00CE4085">
              <w:t>workplan indicators</w:t>
            </w:r>
            <w:r w:rsidR="00991239">
              <w:t xml:space="preserve">, ex: </w:t>
            </w:r>
            <w:r w:rsidR="00400828">
              <w:t xml:space="preserve">number of Parties participating in needs assessments, </w:t>
            </w:r>
            <w:r w:rsidR="00991239">
              <w:t>number of helpdesk inquiries addressed</w:t>
            </w:r>
          </w:p>
        </w:tc>
      </w:tr>
      <w:tr w:rsidR="004A6A0B" w14:paraId="633F25EE" w14:textId="77777777" w:rsidTr="00291F06">
        <w:tc>
          <w:tcPr>
            <w:tcW w:w="3413" w:type="dxa"/>
          </w:tcPr>
          <w:p w14:paraId="6468170F" w14:textId="67D42CE6" w:rsidR="00012D1E" w:rsidRDefault="00012D1E" w:rsidP="006973AD">
            <w:r>
              <w:t>2. Tangible results in capacity</w:t>
            </w:r>
            <w:r w:rsidR="006F7C2C">
              <w:t>-</w:t>
            </w:r>
            <w:r>
              <w:t>building, TA &amp; TT</w:t>
            </w:r>
          </w:p>
        </w:tc>
        <w:tc>
          <w:tcPr>
            <w:tcW w:w="1691" w:type="dxa"/>
          </w:tcPr>
          <w:p w14:paraId="08499197" w14:textId="77777777" w:rsidR="00012D1E" w:rsidRDefault="00012D1E" w:rsidP="006973AD">
            <w:r>
              <w:t>No delivery</w:t>
            </w:r>
          </w:p>
        </w:tc>
        <w:tc>
          <w:tcPr>
            <w:tcW w:w="1893" w:type="dxa"/>
          </w:tcPr>
          <w:p w14:paraId="0962F9FE" w14:textId="77777777" w:rsidR="00012D1E" w:rsidRDefault="00012D1E" w:rsidP="006973AD">
            <w:commentRangeStart w:id="6"/>
            <w:r>
              <w:t>One tangible activity delivered</w:t>
            </w:r>
            <w:commentRangeEnd w:id="6"/>
            <w:r w:rsidR="00522AB1">
              <w:rPr>
                <w:rStyle w:val="CommentReference"/>
                <w:sz w:val="24"/>
                <w:szCs w:val="24"/>
              </w:rPr>
              <w:commentReference w:id="6"/>
            </w:r>
          </w:p>
        </w:tc>
        <w:tc>
          <w:tcPr>
            <w:tcW w:w="1934" w:type="dxa"/>
          </w:tcPr>
          <w:p w14:paraId="351D383A" w14:textId="77777777" w:rsidR="00012D1E" w:rsidRDefault="00012D1E" w:rsidP="006973AD">
            <w:r>
              <w:t>Multiple activities or countries supported</w:t>
            </w:r>
          </w:p>
        </w:tc>
        <w:tc>
          <w:tcPr>
            <w:tcW w:w="2163" w:type="dxa"/>
          </w:tcPr>
          <w:p w14:paraId="3D02D054" w14:textId="77777777" w:rsidR="00012D1E" w:rsidRDefault="00012D1E" w:rsidP="006973AD">
            <w:r>
              <w:t>Regular delivery with measurable outputs</w:t>
            </w:r>
          </w:p>
        </w:tc>
        <w:tc>
          <w:tcPr>
            <w:tcW w:w="2940" w:type="dxa"/>
          </w:tcPr>
          <w:p w14:paraId="2FFEF664" w14:textId="3D204014" w:rsidR="00012D1E" w:rsidRDefault="00012D1E" w:rsidP="006973AD">
            <w:r>
              <w:t>Consistent multi</w:t>
            </w:r>
            <w:r w:rsidR="00CE4085">
              <w:t>-</w:t>
            </w:r>
            <w:r>
              <w:t>country delivery with use</w:t>
            </w:r>
          </w:p>
        </w:tc>
      </w:tr>
      <w:tr w:rsidR="004A6A0B" w14:paraId="37F851EA" w14:textId="77777777" w:rsidTr="00291F06">
        <w:tc>
          <w:tcPr>
            <w:tcW w:w="3413" w:type="dxa"/>
          </w:tcPr>
          <w:p w14:paraId="089EFFDE" w14:textId="69F22E92" w:rsidR="004A6A0B" w:rsidRDefault="00836782" w:rsidP="004A6A0B">
            <w:r>
              <w:t>Indicators (non-exhaustive)</w:t>
            </w:r>
          </w:p>
        </w:tc>
        <w:tc>
          <w:tcPr>
            <w:tcW w:w="10621" w:type="dxa"/>
            <w:gridSpan w:val="5"/>
          </w:tcPr>
          <w:p w14:paraId="56CAAA69" w14:textId="340A287C" w:rsidR="004A6A0B" w:rsidRDefault="004A6A0B" w:rsidP="004A6A0B">
            <w:r>
              <w:t>Indicative indicators: draw from SBI 6/5 and workplan indicators</w:t>
            </w:r>
            <w:r w:rsidR="008C610C">
              <w:t>, ex: number of matches made</w:t>
            </w:r>
          </w:p>
        </w:tc>
      </w:tr>
      <w:tr w:rsidR="004A6A0B" w14:paraId="2E80724F" w14:textId="77777777" w:rsidTr="00291F06">
        <w:tc>
          <w:tcPr>
            <w:tcW w:w="3413" w:type="dxa"/>
          </w:tcPr>
          <w:p w14:paraId="4C6B5AB2" w14:textId="77777777" w:rsidR="00012D1E" w:rsidRDefault="00012D1E" w:rsidP="006973AD">
            <w:r>
              <w:t>3. Knowledge products and technical tools</w:t>
            </w:r>
          </w:p>
        </w:tc>
        <w:tc>
          <w:tcPr>
            <w:tcW w:w="1691" w:type="dxa"/>
          </w:tcPr>
          <w:p w14:paraId="4D832C97" w14:textId="77777777" w:rsidR="00012D1E" w:rsidRDefault="00012D1E" w:rsidP="006973AD">
            <w:r>
              <w:t>No products or tools</w:t>
            </w:r>
          </w:p>
        </w:tc>
        <w:tc>
          <w:tcPr>
            <w:tcW w:w="1893" w:type="dxa"/>
          </w:tcPr>
          <w:p w14:paraId="3C527319" w14:textId="77777777" w:rsidR="00012D1E" w:rsidRDefault="00012D1E" w:rsidP="006973AD">
            <w:r>
              <w:t xml:space="preserve">One product/tool </w:t>
            </w:r>
            <w:commentRangeStart w:id="7"/>
            <w:commentRangeStart w:id="8"/>
            <w:r>
              <w:t>developed</w:t>
            </w:r>
            <w:commentRangeEnd w:id="7"/>
            <w:r w:rsidR="009A35A5">
              <w:rPr>
                <w:rStyle w:val="CommentReference"/>
                <w:sz w:val="24"/>
                <w:szCs w:val="24"/>
              </w:rPr>
              <w:commentReference w:id="7"/>
            </w:r>
            <w:commentRangeEnd w:id="8"/>
            <w:r w:rsidR="00414B39">
              <w:rPr>
                <w:rStyle w:val="CommentReference"/>
                <w:sz w:val="24"/>
                <w:szCs w:val="24"/>
              </w:rPr>
              <w:commentReference w:id="8"/>
            </w:r>
          </w:p>
        </w:tc>
        <w:tc>
          <w:tcPr>
            <w:tcW w:w="1934" w:type="dxa"/>
          </w:tcPr>
          <w:p w14:paraId="4216628B" w14:textId="77777777" w:rsidR="00012D1E" w:rsidRDefault="00012D1E" w:rsidP="006973AD">
            <w:r>
              <w:t>Two or more products/tools developed</w:t>
            </w:r>
          </w:p>
        </w:tc>
        <w:tc>
          <w:tcPr>
            <w:tcW w:w="2163" w:type="dxa"/>
          </w:tcPr>
          <w:p w14:paraId="6FCF4DE1" w14:textId="5AECB752" w:rsidR="00012D1E" w:rsidRDefault="00012D1E" w:rsidP="006973AD">
            <w:pPr>
              <w:rPr>
                <w:lang w:eastAsia="ko-KR"/>
              </w:rPr>
            </w:pPr>
            <w:r>
              <w:t>Regular production aligned to needs</w:t>
            </w:r>
            <w:r w:rsidR="00232F76">
              <w:rPr>
                <w:rFonts w:hint="eastAsia"/>
                <w:lang w:eastAsia="ko-KR"/>
              </w:rPr>
              <w:t xml:space="preserve">; some uptake </w:t>
            </w:r>
            <w:r w:rsidR="00514591">
              <w:rPr>
                <w:rFonts w:hint="eastAsia"/>
                <w:lang w:eastAsia="ko-KR"/>
              </w:rPr>
              <w:t>evidence</w:t>
            </w:r>
          </w:p>
        </w:tc>
        <w:tc>
          <w:tcPr>
            <w:tcW w:w="2940" w:type="dxa"/>
          </w:tcPr>
          <w:p w14:paraId="7EEB9357" w14:textId="022D189C" w:rsidR="00012D1E" w:rsidRDefault="00012D1E" w:rsidP="006973AD">
            <w:pPr>
              <w:rPr>
                <w:lang w:eastAsia="ko-KR"/>
              </w:rPr>
            </w:pPr>
            <w:commentRangeStart w:id="9"/>
            <w:r>
              <w:t>Products/tools actively used or requested</w:t>
            </w:r>
            <w:commentRangeEnd w:id="9"/>
            <w:r w:rsidR="00492ED0">
              <w:rPr>
                <w:rStyle w:val="CommentReference"/>
                <w:sz w:val="24"/>
                <w:szCs w:val="24"/>
                <w:lang w:eastAsia="ko-KR"/>
              </w:rPr>
              <w:commentReference w:id="9"/>
            </w:r>
          </w:p>
        </w:tc>
      </w:tr>
      <w:tr w:rsidR="004A6A0B" w14:paraId="75AAD596" w14:textId="77777777" w:rsidTr="00291F06">
        <w:tc>
          <w:tcPr>
            <w:tcW w:w="3413" w:type="dxa"/>
          </w:tcPr>
          <w:p w14:paraId="10AE045D" w14:textId="714F76AD" w:rsidR="004A6A0B" w:rsidRDefault="00836782" w:rsidP="004A6A0B">
            <w:r>
              <w:t>Indicators (non-exhaustive)</w:t>
            </w:r>
          </w:p>
        </w:tc>
        <w:tc>
          <w:tcPr>
            <w:tcW w:w="10621" w:type="dxa"/>
            <w:gridSpan w:val="5"/>
          </w:tcPr>
          <w:p w14:paraId="7EEA1815" w14:textId="314AE298" w:rsidR="004A6A0B" w:rsidRDefault="004A6A0B" w:rsidP="004A6A0B">
            <w:r>
              <w:t>Indicative indicators: draw from SBI 6/5 and workplan indicators</w:t>
            </w:r>
            <w:r w:rsidR="00991239">
              <w:t xml:space="preserve">, ex: </w:t>
            </w:r>
            <w:r w:rsidR="008C610C">
              <w:t xml:space="preserve">number of tools </w:t>
            </w:r>
            <w:r w:rsidR="00D2413C">
              <w:t>exchanged</w:t>
            </w:r>
          </w:p>
        </w:tc>
      </w:tr>
      <w:tr w:rsidR="004A6A0B" w14:paraId="33EE3A4A" w14:textId="77777777" w:rsidTr="00291F06">
        <w:tc>
          <w:tcPr>
            <w:tcW w:w="3413" w:type="dxa"/>
          </w:tcPr>
          <w:p w14:paraId="35D0D45A" w14:textId="56358F77" w:rsidR="004A6A0B" w:rsidRDefault="004A6A0B" w:rsidP="004A6A0B">
            <w:r>
              <w:t>4. Knowledge sharing and peer learning</w:t>
            </w:r>
          </w:p>
        </w:tc>
        <w:tc>
          <w:tcPr>
            <w:tcW w:w="1691" w:type="dxa"/>
          </w:tcPr>
          <w:p w14:paraId="276F5A16" w14:textId="77777777" w:rsidR="004A6A0B" w:rsidRDefault="004A6A0B" w:rsidP="004A6A0B">
            <w:r>
              <w:t>No knowledge sharing</w:t>
            </w:r>
          </w:p>
        </w:tc>
        <w:tc>
          <w:tcPr>
            <w:tcW w:w="1893" w:type="dxa"/>
          </w:tcPr>
          <w:p w14:paraId="75DFCC37" w14:textId="77777777" w:rsidR="004A6A0B" w:rsidRDefault="004A6A0B" w:rsidP="004A6A0B">
            <w:r>
              <w:t>One dissemination or exchange</w:t>
            </w:r>
          </w:p>
        </w:tc>
        <w:tc>
          <w:tcPr>
            <w:tcW w:w="1934" w:type="dxa"/>
          </w:tcPr>
          <w:p w14:paraId="25AA4C19" w14:textId="77777777" w:rsidR="004A6A0B" w:rsidRDefault="004A6A0B" w:rsidP="004A6A0B">
            <w:r>
              <w:t>Multiple exchanges</w:t>
            </w:r>
          </w:p>
        </w:tc>
        <w:tc>
          <w:tcPr>
            <w:tcW w:w="2163" w:type="dxa"/>
          </w:tcPr>
          <w:p w14:paraId="11362723" w14:textId="4B2E4CC1" w:rsidR="004A6A0B" w:rsidRDefault="004A6A0B" w:rsidP="004A6A0B">
            <w:pPr>
              <w:rPr>
                <w:lang w:eastAsia="ko-KR"/>
              </w:rPr>
            </w:pPr>
            <w:r>
              <w:t>Regular peer learning</w:t>
            </w:r>
            <w:r w:rsidR="002B7916">
              <w:rPr>
                <w:rFonts w:hint="eastAsia"/>
                <w:lang w:eastAsia="ko-KR"/>
              </w:rPr>
              <w:t xml:space="preserve"> and exchanges</w:t>
            </w:r>
          </w:p>
        </w:tc>
        <w:tc>
          <w:tcPr>
            <w:tcW w:w="2940" w:type="dxa"/>
          </w:tcPr>
          <w:p w14:paraId="65882B33" w14:textId="77777777" w:rsidR="004A6A0B" w:rsidRDefault="004A6A0B" w:rsidP="004A6A0B">
            <w:commentRangeStart w:id="10"/>
            <w:commentRangeStart w:id="11"/>
            <w:r>
              <w:t>Evidence of learning uptake</w:t>
            </w:r>
            <w:commentRangeEnd w:id="10"/>
            <w:r w:rsidR="00492ED0">
              <w:rPr>
                <w:rStyle w:val="CommentReference"/>
                <w:sz w:val="24"/>
                <w:szCs w:val="24"/>
              </w:rPr>
              <w:commentReference w:id="10"/>
            </w:r>
            <w:commentRangeEnd w:id="11"/>
            <w:r w:rsidR="00A50FEF">
              <w:rPr>
                <w:rStyle w:val="CommentReference"/>
                <w:sz w:val="24"/>
                <w:szCs w:val="24"/>
              </w:rPr>
              <w:commentReference w:id="11"/>
            </w:r>
          </w:p>
        </w:tc>
      </w:tr>
      <w:tr w:rsidR="004A6A0B" w14:paraId="76502CB3" w14:textId="77777777" w:rsidTr="00291F06">
        <w:tc>
          <w:tcPr>
            <w:tcW w:w="3413" w:type="dxa"/>
          </w:tcPr>
          <w:p w14:paraId="553EFEE6" w14:textId="6858E0B2" w:rsidR="004A6A0B" w:rsidRDefault="00836782" w:rsidP="004A6A0B">
            <w:r>
              <w:t>Indicators (non-exhaustive)</w:t>
            </w:r>
          </w:p>
        </w:tc>
        <w:tc>
          <w:tcPr>
            <w:tcW w:w="10621" w:type="dxa"/>
            <w:gridSpan w:val="5"/>
          </w:tcPr>
          <w:p w14:paraId="6CC5AB79" w14:textId="10E39B62" w:rsidR="004A6A0B" w:rsidRDefault="004A6A0B" w:rsidP="004A6A0B">
            <w:r>
              <w:t>Indicative indicators: draw from SBI 6/5 and workplan indicators</w:t>
            </w:r>
            <w:r w:rsidR="00E9338E">
              <w:t xml:space="preserve">, ex: </w:t>
            </w:r>
            <w:r w:rsidR="00910082">
              <w:t>number of peer-to-peer exchanges organized</w:t>
            </w:r>
          </w:p>
        </w:tc>
      </w:tr>
      <w:tr w:rsidR="004A6A0B" w14:paraId="319D3F38" w14:textId="77777777" w:rsidTr="00291F06">
        <w:tc>
          <w:tcPr>
            <w:tcW w:w="3413" w:type="dxa"/>
          </w:tcPr>
          <w:p w14:paraId="7CCFD705" w14:textId="77777777" w:rsidR="004A6A0B" w:rsidRDefault="004A6A0B" w:rsidP="004A6A0B">
            <w:r>
              <w:t>5. Productive partnerships</w:t>
            </w:r>
          </w:p>
        </w:tc>
        <w:tc>
          <w:tcPr>
            <w:tcW w:w="1691" w:type="dxa"/>
          </w:tcPr>
          <w:p w14:paraId="4C78CEBB" w14:textId="77777777" w:rsidR="004A6A0B" w:rsidRDefault="004A6A0B" w:rsidP="004A6A0B">
            <w:r>
              <w:t>No partnerships</w:t>
            </w:r>
          </w:p>
        </w:tc>
        <w:tc>
          <w:tcPr>
            <w:tcW w:w="1893" w:type="dxa"/>
          </w:tcPr>
          <w:p w14:paraId="519FB5C6" w14:textId="77777777" w:rsidR="004A6A0B" w:rsidRDefault="004A6A0B" w:rsidP="004A6A0B">
            <w:r>
              <w:t>Informal engagement</w:t>
            </w:r>
          </w:p>
        </w:tc>
        <w:tc>
          <w:tcPr>
            <w:tcW w:w="1934" w:type="dxa"/>
          </w:tcPr>
          <w:p w14:paraId="770D3E99" w14:textId="77777777" w:rsidR="004A6A0B" w:rsidRDefault="004A6A0B" w:rsidP="004A6A0B">
            <w:r>
              <w:t>At least one joint output</w:t>
            </w:r>
          </w:p>
        </w:tc>
        <w:tc>
          <w:tcPr>
            <w:tcW w:w="2163" w:type="dxa"/>
          </w:tcPr>
          <w:p w14:paraId="52277356" w14:textId="77777777" w:rsidR="004A6A0B" w:rsidRDefault="004A6A0B" w:rsidP="004A6A0B">
            <w:r>
              <w:t>Multiple productive partnerships</w:t>
            </w:r>
          </w:p>
        </w:tc>
        <w:tc>
          <w:tcPr>
            <w:tcW w:w="2940" w:type="dxa"/>
          </w:tcPr>
          <w:p w14:paraId="4E80788B" w14:textId="77777777" w:rsidR="004A6A0B" w:rsidRDefault="004A6A0B" w:rsidP="004A6A0B">
            <w:commentRangeStart w:id="12"/>
            <w:commentRangeStart w:id="13"/>
            <w:r>
              <w:t>Partnerships add clear value</w:t>
            </w:r>
            <w:commentRangeEnd w:id="12"/>
            <w:r w:rsidR="00492ED0">
              <w:rPr>
                <w:rStyle w:val="CommentReference"/>
                <w:sz w:val="24"/>
                <w:szCs w:val="24"/>
              </w:rPr>
              <w:commentReference w:id="12"/>
            </w:r>
            <w:commentRangeEnd w:id="13"/>
            <w:r w:rsidR="00927F2C">
              <w:rPr>
                <w:rStyle w:val="CommentReference"/>
                <w:sz w:val="24"/>
                <w:szCs w:val="24"/>
              </w:rPr>
              <w:commentReference w:id="13"/>
            </w:r>
          </w:p>
        </w:tc>
      </w:tr>
      <w:tr w:rsidR="004A6A0B" w14:paraId="74C3082A" w14:textId="77777777" w:rsidTr="00291F06">
        <w:tc>
          <w:tcPr>
            <w:tcW w:w="3413" w:type="dxa"/>
          </w:tcPr>
          <w:p w14:paraId="788F0F32" w14:textId="0419F6EC" w:rsidR="004A6A0B" w:rsidRDefault="00836782" w:rsidP="004A6A0B">
            <w:r>
              <w:t>Indicators (non-exhaustive)</w:t>
            </w:r>
          </w:p>
        </w:tc>
        <w:tc>
          <w:tcPr>
            <w:tcW w:w="10621" w:type="dxa"/>
            <w:gridSpan w:val="5"/>
          </w:tcPr>
          <w:p w14:paraId="2346F8C9" w14:textId="0BDB7453" w:rsidR="004A6A0B" w:rsidRDefault="004A6A0B" w:rsidP="004A6A0B">
            <w:pPr>
              <w:rPr>
                <w:lang w:eastAsia="ko-KR"/>
              </w:rPr>
            </w:pPr>
            <w:r>
              <w:t>Indicative indicators: draw from SBI 6/5 and workplan indicators</w:t>
            </w:r>
            <w:r w:rsidR="00267958">
              <w:rPr>
                <w:rFonts w:hint="eastAsia"/>
                <w:lang w:eastAsia="ko-KR"/>
              </w:rPr>
              <w:t xml:space="preserve">, ex: number of </w:t>
            </w:r>
            <w:r w:rsidR="00267958" w:rsidRPr="00267958">
              <w:rPr>
                <w:lang w:eastAsia="ko-KR"/>
              </w:rPr>
              <w:t>partnerships initiated, formalised, or operationalised</w:t>
            </w:r>
          </w:p>
        </w:tc>
      </w:tr>
      <w:tr w:rsidR="004A6A0B" w14:paraId="61C9857F" w14:textId="77777777" w:rsidTr="00291F06">
        <w:tc>
          <w:tcPr>
            <w:tcW w:w="3413" w:type="dxa"/>
          </w:tcPr>
          <w:p w14:paraId="791D2898" w14:textId="77777777" w:rsidR="004A6A0B" w:rsidRDefault="004A6A0B" w:rsidP="004A6A0B">
            <w:r>
              <w:t>6. Mobilisation and leveraging of resources</w:t>
            </w:r>
          </w:p>
        </w:tc>
        <w:tc>
          <w:tcPr>
            <w:tcW w:w="1691" w:type="dxa"/>
          </w:tcPr>
          <w:p w14:paraId="6EAB3A70" w14:textId="77777777" w:rsidR="004A6A0B" w:rsidRDefault="004A6A0B" w:rsidP="004A6A0B">
            <w:r>
              <w:t>No resources mobilised</w:t>
            </w:r>
          </w:p>
        </w:tc>
        <w:tc>
          <w:tcPr>
            <w:tcW w:w="1893" w:type="dxa"/>
          </w:tcPr>
          <w:p w14:paraId="39EDD831" w14:textId="77777777" w:rsidR="004A6A0B" w:rsidRDefault="004A6A0B" w:rsidP="004A6A0B">
            <w:commentRangeStart w:id="14"/>
            <w:commentRangeStart w:id="15"/>
            <w:r>
              <w:t>Initial mobilisation efforts</w:t>
            </w:r>
          </w:p>
        </w:tc>
        <w:tc>
          <w:tcPr>
            <w:tcW w:w="1934" w:type="dxa"/>
          </w:tcPr>
          <w:p w14:paraId="748BB33A" w14:textId="77777777" w:rsidR="004A6A0B" w:rsidRDefault="004A6A0B" w:rsidP="004A6A0B">
            <w:r>
              <w:t>Some resources mobilised</w:t>
            </w:r>
          </w:p>
        </w:tc>
        <w:tc>
          <w:tcPr>
            <w:tcW w:w="2163" w:type="dxa"/>
          </w:tcPr>
          <w:p w14:paraId="2E67B9B3" w14:textId="77777777" w:rsidR="004A6A0B" w:rsidRDefault="004A6A0B" w:rsidP="004A6A0B">
            <w:r>
              <w:t>Multiple resources mobilised</w:t>
            </w:r>
          </w:p>
        </w:tc>
        <w:tc>
          <w:tcPr>
            <w:tcW w:w="2940" w:type="dxa"/>
          </w:tcPr>
          <w:p w14:paraId="5C4BC4CB" w14:textId="77777777" w:rsidR="004A6A0B" w:rsidRDefault="004A6A0B" w:rsidP="004A6A0B">
            <w:r>
              <w:t>Resources significantly expand scope</w:t>
            </w:r>
            <w:commentRangeEnd w:id="14"/>
            <w:r w:rsidR="00492ED0">
              <w:rPr>
                <w:rStyle w:val="CommentReference"/>
                <w:sz w:val="24"/>
                <w:szCs w:val="24"/>
              </w:rPr>
              <w:commentReference w:id="14"/>
            </w:r>
            <w:commentRangeEnd w:id="15"/>
            <w:r w:rsidR="001D0670">
              <w:rPr>
                <w:rStyle w:val="CommentReference"/>
                <w:sz w:val="24"/>
                <w:szCs w:val="24"/>
              </w:rPr>
              <w:commentReference w:id="15"/>
            </w:r>
          </w:p>
        </w:tc>
      </w:tr>
      <w:tr w:rsidR="004A6A0B" w14:paraId="71219BC4" w14:textId="77777777" w:rsidTr="00291F06">
        <w:tc>
          <w:tcPr>
            <w:tcW w:w="3413" w:type="dxa"/>
          </w:tcPr>
          <w:p w14:paraId="0B134C9B" w14:textId="790210E9" w:rsidR="004A6A0B" w:rsidRDefault="00594332" w:rsidP="004A6A0B">
            <w:r>
              <w:t>I</w:t>
            </w:r>
            <w:r w:rsidR="00836782">
              <w:t>ndicators (non-exhaustive)</w:t>
            </w:r>
          </w:p>
        </w:tc>
        <w:tc>
          <w:tcPr>
            <w:tcW w:w="10621" w:type="dxa"/>
            <w:gridSpan w:val="5"/>
          </w:tcPr>
          <w:p w14:paraId="7E6E8642" w14:textId="256D4DAA" w:rsidR="004A6A0B" w:rsidRDefault="007F2A63" w:rsidP="004A6A0B">
            <w:r>
              <w:t xml:space="preserve">Example of </w:t>
            </w:r>
            <w:r w:rsidR="004A6A0B">
              <w:t xml:space="preserve">indicators: Proportion of financial resources mobilized against budgets; </w:t>
            </w:r>
            <w:commentRangeStart w:id="16"/>
            <w:r w:rsidR="00D461E7">
              <w:t xml:space="preserve">Total amount of </w:t>
            </w:r>
            <w:r w:rsidR="00BE4362">
              <w:t>financial resources mobilized</w:t>
            </w:r>
            <w:commentRangeEnd w:id="16"/>
            <w:r w:rsidR="00291F06">
              <w:rPr>
                <w:rStyle w:val="CommentReference"/>
                <w:sz w:val="24"/>
                <w:szCs w:val="24"/>
              </w:rPr>
              <w:commentReference w:id="16"/>
            </w:r>
          </w:p>
        </w:tc>
      </w:tr>
    </w:tbl>
    <w:p w14:paraId="0896A6B5" w14:textId="77777777" w:rsidR="001818EC" w:rsidRDefault="001818EC" w:rsidP="00095410">
      <w:pPr>
        <w:rPr>
          <w:rFonts w:ascii="Arial" w:hAnsi="Arial" w:cs="Arial"/>
          <w:lang w:val="en-US"/>
        </w:rPr>
        <w:sectPr w:rsidR="001818EC" w:rsidSect="001818EC">
          <w:pgSz w:w="15840" w:h="12240" w:orient="landscape"/>
          <w:pgMar w:top="1440" w:right="1440" w:bottom="1440" w:left="1440" w:header="709" w:footer="709" w:gutter="0"/>
          <w:cols w:space="708"/>
          <w:docGrid w:linePitch="360"/>
        </w:sectPr>
      </w:pPr>
    </w:p>
    <w:p w14:paraId="766ED946" w14:textId="77777777" w:rsidR="008C0AFE" w:rsidRPr="008C0AFE" w:rsidRDefault="008C0AFE" w:rsidP="008C0AFE">
      <w:pPr>
        <w:rPr>
          <w:rFonts w:ascii="Arial" w:hAnsi="Arial" w:cs="Arial"/>
        </w:rPr>
      </w:pPr>
      <w:r w:rsidRPr="008C0AFE">
        <w:rPr>
          <w:rFonts w:ascii="Arial" w:hAnsi="Arial" w:cs="Arial"/>
        </w:rPr>
        <w:lastRenderedPageBreak/>
        <w:t> </w:t>
      </w:r>
    </w:p>
    <w:p w14:paraId="7150A419" w14:textId="6E5A96C2" w:rsidR="00D01AF7" w:rsidRPr="00E461E3" w:rsidRDefault="00D01AF7" w:rsidP="00D01AF7">
      <w:pPr>
        <w:rPr>
          <w:rFonts w:ascii="Arial" w:hAnsi="Arial" w:cs="Arial"/>
          <w:b/>
          <w:bCs/>
        </w:rPr>
      </w:pPr>
      <w:r>
        <w:rPr>
          <w:rFonts w:ascii="Arial" w:hAnsi="Arial" w:cs="Arial"/>
          <w:b/>
          <w:bCs/>
        </w:rPr>
        <w:t>Draft</w:t>
      </w:r>
      <w:r w:rsidRPr="00E461E3">
        <w:rPr>
          <w:rFonts w:ascii="Arial" w:hAnsi="Arial" w:cs="Arial"/>
          <w:b/>
          <w:bCs/>
        </w:rPr>
        <w:t xml:space="preserve"> criteria for assessing the performance of the </w:t>
      </w:r>
      <w:r>
        <w:rPr>
          <w:rFonts w:ascii="Arial" w:hAnsi="Arial" w:cs="Arial"/>
          <w:b/>
          <w:bCs/>
        </w:rPr>
        <w:t>Global Coordination Entity</w:t>
      </w:r>
    </w:p>
    <w:p w14:paraId="29EE16A2" w14:textId="730B8AAA" w:rsidR="009730A7" w:rsidRDefault="009730A7" w:rsidP="004A2F18">
      <w:pPr>
        <w:rPr>
          <w:rFonts w:ascii="Arial" w:hAnsi="Arial" w:cs="Arial"/>
        </w:rPr>
      </w:pPr>
      <w:r>
        <w:rPr>
          <w:rFonts w:ascii="Arial" w:hAnsi="Arial" w:cs="Arial"/>
        </w:rPr>
        <w:t xml:space="preserve">In decision </w:t>
      </w:r>
      <w:r w:rsidR="001A22DC">
        <w:rPr>
          <w:rFonts w:ascii="Arial" w:hAnsi="Arial" w:cs="Arial"/>
        </w:rPr>
        <w:t xml:space="preserve">16/3, Annex II, </w:t>
      </w:r>
      <w:r w:rsidR="000007E6">
        <w:rPr>
          <w:rFonts w:ascii="Arial" w:hAnsi="Arial" w:cs="Arial"/>
        </w:rPr>
        <w:t>paragraph 7</w:t>
      </w:r>
      <w:r w:rsidR="00EB7284">
        <w:rPr>
          <w:rFonts w:ascii="Arial" w:hAnsi="Arial" w:cs="Arial"/>
        </w:rPr>
        <w:t>, the Conference of the Parties</w:t>
      </w:r>
      <w:r w:rsidR="008E1F76" w:rsidRPr="008E1F76">
        <w:rPr>
          <w:rFonts w:ascii="Arial" w:hAnsi="Arial" w:cs="Arial"/>
        </w:rPr>
        <w:t xml:space="preserve"> set</w:t>
      </w:r>
      <w:r w:rsidR="008E1F76">
        <w:rPr>
          <w:rFonts w:ascii="Arial" w:hAnsi="Arial" w:cs="Arial"/>
        </w:rPr>
        <w:t xml:space="preserve"> the </w:t>
      </w:r>
      <w:r w:rsidR="008E1F76" w:rsidRPr="008E1F76">
        <w:rPr>
          <w:rFonts w:ascii="Arial" w:hAnsi="Arial" w:cs="Arial"/>
        </w:rPr>
        <w:t>initial term of service of the host organization of the global coordination entity</w:t>
      </w:r>
      <w:r w:rsidR="008E1F76">
        <w:rPr>
          <w:rFonts w:ascii="Arial" w:hAnsi="Arial" w:cs="Arial"/>
        </w:rPr>
        <w:t xml:space="preserve"> </w:t>
      </w:r>
      <w:r w:rsidR="000C07EE">
        <w:rPr>
          <w:rFonts w:ascii="Arial" w:hAnsi="Arial" w:cs="Arial"/>
        </w:rPr>
        <w:t>to</w:t>
      </w:r>
      <w:r w:rsidR="008E1F76" w:rsidRPr="008E1F76">
        <w:rPr>
          <w:rFonts w:ascii="Arial" w:hAnsi="Arial" w:cs="Arial"/>
        </w:rPr>
        <w:t xml:space="preserve"> the end of 2030</w:t>
      </w:r>
      <w:r w:rsidR="008E1F76">
        <w:rPr>
          <w:rFonts w:ascii="Arial" w:hAnsi="Arial" w:cs="Arial"/>
        </w:rPr>
        <w:t xml:space="preserve"> and </w:t>
      </w:r>
      <w:r w:rsidR="00C41ECC">
        <w:rPr>
          <w:rFonts w:ascii="Arial" w:hAnsi="Arial" w:cs="Arial"/>
        </w:rPr>
        <w:t>decided that the</w:t>
      </w:r>
      <w:r w:rsidR="00775DE7" w:rsidRPr="00775DE7">
        <w:rPr>
          <w:rFonts w:ascii="Arial" w:hAnsi="Arial" w:cs="Arial"/>
        </w:rPr>
        <w:t xml:space="preserve"> performance of the entity </w:t>
      </w:r>
      <w:r w:rsidR="00E42AD4">
        <w:rPr>
          <w:rFonts w:ascii="Arial" w:hAnsi="Arial" w:cs="Arial"/>
        </w:rPr>
        <w:t>would</w:t>
      </w:r>
      <w:r w:rsidR="00775DE7" w:rsidRPr="00775DE7">
        <w:rPr>
          <w:rFonts w:ascii="Arial" w:hAnsi="Arial" w:cs="Arial"/>
        </w:rPr>
        <w:t xml:space="preserve"> be evaluated </w:t>
      </w:r>
      <w:r w:rsidR="00617677">
        <w:rPr>
          <w:rFonts w:ascii="Arial" w:hAnsi="Arial" w:cs="Arial"/>
        </w:rPr>
        <w:t>as part of</w:t>
      </w:r>
      <w:r w:rsidR="00310D14">
        <w:rPr>
          <w:rFonts w:ascii="Arial" w:hAnsi="Arial" w:cs="Arial"/>
        </w:rPr>
        <w:t xml:space="preserve"> the</w:t>
      </w:r>
      <w:r w:rsidR="00775DE7" w:rsidRPr="00775DE7">
        <w:rPr>
          <w:rFonts w:ascii="Arial" w:hAnsi="Arial" w:cs="Arial"/>
        </w:rPr>
        <w:t xml:space="preserve"> </w:t>
      </w:r>
      <w:r w:rsidR="00336ACA" w:rsidRPr="00336ACA">
        <w:rPr>
          <w:rFonts w:ascii="Arial" w:hAnsi="Arial" w:cs="Arial"/>
        </w:rPr>
        <w:t xml:space="preserve">independent evaluation </w:t>
      </w:r>
      <w:r w:rsidR="00310D14">
        <w:rPr>
          <w:rFonts w:ascii="Arial" w:hAnsi="Arial" w:cs="Arial"/>
        </w:rPr>
        <w:t xml:space="preserve">of the TSC mechanism to be commissioned </w:t>
      </w:r>
      <w:r w:rsidR="004A2F18">
        <w:rPr>
          <w:rFonts w:ascii="Arial" w:hAnsi="Arial" w:cs="Arial"/>
        </w:rPr>
        <w:t xml:space="preserve">by the Secretariat </w:t>
      </w:r>
      <w:r w:rsidR="004A2F18" w:rsidRPr="004A2F18">
        <w:rPr>
          <w:rFonts w:ascii="Arial" w:hAnsi="Arial" w:cs="Arial"/>
        </w:rPr>
        <w:t>before the nineteenth</w:t>
      </w:r>
      <w:r w:rsidR="004A2F18">
        <w:rPr>
          <w:rFonts w:ascii="Arial" w:hAnsi="Arial" w:cs="Arial"/>
        </w:rPr>
        <w:t xml:space="preserve"> </w:t>
      </w:r>
      <w:r w:rsidR="004A2F18" w:rsidRPr="004A2F18">
        <w:rPr>
          <w:rFonts w:ascii="Arial" w:hAnsi="Arial" w:cs="Arial"/>
        </w:rPr>
        <w:t>meeting of the Conference of the Parties</w:t>
      </w:r>
      <w:r w:rsidR="00775DE7" w:rsidRPr="00775DE7">
        <w:rPr>
          <w:rFonts w:ascii="Arial" w:hAnsi="Arial" w:cs="Arial"/>
        </w:rPr>
        <w:t>.</w:t>
      </w:r>
    </w:p>
    <w:p w14:paraId="3DB449FF" w14:textId="45276663" w:rsidR="00D01AF7" w:rsidRPr="00000E0D" w:rsidRDefault="00D01AF7" w:rsidP="00D01AF7">
      <w:pPr>
        <w:rPr>
          <w:rFonts w:ascii="Arial" w:hAnsi="Arial" w:cs="Arial"/>
        </w:rPr>
      </w:pPr>
      <w:r w:rsidRPr="004F6DB5">
        <w:rPr>
          <w:rFonts w:ascii="Arial" w:hAnsi="Arial" w:cs="Arial"/>
        </w:rPr>
        <w:t xml:space="preserve">The table below </w:t>
      </w:r>
      <w:r w:rsidR="00696063">
        <w:rPr>
          <w:rFonts w:ascii="Arial" w:hAnsi="Arial" w:cs="Arial"/>
        </w:rPr>
        <w:t>presents</w:t>
      </w:r>
      <w:r w:rsidRPr="004F6DB5">
        <w:rPr>
          <w:rFonts w:ascii="Arial" w:hAnsi="Arial" w:cs="Arial"/>
        </w:rPr>
        <w:t xml:space="preserve"> key elements </w:t>
      </w:r>
      <w:r w:rsidR="0044625A">
        <w:rPr>
          <w:rFonts w:ascii="Arial" w:hAnsi="Arial" w:cs="Arial"/>
        </w:rPr>
        <w:t xml:space="preserve">to </w:t>
      </w:r>
      <w:r w:rsidR="003B7FA9" w:rsidRPr="004F6DB5">
        <w:rPr>
          <w:rFonts w:ascii="Arial" w:hAnsi="Arial" w:cs="Arial"/>
        </w:rPr>
        <w:t xml:space="preserve">inform the definition </w:t>
      </w:r>
      <w:r w:rsidR="00696063">
        <w:rPr>
          <w:rFonts w:ascii="Arial" w:hAnsi="Arial" w:cs="Arial"/>
        </w:rPr>
        <w:t xml:space="preserve">of </w:t>
      </w:r>
      <w:r w:rsidR="00C824E0">
        <w:rPr>
          <w:rFonts w:ascii="Arial" w:hAnsi="Arial" w:cs="Arial"/>
        </w:rPr>
        <w:t xml:space="preserve">the criteria </w:t>
      </w:r>
      <w:r w:rsidR="003B7FA9" w:rsidRPr="003B7FA9">
        <w:rPr>
          <w:rFonts w:ascii="Arial" w:hAnsi="Arial" w:cs="Arial"/>
        </w:rPr>
        <w:t xml:space="preserve">for assessing the performance of the </w:t>
      </w:r>
      <w:r w:rsidR="003B7FA9">
        <w:rPr>
          <w:rFonts w:ascii="Arial" w:hAnsi="Arial" w:cs="Arial"/>
        </w:rPr>
        <w:t>GCE</w:t>
      </w:r>
      <w:r w:rsidR="005A2E5B">
        <w:rPr>
          <w:rFonts w:ascii="Arial" w:hAnsi="Arial" w:cs="Arial"/>
        </w:rPr>
        <w:t>,</w:t>
      </w:r>
      <w:r w:rsidR="003B7FA9">
        <w:rPr>
          <w:rFonts w:ascii="Arial" w:hAnsi="Arial" w:cs="Arial"/>
        </w:rPr>
        <w:t xml:space="preserve"> </w:t>
      </w:r>
      <w:r w:rsidR="00C824E0" w:rsidRPr="00C824E0">
        <w:rPr>
          <w:rFonts w:ascii="Arial" w:hAnsi="Arial" w:cs="Arial"/>
        </w:rPr>
        <w:t>related to its functions</w:t>
      </w:r>
      <w:r w:rsidR="002E7D99">
        <w:rPr>
          <w:rFonts w:ascii="Arial" w:hAnsi="Arial" w:cs="Arial"/>
        </w:rPr>
        <w:t xml:space="preserve"> </w:t>
      </w:r>
      <w:r w:rsidR="00E95758">
        <w:rPr>
          <w:rFonts w:ascii="Arial" w:hAnsi="Arial" w:cs="Arial"/>
        </w:rPr>
        <w:t xml:space="preserve">outlined in paragraph 28 of decision 15/8 </w:t>
      </w:r>
      <w:r w:rsidR="002E7D99">
        <w:rPr>
          <w:rFonts w:ascii="Arial" w:hAnsi="Arial" w:cs="Arial"/>
        </w:rPr>
        <w:t>and the o</w:t>
      </w:r>
      <w:r w:rsidR="002E7D99" w:rsidRPr="002E7D99">
        <w:rPr>
          <w:rFonts w:ascii="Arial" w:hAnsi="Arial" w:cs="Arial"/>
        </w:rPr>
        <w:t>perational modalities and procedures</w:t>
      </w:r>
      <w:r w:rsidR="002E7D99">
        <w:rPr>
          <w:rFonts w:ascii="Arial" w:hAnsi="Arial" w:cs="Arial"/>
        </w:rPr>
        <w:t xml:space="preserve"> provided in Annex II of </w:t>
      </w:r>
      <w:r w:rsidR="002349EE" w:rsidRPr="002349EE">
        <w:rPr>
          <w:rFonts w:ascii="Arial" w:hAnsi="Arial" w:cs="Arial"/>
        </w:rPr>
        <w:t>decision 16/3</w:t>
      </w:r>
      <w:r w:rsidR="002349EE">
        <w:rPr>
          <w:rFonts w:ascii="Arial" w:hAnsi="Arial" w:cs="Arial"/>
        </w:rPr>
        <w:t>.</w:t>
      </w:r>
    </w:p>
    <w:tbl>
      <w:tblPr>
        <w:tblStyle w:val="TableGrid"/>
        <w:tblW w:w="0" w:type="auto"/>
        <w:tblLook w:val="04A0" w:firstRow="1" w:lastRow="0" w:firstColumn="1" w:lastColumn="0" w:noHBand="0" w:noVBand="1"/>
      </w:tblPr>
      <w:tblGrid>
        <w:gridCol w:w="4675"/>
        <w:gridCol w:w="4675"/>
      </w:tblGrid>
      <w:tr w:rsidR="00EA5136" w14:paraId="20CDEDC7" w14:textId="77777777" w:rsidTr="00EA5136">
        <w:tc>
          <w:tcPr>
            <w:tcW w:w="4675" w:type="dxa"/>
          </w:tcPr>
          <w:p w14:paraId="1C0E7BC0" w14:textId="3B5A3849" w:rsidR="00EA5136" w:rsidRDefault="00EA5136" w:rsidP="00EA5136">
            <w:pPr>
              <w:rPr>
                <w:rFonts w:ascii="Arial" w:hAnsi="Arial" w:cs="Arial"/>
              </w:rPr>
            </w:pPr>
            <w:r w:rsidRPr="00A11443">
              <w:rPr>
                <w:rFonts w:ascii="Arial" w:hAnsi="Arial" w:cs="Arial"/>
                <w:b/>
                <w:bCs/>
                <w:sz w:val="22"/>
                <w:szCs w:val="22"/>
              </w:rPr>
              <w:t xml:space="preserve">Core functions of </w:t>
            </w:r>
            <w:r>
              <w:rPr>
                <w:rFonts w:ascii="Arial" w:hAnsi="Arial" w:cs="Arial"/>
                <w:b/>
                <w:bCs/>
                <w:sz w:val="22"/>
                <w:szCs w:val="22"/>
              </w:rPr>
              <w:t>GCE stated in</w:t>
            </w:r>
            <w:r w:rsidRPr="00A11443">
              <w:rPr>
                <w:rFonts w:ascii="Arial" w:hAnsi="Arial" w:cs="Arial"/>
                <w:b/>
                <w:bCs/>
                <w:sz w:val="22"/>
                <w:szCs w:val="22"/>
              </w:rPr>
              <w:t xml:space="preserve"> 15/8</w:t>
            </w:r>
            <w:r>
              <w:rPr>
                <w:rFonts w:ascii="Arial" w:hAnsi="Arial" w:cs="Arial"/>
                <w:b/>
                <w:bCs/>
                <w:sz w:val="22"/>
                <w:szCs w:val="22"/>
              </w:rPr>
              <w:t>, para 28</w:t>
            </w:r>
          </w:p>
        </w:tc>
        <w:tc>
          <w:tcPr>
            <w:tcW w:w="4675" w:type="dxa"/>
          </w:tcPr>
          <w:p w14:paraId="72AE3902" w14:textId="0F2E2489" w:rsidR="00EA5136" w:rsidRDefault="00EA5136" w:rsidP="00EA5136">
            <w:pPr>
              <w:rPr>
                <w:rFonts w:ascii="Arial" w:hAnsi="Arial" w:cs="Arial"/>
              </w:rPr>
            </w:pPr>
            <w:r>
              <w:rPr>
                <w:rFonts w:ascii="Arial" w:hAnsi="Arial" w:cs="Arial"/>
                <w:b/>
                <w:bCs/>
                <w:sz w:val="22"/>
                <w:szCs w:val="22"/>
              </w:rPr>
              <w:t>GCE</w:t>
            </w:r>
            <w:r w:rsidRPr="00A11443">
              <w:rPr>
                <w:rFonts w:ascii="Arial" w:hAnsi="Arial" w:cs="Arial"/>
                <w:b/>
                <w:bCs/>
                <w:sz w:val="22"/>
                <w:szCs w:val="22"/>
              </w:rPr>
              <w:t xml:space="preserve"> </w:t>
            </w:r>
            <w:r>
              <w:rPr>
                <w:rFonts w:ascii="Arial" w:hAnsi="Arial" w:cs="Arial"/>
                <w:b/>
                <w:bCs/>
                <w:sz w:val="22"/>
                <w:szCs w:val="22"/>
              </w:rPr>
              <w:t>modalities and procedures (decision 16/3. Annex II)</w:t>
            </w:r>
          </w:p>
        </w:tc>
      </w:tr>
      <w:tr w:rsidR="00EA5136" w14:paraId="103BC27D" w14:textId="77777777" w:rsidTr="00EA5136">
        <w:tc>
          <w:tcPr>
            <w:tcW w:w="4675" w:type="dxa"/>
          </w:tcPr>
          <w:p w14:paraId="17279C13" w14:textId="783C5157" w:rsidR="00EA5136" w:rsidRDefault="00EA5136" w:rsidP="00EA5136">
            <w:pPr>
              <w:rPr>
                <w:rFonts w:ascii="Arial" w:hAnsi="Arial" w:cs="Arial"/>
              </w:rPr>
            </w:pPr>
            <w:r w:rsidRPr="005D179E">
              <w:rPr>
                <w:rFonts w:ascii="Arial" w:hAnsi="Arial" w:cs="Arial"/>
                <w:sz w:val="22"/>
                <w:szCs w:val="22"/>
              </w:rPr>
              <w:t>Facilitate coordination, collaboration and synergies among the regional and/or subregional centres</w:t>
            </w:r>
          </w:p>
        </w:tc>
        <w:tc>
          <w:tcPr>
            <w:tcW w:w="4675" w:type="dxa"/>
          </w:tcPr>
          <w:p w14:paraId="659B41E4" w14:textId="3D0971F0" w:rsidR="00EA5136" w:rsidRDefault="00EA5136" w:rsidP="00EA5136">
            <w:pPr>
              <w:rPr>
                <w:rFonts w:ascii="Arial" w:hAnsi="Arial" w:cs="Arial"/>
              </w:rPr>
            </w:pPr>
            <w:r w:rsidRPr="002127A0">
              <w:rPr>
                <w:rFonts w:ascii="Arial" w:hAnsi="Arial" w:cs="Arial"/>
                <w:sz w:val="22"/>
                <w:szCs w:val="22"/>
              </w:rPr>
              <w:t xml:space="preserve">Modalities for promoting and maintaining coordination, collaboration and synergies </w:t>
            </w:r>
            <w:r>
              <w:rPr>
                <w:rFonts w:ascii="Arial" w:hAnsi="Arial" w:cs="Arial"/>
                <w:sz w:val="22"/>
                <w:szCs w:val="22"/>
              </w:rPr>
              <w:t>among TSCCs</w:t>
            </w:r>
            <w:r w:rsidRPr="00A11443">
              <w:rPr>
                <w:rFonts w:ascii="Arial" w:hAnsi="Arial" w:cs="Arial"/>
                <w:sz w:val="22"/>
                <w:szCs w:val="22"/>
              </w:rPr>
              <w:t xml:space="preserve"> </w:t>
            </w:r>
          </w:p>
        </w:tc>
      </w:tr>
      <w:tr w:rsidR="00EA5136" w14:paraId="262734C1" w14:textId="77777777" w:rsidTr="00EA5136">
        <w:tc>
          <w:tcPr>
            <w:tcW w:w="4675" w:type="dxa"/>
          </w:tcPr>
          <w:p w14:paraId="5FA0F626" w14:textId="2E64DD6E" w:rsidR="00EA5136" w:rsidRDefault="00EA5136" w:rsidP="00EA5136">
            <w:pPr>
              <w:rPr>
                <w:rFonts w:ascii="Arial" w:hAnsi="Arial" w:cs="Arial"/>
              </w:rPr>
            </w:pPr>
            <w:r>
              <w:rPr>
                <w:rFonts w:ascii="Arial" w:hAnsi="Arial" w:cs="Arial"/>
                <w:sz w:val="22"/>
                <w:szCs w:val="22"/>
              </w:rPr>
              <w:t>F</w:t>
            </w:r>
            <w:r w:rsidRPr="005D179E">
              <w:rPr>
                <w:rFonts w:ascii="Arial" w:hAnsi="Arial" w:cs="Arial"/>
                <w:sz w:val="22"/>
                <w:szCs w:val="22"/>
              </w:rPr>
              <w:t xml:space="preserve">acilitate the sharing of experiences and lessons learned among the </w:t>
            </w:r>
            <w:r>
              <w:rPr>
                <w:rFonts w:ascii="Arial" w:hAnsi="Arial" w:cs="Arial"/>
                <w:sz w:val="22"/>
                <w:szCs w:val="22"/>
              </w:rPr>
              <w:t>TSCCs</w:t>
            </w:r>
          </w:p>
        </w:tc>
        <w:tc>
          <w:tcPr>
            <w:tcW w:w="4675" w:type="dxa"/>
          </w:tcPr>
          <w:p w14:paraId="3D0FE73F" w14:textId="77777777" w:rsidR="00EA5136" w:rsidRDefault="00EA5136" w:rsidP="00EA5136">
            <w:pPr>
              <w:rPr>
                <w:rFonts w:ascii="Arial" w:hAnsi="Arial" w:cs="Arial"/>
              </w:rPr>
            </w:pPr>
          </w:p>
        </w:tc>
      </w:tr>
      <w:tr w:rsidR="00EA5136" w14:paraId="0C58859A" w14:textId="77777777" w:rsidTr="00EA5136">
        <w:tc>
          <w:tcPr>
            <w:tcW w:w="4675" w:type="dxa"/>
          </w:tcPr>
          <w:p w14:paraId="491F93EC" w14:textId="6E8F853F" w:rsidR="00EA5136" w:rsidRDefault="00EA5136" w:rsidP="00EA5136">
            <w:pPr>
              <w:rPr>
                <w:rFonts w:ascii="Arial" w:hAnsi="Arial" w:cs="Arial"/>
              </w:rPr>
            </w:pPr>
            <w:r>
              <w:rPr>
                <w:rFonts w:ascii="Arial" w:hAnsi="Arial" w:cs="Arial"/>
                <w:sz w:val="22"/>
                <w:szCs w:val="22"/>
              </w:rPr>
              <w:t>C</w:t>
            </w:r>
            <w:r w:rsidRPr="00947C26">
              <w:rPr>
                <w:rFonts w:ascii="Arial" w:hAnsi="Arial" w:cs="Arial"/>
                <w:sz w:val="22"/>
                <w:szCs w:val="22"/>
              </w:rPr>
              <w:t>oordinate a standardized approach in the delivery of support tools</w:t>
            </w:r>
          </w:p>
        </w:tc>
        <w:tc>
          <w:tcPr>
            <w:tcW w:w="4675" w:type="dxa"/>
          </w:tcPr>
          <w:p w14:paraId="5B7AAD55" w14:textId="12F7BC3F" w:rsidR="00EA5136" w:rsidRDefault="00EA5136" w:rsidP="00EA5136">
            <w:pPr>
              <w:rPr>
                <w:rFonts w:ascii="Arial" w:hAnsi="Arial" w:cs="Arial"/>
              </w:rPr>
            </w:pPr>
            <w:r w:rsidRPr="002127A0">
              <w:rPr>
                <w:rFonts w:ascii="Arial" w:hAnsi="Arial" w:cs="Arial"/>
                <w:sz w:val="22"/>
                <w:szCs w:val="22"/>
              </w:rPr>
              <w:t>Criteria for priority setting and programming, including guidelines for the delivery of support tools</w:t>
            </w:r>
          </w:p>
        </w:tc>
      </w:tr>
      <w:tr w:rsidR="00EA5136" w14:paraId="22E2A567" w14:textId="77777777" w:rsidTr="00EA5136">
        <w:tc>
          <w:tcPr>
            <w:tcW w:w="4675" w:type="dxa"/>
          </w:tcPr>
          <w:p w14:paraId="3B0A11C1" w14:textId="44FD8831" w:rsidR="00EA5136" w:rsidRDefault="00EA5136" w:rsidP="00EA5136">
            <w:pPr>
              <w:rPr>
                <w:rFonts w:ascii="Arial" w:hAnsi="Arial" w:cs="Arial"/>
              </w:rPr>
            </w:pPr>
            <w:r>
              <w:rPr>
                <w:rFonts w:ascii="Arial" w:hAnsi="Arial" w:cs="Arial"/>
                <w:sz w:val="22"/>
                <w:szCs w:val="22"/>
              </w:rPr>
              <w:t>M</w:t>
            </w:r>
            <w:r w:rsidRPr="00C54C2D">
              <w:rPr>
                <w:rFonts w:ascii="Arial" w:hAnsi="Arial" w:cs="Arial"/>
                <w:sz w:val="22"/>
                <w:szCs w:val="22"/>
              </w:rPr>
              <w:t>obilize additional resources for the technical and scientific cooperation programmes of the</w:t>
            </w:r>
            <w:r>
              <w:rPr>
                <w:rFonts w:ascii="Arial" w:hAnsi="Arial" w:cs="Arial"/>
                <w:sz w:val="22"/>
                <w:szCs w:val="22"/>
              </w:rPr>
              <w:t xml:space="preserve"> TSCCs</w:t>
            </w:r>
          </w:p>
        </w:tc>
        <w:tc>
          <w:tcPr>
            <w:tcW w:w="4675" w:type="dxa"/>
          </w:tcPr>
          <w:p w14:paraId="0C57E46B" w14:textId="4D5E8855" w:rsidR="00EA5136" w:rsidRDefault="00EA5136" w:rsidP="00EA5136">
            <w:pPr>
              <w:rPr>
                <w:rFonts w:ascii="Arial" w:hAnsi="Arial" w:cs="Arial"/>
              </w:rPr>
            </w:pPr>
            <w:r w:rsidRPr="002127A0">
              <w:rPr>
                <w:rFonts w:ascii="Arial" w:hAnsi="Arial" w:cs="Arial"/>
                <w:sz w:val="22"/>
                <w:szCs w:val="22"/>
              </w:rPr>
              <w:t>Criteria for the identification of organizations and experts that can be mobilized to assist</w:t>
            </w:r>
            <w:r>
              <w:rPr>
                <w:rFonts w:ascii="Arial" w:hAnsi="Arial" w:cs="Arial"/>
                <w:sz w:val="22"/>
                <w:szCs w:val="22"/>
              </w:rPr>
              <w:t xml:space="preserve"> TSCCs</w:t>
            </w:r>
          </w:p>
        </w:tc>
      </w:tr>
      <w:tr w:rsidR="00EA5136" w14:paraId="33F64272" w14:textId="77777777" w:rsidTr="00EA5136">
        <w:tc>
          <w:tcPr>
            <w:tcW w:w="4675" w:type="dxa"/>
          </w:tcPr>
          <w:p w14:paraId="195DFCF8" w14:textId="095FE596" w:rsidR="00EA5136" w:rsidRDefault="00EA5136" w:rsidP="00EA5136">
            <w:pPr>
              <w:rPr>
                <w:rFonts w:ascii="Arial" w:hAnsi="Arial" w:cs="Arial"/>
                <w:sz w:val="22"/>
                <w:szCs w:val="22"/>
              </w:rPr>
            </w:pPr>
            <w:r>
              <w:rPr>
                <w:rFonts w:ascii="Arial" w:hAnsi="Arial" w:cs="Arial"/>
                <w:sz w:val="22"/>
                <w:szCs w:val="22"/>
              </w:rPr>
              <w:t>O</w:t>
            </w:r>
            <w:r w:rsidRPr="001161D6">
              <w:rPr>
                <w:rFonts w:ascii="Arial" w:hAnsi="Arial" w:cs="Arial"/>
                <w:sz w:val="22"/>
                <w:szCs w:val="22"/>
              </w:rPr>
              <w:t>perate a global helpdesk to provide information, advice and technical support at the request of the</w:t>
            </w:r>
            <w:r>
              <w:rPr>
                <w:rFonts w:ascii="Arial" w:hAnsi="Arial" w:cs="Arial"/>
                <w:sz w:val="22"/>
                <w:szCs w:val="22"/>
              </w:rPr>
              <w:t xml:space="preserve"> TSCCs</w:t>
            </w:r>
          </w:p>
        </w:tc>
        <w:tc>
          <w:tcPr>
            <w:tcW w:w="4675" w:type="dxa"/>
          </w:tcPr>
          <w:p w14:paraId="45BE635A" w14:textId="3EF75A9F" w:rsidR="00EA5136" w:rsidRPr="002127A0" w:rsidRDefault="00EA5136" w:rsidP="00EA5136">
            <w:pPr>
              <w:rPr>
                <w:rFonts w:ascii="Arial" w:hAnsi="Arial" w:cs="Arial"/>
                <w:sz w:val="22"/>
                <w:szCs w:val="22"/>
              </w:rPr>
            </w:pPr>
            <w:r w:rsidRPr="002127A0">
              <w:rPr>
                <w:rFonts w:ascii="Arial" w:hAnsi="Arial" w:cs="Arial"/>
                <w:sz w:val="22"/>
                <w:szCs w:val="22"/>
              </w:rPr>
              <w:t>Modalities for operationalizing</w:t>
            </w:r>
            <w:r>
              <w:rPr>
                <w:rFonts w:ascii="Arial" w:hAnsi="Arial" w:cs="Arial"/>
                <w:sz w:val="22"/>
                <w:szCs w:val="22"/>
              </w:rPr>
              <w:t xml:space="preserve"> </w:t>
            </w:r>
            <w:r w:rsidRPr="002127A0">
              <w:rPr>
                <w:rFonts w:ascii="Arial" w:hAnsi="Arial" w:cs="Arial"/>
                <w:sz w:val="22"/>
                <w:szCs w:val="22"/>
              </w:rPr>
              <w:t>a help desk</w:t>
            </w:r>
          </w:p>
        </w:tc>
      </w:tr>
      <w:tr w:rsidR="00EA5136" w14:paraId="6F81D819" w14:textId="77777777" w:rsidTr="00EA5136">
        <w:tc>
          <w:tcPr>
            <w:tcW w:w="4675" w:type="dxa"/>
          </w:tcPr>
          <w:p w14:paraId="7A51AAAE" w14:textId="634C2560" w:rsidR="00EA5136" w:rsidRDefault="00EA5136" w:rsidP="00EA5136">
            <w:pPr>
              <w:rPr>
                <w:rFonts w:ascii="Arial" w:hAnsi="Arial" w:cs="Arial"/>
                <w:sz w:val="22"/>
                <w:szCs w:val="22"/>
              </w:rPr>
            </w:pPr>
            <w:r>
              <w:rPr>
                <w:rFonts w:ascii="Arial" w:hAnsi="Arial" w:cs="Arial"/>
                <w:sz w:val="22"/>
                <w:szCs w:val="22"/>
              </w:rPr>
              <w:t>E</w:t>
            </w:r>
            <w:r w:rsidRPr="001E057A">
              <w:rPr>
                <w:rFonts w:ascii="Arial" w:hAnsi="Arial" w:cs="Arial"/>
                <w:sz w:val="22"/>
                <w:szCs w:val="22"/>
              </w:rPr>
              <w:t>nsure balance and equity among regions to facilitate access to information on opportunities for</w:t>
            </w:r>
            <w:r>
              <w:rPr>
                <w:rFonts w:ascii="Arial" w:hAnsi="Arial" w:cs="Arial"/>
                <w:sz w:val="22"/>
                <w:szCs w:val="22"/>
              </w:rPr>
              <w:t xml:space="preserve"> the TSCCs</w:t>
            </w:r>
          </w:p>
        </w:tc>
        <w:tc>
          <w:tcPr>
            <w:tcW w:w="4675" w:type="dxa"/>
          </w:tcPr>
          <w:p w14:paraId="2A0DD3C4" w14:textId="7B42BC19" w:rsidR="00EA5136" w:rsidRPr="002127A0" w:rsidRDefault="00EA5136" w:rsidP="00EA5136">
            <w:pPr>
              <w:rPr>
                <w:rFonts w:ascii="Arial" w:hAnsi="Arial" w:cs="Arial"/>
                <w:sz w:val="22"/>
                <w:szCs w:val="22"/>
              </w:rPr>
            </w:pPr>
            <w:r w:rsidRPr="002127A0">
              <w:rPr>
                <w:rFonts w:ascii="Arial" w:hAnsi="Arial" w:cs="Arial"/>
                <w:sz w:val="22"/>
                <w:szCs w:val="22"/>
              </w:rPr>
              <w:t>Modalities for ensuring balance and equity among regions in the delivery of support</w:t>
            </w:r>
          </w:p>
        </w:tc>
      </w:tr>
      <w:tr w:rsidR="00EA5136" w14:paraId="4E55F9DD" w14:textId="77777777" w:rsidTr="00EA5136">
        <w:tc>
          <w:tcPr>
            <w:tcW w:w="4675" w:type="dxa"/>
          </w:tcPr>
          <w:p w14:paraId="11487EDA" w14:textId="535F7B82" w:rsidR="00EA5136" w:rsidRDefault="00EA5136" w:rsidP="00EA5136">
            <w:pPr>
              <w:rPr>
                <w:rFonts w:ascii="Arial" w:hAnsi="Arial" w:cs="Arial"/>
                <w:sz w:val="22"/>
                <w:szCs w:val="22"/>
              </w:rPr>
            </w:pPr>
            <w:r>
              <w:rPr>
                <w:rFonts w:ascii="Arial" w:hAnsi="Arial" w:cs="Arial"/>
                <w:sz w:val="22"/>
                <w:szCs w:val="22"/>
              </w:rPr>
              <w:t>S</w:t>
            </w:r>
            <w:r w:rsidRPr="00E43606">
              <w:rPr>
                <w:rFonts w:ascii="Arial" w:hAnsi="Arial" w:cs="Arial"/>
                <w:sz w:val="22"/>
                <w:szCs w:val="22"/>
              </w:rPr>
              <w:t xml:space="preserve">upport the </w:t>
            </w:r>
            <w:r>
              <w:rPr>
                <w:rFonts w:ascii="Arial" w:hAnsi="Arial" w:cs="Arial"/>
                <w:sz w:val="22"/>
                <w:szCs w:val="22"/>
              </w:rPr>
              <w:t>TSCCs</w:t>
            </w:r>
            <w:r w:rsidRPr="00E43606">
              <w:rPr>
                <w:rFonts w:ascii="Arial" w:hAnsi="Arial" w:cs="Arial"/>
                <w:sz w:val="22"/>
                <w:szCs w:val="22"/>
              </w:rPr>
              <w:t xml:space="preserve"> to align their work with</w:t>
            </w:r>
            <w:r>
              <w:rPr>
                <w:rFonts w:ascii="Arial" w:hAnsi="Arial" w:cs="Arial"/>
                <w:sz w:val="22"/>
                <w:szCs w:val="22"/>
              </w:rPr>
              <w:t xml:space="preserve"> KMGBF and the Convention</w:t>
            </w:r>
          </w:p>
        </w:tc>
        <w:tc>
          <w:tcPr>
            <w:tcW w:w="4675" w:type="dxa"/>
          </w:tcPr>
          <w:p w14:paraId="25371CBB" w14:textId="11121D78"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and modalities for enabling the </w:t>
            </w:r>
            <w:r>
              <w:rPr>
                <w:rFonts w:ascii="Arial" w:hAnsi="Arial" w:cs="Arial"/>
                <w:sz w:val="22"/>
                <w:szCs w:val="22"/>
              </w:rPr>
              <w:t>TSCCs</w:t>
            </w:r>
            <w:r w:rsidRPr="002127A0">
              <w:rPr>
                <w:rFonts w:ascii="Arial" w:hAnsi="Arial" w:cs="Arial"/>
                <w:sz w:val="22"/>
                <w:szCs w:val="22"/>
              </w:rPr>
              <w:t xml:space="preserve"> to align their work with the Convention and its Protocols and the Framework</w:t>
            </w:r>
          </w:p>
        </w:tc>
      </w:tr>
      <w:tr w:rsidR="00EA5136" w14:paraId="5A01ADE5" w14:textId="77777777" w:rsidTr="00EA5136">
        <w:tc>
          <w:tcPr>
            <w:tcW w:w="4675" w:type="dxa"/>
          </w:tcPr>
          <w:p w14:paraId="42C5CCAC" w14:textId="0D791C29" w:rsidR="00EA5136" w:rsidRDefault="00EA5136" w:rsidP="00EA5136">
            <w:pPr>
              <w:rPr>
                <w:rFonts w:ascii="Arial" w:hAnsi="Arial" w:cs="Arial"/>
                <w:sz w:val="22"/>
                <w:szCs w:val="22"/>
              </w:rPr>
            </w:pPr>
            <w:r>
              <w:rPr>
                <w:rFonts w:ascii="Arial" w:hAnsi="Arial" w:cs="Arial"/>
                <w:sz w:val="22"/>
                <w:szCs w:val="22"/>
              </w:rPr>
              <w:t>A</w:t>
            </w:r>
            <w:r w:rsidRPr="0043631A">
              <w:rPr>
                <w:rFonts w:ascii="Arial" w:hAnsi="Arial" w:cs="Arial"/>
                <w:sz w:val="22"/>
                <w:szCs w:val="22"/>
              </w:rPr>
              <w:t>ssist the regional and/or subregional centres in the reporting of their work for the consideration of</w:t>
            </w:r>
            <w:r>
              <w:rPr>
                <w:rFonts w:ascii="Arial" w:hAnsi="Arial" w:cs="Arial"/>
                <w:sz w:val="22"/>
                <w:szCs w:val="22"/>
              </w:rPr>
              <w:t xml:space="preserve"> COP</w:t>
            </w:r>
          </w:p>
        </w:tc>
        <w:tc>
          <w:tcPr>
            <w:tcW w:w="4675" w:type="dxa"/>
          </w:tcPr>
          <w:p w14:paraId="3949A9BE" w14:textId="7A3A0EEF" w:rsidR="00EA5136" w:rsidRPr="002127A0" w:rsidRDefault="00EA5136" w:rsidP="00EA5136">
            <w:pPr>
              <w:rPr>
                <w:rFonts w:ascii="Arial" w:hAnsi="Arial" w:cs="Arial"/>
                <w:sz w:val="22"/>
                <w:szCs w:val="22"/>
              </w:rPr>
            </w:pPr>
            <w:r w:rsidRPr="002127A0">
              <w:rPr>
                <w:rFonts w:ascii="Arial" w:hAnsi="Arial" w:cs="Arial"/>
                <w:sz w:val="22"/>
                <w:szCs w:val="22"/>
              </w:rPr>
              <w:t>Guidelines, templates and procedures for assisting the regional and subregional support centres with reporting on their work to</w:t>
            </w:r>
            <w:r>
              <w:rPr>
                <w:rFonts w:ascii="Arial" w:hAnsi="Arial" w:cs="Arial"/>
                <w:sz w:val="22"/>
                <w:szCs w:val="22"/>
              </w:rPr>
              <w:t xml:space="preserve"> COP</w:t>
            </w:r>
          </w:p>
        </w:tc>
      </w:tr>
      <w:tr w:rsidR="00EA5136" w14:paraId="1B7EAEC9" w14:textId="77777777" w:rsidTr="00EA5136">
        <w:tc>
          <w:tcPr>
            <w:tcW w:w="4675" w:type="dxa"/>
          </w:tcPr>
          <w:p w14:paraId="6C1195EA" w14:textId="77777777" w:rsidR="00EA5136" w:rsidRDefault="00EA5136" w:rsidP="00EA5136">
            <w:pPr>
              <w:rPr>
                <w:rFonts w:ascii="Arial" w:hAnsi="Arial" w:cs="Arial"/>
                <w:sz w:val="22"/>
                <w:szCs w:val="22"/>
              </w:rPr>
            </w:pPr>
          </w:p>
        </w:tc>
        <w:tc>
          <w:tcPr>
            <w:tcW w:w="4675" w:type="dxa"/>
          </w:tcPr>
          <w:p w14:paraId="79B12252" w14:textId="66040665"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for ensuring the active engagement of </w:t>
            </w:r>
            <w:r>
              <w:rPr>
                <w:rFonts w:ascii="Arial" w:hAnsi="Arial" w:cs="Arial"/>
                <w:sz w:val="22"/>
                <w:szCs w:val="22"/>
              </w:rPr>
              <w:t>IPLCs</w:t>
            </w:r>
            <w:r w:rsidRPr="002127A0">
              <w:rPr>
                <w:rFonts w:ascii="Arial" w:hAnsi="Arial" w:cs="Arial"/>
                <w:sz w:val="22"/>
                <w:szCs w:val="22"/>
              </w:rPr>
              <w:t>, women, youth and other relevant stakeholders</w:t>
            </w:r>
          </w:p>
        </w:tc>
      </w:tr>
    </w:tbl>
    <w:p w14:paraId="14B96A43" w14:textId="0FB4168A" w:rsidR="00451315" w:rsidRDefault="00451315" w:rsidP="00854B64">
      <w:pPr>
        <w:rPr>
          <w:rFonts w:ascii="Arial" w:hAnsi="Arial" w:cs="Arial"/>
        </w:rPr>
      </w:pPr>
    </w:p>
    <w:p w14:paraId="6EEFE0E1" w14:textId="2D5D8854" w:rsidR="00AC610B" w:rsidRPr="00000E0D" w:rsidRDefault="00AC610B" w:rsidP="00854B64">
      <w:pPr>
        <w:rPr>
          <w:rFonts w:ascii="Arial" w:hAnsi="Arial" w:cs="Arial"/>
        </w:rPr>
      </w:pPr>
      <w:r w:rsidRPr="00AC610B">
        <w:rPr>
          <w:rFonts w:ascii="Arial" w:hAnsi="Arial" w:cs="Arial"/>
        </w:rPr>
        <w:t xml:space="preserve">Considering the key </w:t>
      </w:r>
      <w:r>
        <w:rPr>
          <w:rFonts w:ascii="Arial" w:hAnsi="Arial" w:cs="Arial"/>
        </w:rPr>
        <w:t>functions and modalities mentioned above, four</w:t>
      </w:r>
      <w:r w:rsidRPr="00AC610B">
        <w:rPr>
          <w:rFonts w:ascii="Arial" w:hAnsi="Arial" w:cs="Arial"/>
        </w:rPr>
        <w:t xml:space="preserve"> overarching criteria are proposed for use in assessing the performance of the </w:t>
      </w:r>
      <w:r>
        <w:rPr>
          <w:rFonts w:ascii="Arial" w:hAnsi="Arial" w:cs="Arial"/>
        </w:rPr>
        <w:t>GCE</w:t>
      </w:r>
      <w:r w:rsidRPr="00AC610B">
        <w:rPr>
          <w:rFonts w:ascii="Arial" w:hAnsi="Arial" w:cs="Arial"/>
        </w:rPr>
        <w:t>:</w:t>
      </w:r>
    </w:p>
    <w:p w14:paraId="60353190" w14:textId="3F4B6535" w:rsidR="00B400EF" w:rsidRPr="00B400EF" w:rsidRDefault="00B400EF" w:rsidP="00A908A1">
      <w:pPr>
        <w:pStyle w:val="ListParagraph"/>
        <w:numPr>
          <w:ilvl w:val="0"/>
          <w:numId w:val="13"/>
        </w:numPr>
        <w:rPr>
          <w:rFonts w:ascii="Arial" w:hAnsi="Arial" w:cs="Arial"/>
        </w:rPr>
      </w:pPr>
      <w:r w:rsidRPr="00B400EF">
        <w:rPr>
          <w:rFonts w:ascii="Arial" w:hAnsi="Arial" w:cs="Arial"/>
        </w:rPr>
        <w:lastRenderedPageBreak/>
        <w:t>Success in strengthening coordination, coherence and synergies across the network of T</w:t>
      </w:r>
      <w:r>
        <w:rPr>
          <w:rFonts w:ascii="Arial" w:hAnsi="Arial" w:cs="Arial"/>
        </w:rPr>
        <w:t>SCCs</w:t>
      </w:r>
      <w:r w:rsidRPr="00B400EF">
        <w:rPr>
          <w:rFonts w:ascii="Arial" w:hAnsi="Arial" w:cs="Arial"/>
        </w:rPr>
        <w:t>, resulting in more integrated, complementary and efficient delivery of technical and scientific cooperation.</w:t>
      </w:r>
    </w:p>
    <w:p w14:paraId="73BB55F9" w14:textId="58CB0D61" w:rsidR="00B400EF" w:rsidRPr="00B400EF" w:rsidRDefault="00B400EF" w:rsidP="00A908A1">
      <w:pPr>
        <w:pStyle w:val="ListParagraph"/>
        <w:numPr>
          <w:ilvl w:val="0"/>
          <w:numId w:val="13"/>
        </w:numPr>
        <w:rPr>
          <w:rFonts w:ascii="Arial" w:hAnsi="Arial" w:cs="Arial"/>
        </w:rPr>
      </w:pPr>
      <w:r w:rsidRPr="00B400EF">
        <w:rPr>
          <w:rFonts w:ascii="Arial" w:hAnsi="Arial" w:cs="Arial"/>
        </w:rPr>
        <w:t>Development, standardization and facilitation of access to shared tools, guidance and support services, including technical assistance and advisory support, that enhance the quality, consistency and effectiveness of TSCC operations.</w:t>
      </w:r>
    </w:p>
    <w:p w14:paraId="74DE2A8A" w14:textId="3AC8C7C8" w:rsidR="00B400EF" w:rsidRPr="00B400EF" w:rsidRDefault="00B400EF" w:rsidP="00A908A1">
      <w:pPr>
        <w:pStyle w:val="ListParagraph"/>
        <w:numPr>
          <w:ilvl w:val="0"/>
          <w:numId w:val="13"/>
        </w:numPr>
        <w:rPr>
          <w:rFonts w:ascii="Arial" w:hAnsi="Arial" w:cs="Arial"/>
        </w:rPr>
      </w:pPr>
      <w:r w:rsidRPr="00B400EF">
        <w:rPr>
          <w:rFonts w:ascii="Arial" w:hAnsi="Arial" w:cs="Arial"/>
        </w:rPr>
        <w:t>Success in facilitating knowledge sharing, peer learning and organizational learning across the TSCC network, including the systematic dissemination and uptake of good practices and lessons learned.</w:t>
      </w:r>
    </w:p>
    <w:p w14:paraId="7E23C7B0" w14:textId="1BE13DF1" w:rsidR="0031567F" w:rsidRPr="0031567F" w:rsidRDefault="00B400EF" w:rsidP="00A908A1">
      <w:pPr>
        <w:pStyle w:val="ListParagraph"/>
        <w:numPr>
          <w:ilvl w:val="0"/>
          <w:numId w:val="13"/>
        </w:numPr>
        <w:rPr>
          <w:rFonts w:ascii="Arial" w:hAnsi="Arial" w:cs="Arial"/>
        </w:rPr>
      </w:pPr>
      <w:r w:rsidRPr="00B400EF">
        <w:rPr>
          <w:rFonts w:ascii="Arial" w:hAnsi="Arial" w:cs="Arial"/>
        </w:rPr>
        <w:t xml:space="preserve">Success in mobilizing, coordinating and leveraging financial, technical and </w:t>
      </w:r>
      <w:r w:rsidR="00AC610B" w:rsidRPr="00B400EF">
        <w:rPr>
          <w:rFonts w:ascii="Arial" w:hAnsi="Arial" w:cs="Arial"/>
        </w:rPr>
        <w:t>in-kind</w:t>
      </w:r>
      <w:r w:rsidRPr="00B400EF">
        <w:rPr>
          <w:rFonts w:ascii="Arial" w:hAnsi="Arial" w:cs="Arial"/>
        </w:rPr>
        <w:t xml:space="preserve"> resources to support TSCC programmes, </w:t>
      </w:r>
      <w:commentRangeStart w:id="17"/>
      <w:r w:rsidRPr="00B400EF">
        <w:rPr>
          <w:rFonts w:ascii="Arial" w:hAnsi="Arial" w:cs="Arial"/>
        </w:rPr>
        <w:t>while promoting equitable access to resources across regions and reducing disparities in capacity and funding.</w:t>
      </w:r>
      <w:commentRangeEnd w:id="17"/>
      <w:r w:rsidR="00A53400" w:rsidRPr="0031567F">
        <w:rPr>
          <w:rStyle w:val="CommentReference"/>
          <w:rFonts w:ascii="Arial" w:hAnsi="Arial" w:cs="Arial"/>
          <w:sz w:val="24"/>
          <w:szCs w:val="24"/>
        </w:rPr>
        <w:commentReference w:id="17"/>
      </w:r>
    </w:p>
    <w:sectPr w:rsidR="0031567F" w:rsidRPr="0031567F" w:rsidSect="00A26584">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kany, Karel (Environment, Black Mountain)" w:date="2026-04-28T14:32:00Z" w:initials="KM">
    <w:p w14:paraId="6854B01C" w14:textId="77777777" w:rsidR="003B0F65" w:rsidRDefault="00492ED0" w:rsidP="003B0F65">
      <w:pPr>
        <w:pStyle w:val="CommentText"/>
      </w:pPr>
      <w:r>
        <w:rPr>
          <w:rStyle w:val="CommentReference"/>
        </w:rPr>
        <w:annotationRef/>
      </w:r>
      <w:r w:rsidR="003B0F65">
        <w:t xml:space="preserve">While using abbreviated text for each criteria in this table is understandable - to save space - using the full descriptions for each criteria (given in the preceding text) will help avoid ambiguity. </w:t>
      </w:r>
    </w:p>
  </w:comment>
  <w:comment w:id="1" w:author="Mokany, Karel (Environment, Black Mountain)" w:date="2026-05-07T14:29:00Z" w:initials="KM">
    <w:p w14:paraId="1F0027F1" w14:textId="77777777" w:rsidR="003B0F65" w:rsidRDefault="005F69FC" w:rsidP="003B0F65">
      <w:pPr>
        <w:pStyle w:val="CommentText"/>
      </w:pPr>
      <w:r>
        <w:rPr>
          <w:rStyle w:val="CommentReference"/>
        </w:rPr>
        <w:annotationRef/>
      </w:r>
      <w:r w:rsidR="003B0F65">
        <w:t>I’m not sure that this performance level is practically distinguishable from ‘High’. Likely it would be simpler and clearer to remove this level and retain the others.</w:t>
      </w:r>
    </w:p>
  </w:comment>
  <w:comment w:id="2" w:author="Han De Koeijer" w:date="2026-05-07T09:44:00Z" w:initials="AD">
    <w:p w14:paraId="28A49E87" w14:textId="77777777" w:rsidR="00B67A15" w:rsidRDefault="00B67A15" w:rsidP="00B67A15">
      <w:pPr>
        <w:pStyle w:val="CommentText"/>
      </w:pPr>
      <w:r>
        <w:rPr>
          <w:rStyle w:val="CommentReference"/>
        </w:rPr>
        <w:annotationRef/>
      </w:r>
      <w:r>
        <w:t>Officially the TSC mechanism is a demand driven mechanism according to CBD COP 15/8 paragraph 26 a. The assessment should therefor not be like now but something like : 0 no needs responded to; 1 10 % of needs responded to; 2 10-50 % of ….. Etcetera?</w:t>
      </w:r>
    </w:p>
  </w:comment>
  <w:comment w:id="3" w:author="Mokany, Karel (Environment, Black Mountain)" w:date="2026-04-28T14:15:00Z" w:initials="KM">
    <w:p w14:paraId="586AE811" w14:textId="77777777" w:rsidR="007A0D40" w:rsidRDefault="000E008D" w:rsidP="007A0D40">
      <w:pPr>
        <w:pStyle w:val="CommentText"/>
      </w:pPr>
      <w:r>
        <w:rPr>
          <w:rStyle w:val="CommentReference"/>
        </w:rPr>
        <w:annotationRef/>
      </w:r>
      <w:r w:rsidR="007A0D40">
        <w:t>This would also be high (i.e 200 is &gt; 2).</w:t>
      </w:r>
    </w:p>
    <w:p w14:paraId="1855C864" w14:textId="77777777" w:rsidR="007A0D40" w:rsidRDefault="007A0D40" w:rsidP="007A0D40">
      <w:pPr>
        <w:pStyle w:val="CommentText"/>
      </w:pPr>
      <w:r>
        <w:t>Perhaps better to say ‘a small number’ or ‘occasionally’, or else pick a range (e.g. 2-5).</w:t>
      </w:r>
    </w:p>
    <w:p w14:paraId="2DF5739B" w14:textId="77777777" w:rsidR="007A0D40" w:rsidRDefault="007A0D40" w:rsidP="007A0D40">
      <w:pPr>
        <w:pStyle w:val="CommentText"/>
      </w:pPr>
    </w:p>
    <w:p w14:paraId="75A33773" w14:textId="77777777" w:rsidR="007A0D40" w:rsidRDefault="007A0D40" w:rsidP="007A0D40">
      <w:pPr>
        <w:pStyle w:val="CommentText"/>
      </w:pPr>
      <w:r>
        <w:t xml:space="preserve">Also, given the other feedback from the TSC-IAG, due to the different number of parties associated with each TSCC, phrasing the performance levels in terms of proportions of parties associated with the TSCC could be more flexible (e.g. ‘25-75% of parties’). </w:t>
      </w:r>
    </w:p>
  </w:comment>
  <w:comment w:id="4" w:author="Mokany, Karel (Environment, Black Mountain)" w:date="2026-04-28T14:24:00Z" w:initials="KM">
    <w:p w14:paraId="36802F8D" w14:textId="6607090D" w:rsidR="003B0F65" w:rsidRDefault="009A35A5" w:rsidP="003B0F65">
      <w:pPr>
        <w:pStyle w:val="CommentText"/>
      </w:pPr>
      <w:r>
        <w:rPr>
          <w:rStyle w:val="CommentReference"/>
        </w:rPr>
        <w:annotationRef/>
      </w:r>
      <w:r w:rsidR="003B0F65">
        <w:t>Here it would be useful to have numeric guidance as to the difference between the terms used - ‘regular’ and sustained’. For example, is regular about 1 per month ?</w:t>
      </w:r>
    </w:p>
  </w:comment>
  <w:comment w:id="5" w:author="Mokany, Karel (Environment, Black Mountain)" w:date="2026-04-28T14:25:00Z" w:initials="KM">
    <w:p w14:paraId="223CC2EF" w14:textId="77777777" w:rsidR="001664BA" w:rsidRDefault="009A35A5" w:rsidP="001664BA">
      <w:pPr>
        <w:pStyle w:val="CommentText"/>
      </w:pPr>
      <w:r>
        <w:rPr>
          <w:rStyle w:val="CommentReference"/>
        </w:rPr>
        <w:annotationRef/>
      </w:r>
      <w:r w:rsidR="001664BA">
        <w:t xml:space="preserve">I think there’s potential for confusion between the rows like this noting the potential multiple alternative indicators, and the performance level descriptions of the row above, which tend to be phrased in terms of one of the indicators. </w:t>
      </w:r>
    </w:p>
    <w:p w14:paraId="100F1C59" w14:textId="77777777" w:rsidR="001664BA" w:rsidRDefault="001664BA" w:rsidP="001664BA">
      <w:pPr>
        <w:pStyle w:val="CommentText"/>
      </w:pPr>
    </w:p>
    <w:p w14:paraId="12C89551" w14:textId="77777777" w:rsidR="001664BA" w:rsidRDefault="001664BA" w:rsidP="001664BA">
      <w:pPr>
        <w:pStyle w:val="CommentText"/>
      </w:pPr>
      <w:r>
        <w:t xml:space="preserve">Also, while the idea of performance levels is nice, there’s likely strong value in also collecting the quantitative metrics associated with specific indicators, as documented in the middle column of the preceding table. It’s not clear whether that is intended or not. It would be disappointing not to collect those metrics. It would make it easier for the TSCCs to know what they need to track, and for an evaluation to allocate a performance level based on the metrics and the different circumstances of each TSCC. </w:t>
      </w:r>
    </w:p>
  </w:comment>
  <w:comment w:id="6" w:author="Han De Koeijer" w:date="2026-05-07T09:47:00Z" w:initials="AD">
    <w:p w14:paraId="1019CB7D" w14:textId="77777777" w:rsidR="00522AB1" w:rsidRDefault="00522AB1" w:rsidP="00522AB1">
      <w:pPr>
        <w:pStyle w:val="CommentText"/>
      </w:pPr>
      <w:r>
        <w:rPr>
          <w:rStyle w:val="CommentReference"/>
        </w:rPr>
        <w:annotationRef/>
      </w:r>
      <w:r>
        <w:t>Again this should also be based on the percentage of results linked to the demands?</w:t>
      </w:r>
    </w:p>
  </w:comment>
  <w:comment w:id="7" w:author="Mokany, Karel (Environment, Black Mountain)" w:date="2026-04-28T14:27:00Z" w:initials="KM">
    <w:p w14:paraId="3BDE5951" w14:textId="7C17EE7C" w:rsidR="00577EB3" w:rsidRDefault="009A35A5" w:rsidP="00577EB3">
      <w:pPr>
        <w:pStyle w:val="CommentText"/>
      </w:pPr>
      <w:r>
        <w:rPr>
          <w:rStyle w:val="CommentReference"/>
        </w:rPr>
        <w:annotationRef/>
      </w:r>
      <w:r w:rsidR="00577EB3">
        <w:t>For all the levels of this criterion, the descriptions should be broader, including products / tools developed or facilitated.</w:t>
      </w:r>
    </w:p>
  </w:comment>
  <w:comment w:id="8" w:author="Han De Koeijer" w:date="2026-05-07T09:48:00Z" w:initials="AD">
    <w:p w14:paraId="7809F057" w14:textId="77777777" w:rsidR="005533BD" w:rsidRDefault="00414B39" w:rsidP="005533BD">
      <w:pPr>
        <w:pStyle w:val="CommentText"/>
      </w:pPr>
      <w:r>
        <w:rPr>
          <w:rStyle w:val="CommentReference"/>
        </w:rPr>
        <w:annotationRef/>
      </w:r>
      <w:r w:rsidR="005533BD">
        <w:t>I agree with Karel on this taking into account that it isn’t the main role of the centers to develop tools. It is mentioned “including  …. The development ……..</w:t>
      </w:r>
    </w:p>
  </w:comment>
  <w:comment w:id="9" w:author="Mokany, Karel (Environment, Black Mountain)" w:date="2026-04-28T14:28:00Z" w:initials="KM">
    <w:p w14:paraId="24F3FDD4" w14:textId="4528EF14" w:rsidR="00577EB3" w:rsidRDefault="00492ED0" w:rsidP="00577EB3">
      <w:pPr>
        <w:pStyle w:val="CommentText"/>
      </w:pPr>
      <w:r>
        <w:rPr>
          <w:rStyle w:val="CommentReference"/>
        </w:rPr>
        <w:annotationRef/>
      </w:r>
      <w:r w:rsidR="00577EB3">
        <w:t>Doesn’t the ‘moderate’ level description meet this description too ?</w:t>
      </w:r>
    </w:p>
    <w:p w14:paraId="24DF602D" w14:textId="77777777" w:rsidR="00577EB3" w:rsidRDefault="00577EB3" w:rsidP="00577EB3">
      <w:pPr>
        <w:pStyle w:val="CommentText"/>
      </w:pPr>
      <w:r>
        <w:t>In general, the descriptions of the performance levels need to be refined to more clearly distinguishable from the other levels.</w:t>
      </w:r>
    </w:p>
  </w:comment>
  <w:comment w:id="10" w:author="Mokany, Karel (Environment, Black Mountain)" w:date="2026-04-28T14:31:00Z" w:initials="KM">
    <w:p w14:paraId="016F4BD2" w14:textId="77777777" w:rsidR="007A0D40" w:rsidRDefault="00492ED0" w:rsidP="007A0D40">
      <w:pPr>
        <w:pStyle w:val="CommentText"/>
      </w:pPr>
      <w:r>
        <w:rPr>
          <w:rStyle w:val="CommentReference"/>
        </w:rPr>
        <w:annotationRef/>
      </w:r>
      <w:r w:rsidR="007A0D40">
        <w:t>It seems something like ‘highly frequent peer learning and exchanges’ would fit better given how the other levels are described.</w:t>
      </w:r>
    </w:p>
    <w:p w14:paraId="25BC6C91" w14:textId="77777777" w:rsidR="007A0D40" w:rsidRDefault="007A0D40" w:rsidP="007A0D40">
      <w:pPr>
        <w:pStyle w:val="CommentText"/>
      </w:pPr>
    </w:p>
    <w:p w14:paraId="091F506E" w14:textId="77777777" w:rsidR="007A0D40" w:rsidRDefault="007A0D40" w:rsidP="007A0D40">
      <w:pPr>
        <w:pStyle w:val="CommentText"/>
      </w:pPr>
      <w:r>
        <w:t>Again, for all of these, it would be useful to indicate what counts as ‘regular’ etc (e.g. monthly ?)</w:t>
      </w:r>
    </w:p>
  </w:comment>
  <w:comment w:id="11" w:author="Han De Koeijer" w:date="2026-05-07T10:08:00Z" w:initials="AD">
    <w:p w14:paraId="71FEDEA8" w14:textId="77777777" w:rsidR="00E66C47" w:rsidRDefault="00A50FEF" w:rsidP="00E66C47">
      <w:pPr>
        <w:pStyle w:val="CommentText"/>
      </w:pPr>
      <w:r>
        <w:rPr>
          <w:rStyle w:val="CommentReference"/>
        </w:rPr>
        <w:annotationRef/>
      </w:r>
      <w:r w:rsidR="00E66C47">
        <w:t>I would again use percentages of peer to peer and knowledge sharing based on requests/ demands from parties. Evidence of uptake can’t be defined and even if used it will depend on the percentage of uptake based on the number of exchanges?</w:t>
      </w:r>
    </w:p>
  </w:comment>
  <w:comment w:id="12" w:author="Mokany, Karel (Environment, Black Mountain)" w:date="2026-04-28T14:32:00Z" w:initials="KM">
    <w:p w14:paraId="7AB8B5F1" w14:textId="77777777" w:rsidR="007A0D40" w:rsidRDefault="00492ED0" w:rsidP="007A0D40">
      <w:pPr>
        <w:pStyle w:val="CommentText"/>
      </w:pPr>
      <w:r>
        <w:rPr>
          <w:rStyle w:val="CommentReference"/>
        </w:rPr>
        <w:annotationRef/>
      </w:r>
      <w:r w:rsidR="007A0D40">
        <w:t>Ideally this would be worded in a way that was less vague and less open to interpretation</w:t>
      </w:r>
    </w:p>
  </w:comment>
  <w:comment w:id="13" w:author="Han De Koeijer" w:date="2026-05-07T10:20:00Z" w:initials="AD">
    <w:p w14:paraId="0D845B57" w14:textId="77777777" w:rsidR="00927F2C" w:rsidRDefault="00927F2C" w:rsidP="00927F2C">
      <w:pPr>
        <w:pStyle w:val="CommentText"/>
      </w:pPr>
      <w:r>
        <w:rPr>
          <w:rStyle w:val="CommentReference"/>
        </w:rPr>
        <w:annotationRef/>
      </w:r>
      <w:r>
        <w:t>Agree with Karel: I would change from 3 onwards to 3. formal engagement with partners 4. X - Y Percentage of partnerships used to reply to demands from Parties 5.  Y- Z percentage …..</w:t>
      </w:r>
    </w:p>
  </w:comment>
  <w:comment w:id="14" w:author="Mokany, Karel (Environment, Black Mountain)" w:date="2026-04-28T14:33:00Z" w:initials="KM">
    <w:p w14:paraId="2964BE5B" w14:textId="77777777" w:rsidR="007A0D40" w:rsidRDefault="00492ED0" w:rsidP="007A0D40">
      <w:pPr>
        <w:pStyle w:val="CommentText"/>
      </w:pPr>
      <w:r>
        <w:rPr>
          <w:rStyle w:val="CommentReference"/>
        </w:rPr>
        <w:annotationRef/>
      </w:r>
      <w:r w:rsidR="007A0D40">
        <w:t>These performance level descriptions are all quite vague and open to interpretation. This is one criterion where perhaps the performance level concept doesn’t work so well, given the different circumstances of each TSCC. Perhaps just the highly quantitative metrics are actually more useful, and any evaluator can take into account the nature of that particular TSCC ? For example,  the dollar equivalents of direct &amp;/or in-kind resources mobilised and leveraged. Perhaps also the number of resource arrangements; or number of organisations contributing resources.</w:t>
      </w:r>
    </w:p>
  </w:comment>
  <w:comment w:id="15" w:author="Han De Koeijer" w:date="2026-05-07T10:26:00Z" w:initials="AD">
    <w:p w14:paraId="211AE8D8" w14:textId="77777777" w:rsidR="001D0670" w:rsidRDefault="001D0670" w:rsidP="001D0670">
      <w:pPr>
        <w:pStyle w:val="CommentText"/>
      </w:pPr>
      <w:r>
        <w:rPr>
          <w:rStyle w:val="CommentReference"/>
        </w:rPr>
        <w:annotationRef/>
      </w:r>
      <w:r>
        <w:t xml:space="preserve">Percentage of budget foreseen in workplan see indicator? </w:t>
      </w:r>
    </w:p>
  </w:comment>
  <w:comment w:id="16" w:author="Sojung Kang" w:date="2026-04-23T16:07:00Z" w:initials="SK">
    <w:p w14:paraId="1AC9687E" w14:textId="63861117" w:rsidR="00612B4C" w:rsidRDefault="00612B4C" w:rsidP="00612B4C">
      <w:pPr>
        <w:pStyle w:val="CommentText"/>
      </w:pPr>
      <w:r>
        <w:rPr>
          <w:rStyle w:val="CommentReference"/>
        </w:rPr>
        <w:annotationRef/>
      </w:r>
      <w:r>
        <w:t>Cooperation opportunities quite broad to be in no.6</w:t>
      </w:r>
    </w:p>
  </w:comment>
  <w:comment w:id="17" w:author="Han De Koeijer" w:date="2026-05-07T10:34:00Z" w:initials="AD">
    <w:p w14:paraId="12C516DE" w14:textId="77777777" w:rsidR="00A53400" w:rsidRDefault="00A53400" w:rsidP="00A53400">
      <w:pPr>
        <w:pStyle w:val="CommentText"/>
      </w:pPr>
      <w:r>
        <w:rPr>
          <w:rStyle w:val="CommentReference"/>
        </w:rPr>
        <w:annotationRef/>
      </w:r>
      <w:r>
        <w:t>This one isn’t possible according to me taking into account the number of countries served by the different centres, European countries can’t access most common funds for Biodiversity like GEF, Kunming fund etcetera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4B01C" w15:done="0"/>
  <w15:commentEx w15:paraId="1F0027F1" w15:done="0"/>
  <w15:commentEx w15:paraId="28A49E87" w15:done="0"/>
  <w15:commentEx w15:paraId="75A33773" w15:done="0"/>
  <w15:commentEx w15:paraId="36802F8D" w15:done="0"/>
  <w15:commentEx w15:paraId="12C89551" w15:done="0"/>
  <w15:commentEx w15:paraId="1019CB7D" w15:done="0"/>
  <w15:commentEx w15:paraId="3BDE5951" w15:done="0"/>
  <w15:commentEx w15:paraId="7809F057" w15:paraIdParent="3BDE5951" w15:done="0"/>
  <w15:commentEx w15:paraId="24DF602D" w15:done="0"/>
  <w15:commentEx w15:paraId="091F506E" w15:done="0"/>
  <w15:commentEx w15:paraId="71FEDEA8" w15:paraIdParent="091F506E" w15:done="0"/>
  <w15:commentEx w15:paraId="7AB8B5F1" w15:done="0"/>
  <w15:commentEx w15:paraId="0D845B57" w15:paraIdParent="7AB8B5F1" w15:done="0"/>
  <w15:commentEx w15:paraId="2964BE5B" w15:done="0"/>
  <w15:commentEx w15:paraId="211AE8D8" w15:paraIdParent="2964BE5B" w15:done="0"/>
  <w15:commentEx w15:paraId="1AC9687E" w15:done="1"/>
  <w15:commentEx w15:paraId="12C51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24555" w16cex:dateUtc="2026-04-28T04:32:00Z"/>
  <w16cex:commentExtensible w16cex:durableId="4CF0CD37" w16cex:dateUtc="2026-05-07T04:29:00Z"/>
  <w16cex:commentExtensible w16cex:durableId="3B9235A8" w16cex:dateUtc="2026-05-07T07:44:00Z"/>
  <w16cex:commentExtensible w16cex:durableId="79EC6B14" w16cex:dateUtc="2026-04-28T04:15:00Z"/>
  <w16cex:commentExtensible w16cex:durableId="66868047" w16cex:dateUtc="2026-04-28T04:24:00Z"/>
  <w16cex:commentExtensible w16cex:durableId="4CA58158" w16cex:dateUtc="2026-04-28T04:25:00Z"/>
  <w16cex:commentExtensible w16cex:durableId="466A3AC9" w16cex:dateUtc="2026-05-07T07:47:00Z"/>
  <w16cex:commentExtensible w16cex:durableId="5DE96F4E" w16cex:dateUtc="2026-04-28T04:27:00Z"/>
  <w16cex:commentExtensible w16cex:durableId="3188DE31" w16cex:dateUtc="2026-05-07T07:48:00Z"/>
  <w16cex:commentExtensible w16cex:durableId="19B86C1F" w16cex:dateUtc="2026-04-28T04:28:00Z"/>
  <w16cex:commentExtensible w16cex:durableId="7ECB6FBC" w16cex:dateUtc="2026-04-28T04:31:00Z"/>
  <w16cex:commentExtensible w16cex:durableId="6DF350AC" w16cex:dateUtc="2026-05-07T08:08:00Z"/>
  <w16cex:commentExtensible w16cex:durableId="5A3512BA" w16cex:dateUtc="2026-04-28T04:32:00Z"/>
  <w16cex:commentExtensible w16cex:durableId="330EB76A" w16cex:dateUtc="2026-05-07T08:20:00Z"/>
  <w16cex:commentExtensible w16cex:durableId="31444C32" w16cex:dateUtc="2026-04-28T04:33:00Z"/>
  <w16cex:commentExtensible w16cex:durableId="2D728F27" w16cex:dateUtc="2026-05-07T08:26:00Z"/>
  <w16cex:commentExtensible w16cex:durableId="1A4A1CC9" w16cex:dateUtc="2026-04-23T20:07:00Z"/>
  <w16cex:commentExtensible w16cex:durableId="723682F6" w16cex:dateUtc="2026-05-07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4B01C" w16cid:durableId="51924555"/>
  <w16cid:commentId w16cid:paraId="1F0027F1" w16cid:durableId="4CF0CD37"/>
  <w16cid:commentId w16cid:paraId="28A49E87" w16cid:durableId="3B9235A8"/>
  <w16cid:commentId w16cid:paraId="75A33773" w16cid:durableId="79EC6B14"/>
  <w16cid:commentId w16cid:paraId="36802F8D" w16cid:durableId="66868047"/>
  <w16cid:commentId w16cid:paraId="12C89551" w16cid:durableId="4CA58158"/>
  <w16cid:commentId w16cid:paraId="1019CB7D" w16cid:durableId="466A3AC9"/>
  <w16cid:commentId w16cid:paraId="3BDE5951" w16cid:durableId="5DE96F4E"/>
  <w16cid:commentId w16cid:paraId="7809F057" w16cid:durableId="3188DE31"/>
  <w16cid:commentId w16cid:paraId="24DF602D" w16cid:durableId="19B86C1F"/>
  <w16cid:commentId w16cid:paraId="091F506E" w16cid:durableId="7ECB6FBC"/>
  <w16cid:commentId w16cid:paraId="71FEDEA8" w16cid:durableId="6DF350AC"/>
  <w16cid:commentId w16cid:paraId="7AB8B5F1" w16cid:durableId="5A3512BA"/>
  <w16cid:commentId w16cid:paraId="0D845B57" w16cid:durableId="330EB76A"/>
  <w16cid:commentId w16cid:paraId="2964BE5B" w16cid:durableId="31444C32"/>
  <w16cid:commentId w16cid:paraId="211AE8D8" w16cid:durableId="2D728F27"/>
  <w16cid:commentId w16cid:paraId="1AC9687E" w16cid:durableId="1A4A1CC9"/>
  <w16cid:commentId w16cid:paraId="12C516DE" w16cid:durableId="723682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29E7" w14:textId="77777777" w:rsidR="0096068E" w:rsidRDefault="0096068E" w:rsidP="00CC0DDB">
      <w:pPr>
        <w:spacing w:after="0" w:line="240" w:lineRule="auto"/>
      </w:pPr>
      <w:r>
        <w:separator/>
      </w:r>
    </w:p>
  </w:endnote>
  <w:endnote w:type="continuationSeparator" w:id="0">
    <w:p w14:paraId="012DECB8" w14:textId="77777777" w:rsidR="0096068E" w:rsidRDefault="0096068E" w:rsidP="00CC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EE7" w14:textId="149E8ABA" w:rsidR="007E4CEF" w:rsidRDefault="0009374F">
    <w:pPr>
      <w:pStyle w:val="Footer"/>
    </w:pPr>
    <w:r>
      <w:rPr>
        <w:noProof/>
      </w:rPr>
      <mc:AlternateContent>
        <mc:Choice Requires="wps">
          <w:drawing>
            <wp:anchor distT="0" distB="0" distL="0" distR="0" simplePos="0" relativeHeight="251662336" behindDoc="0" locked="0" layoutInCell="1" allowOverlap="1" wp14:anchorId="213CC4C8" wp14:editId="59A2F40C">
              <wp:simplePos x="635" y="635"/>
              <wp:positionH relativeFrom="page">
                <wp:align>center</wp:align>
              </wp:positionH>
              <wp:positionV relativeFrom="page">
                <wp:align>bottom</wp:align>
              </wp:positionV>
              <wp:extent cx="622300" cy="405765"/>
              <wp:effectExtent l="0" t="0" r="6350" b="0"/>
              <wp:wrapNone/>
              <wp:docPr id="7940670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74BEF6A" w14:textId="672C9CFB"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CC4C8"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674BEF6A" w14:textId="672C9CFB"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56E" w14:textId="5900629A" w:rsidR="00CC0DDB" w:rsidRDefault="0009374F">
    <w:pPr>
      <w:pStyle w:val="Footer"/>
      <w:jc w:val="center"/>
    </w:pPr>
    <w:r>
      <w:rPr>
        <w:noProof/>
      </w:rPr>
      <mc:AlternateContent>
        <mc:Choice Requires="wps">
          <w:drawing>
            <wp:anchor distT="0" distB="0" distL="0" distR="0" simplePos="0" relativeHeight="251663360" behindDoc="0" locked="0" layoutInCell="1" allowOverlap="1" wp14:anchorId="7ED389A7" wp14:editId="66025E3A">
              <wp:simplePos x="914400" y="9235440"/>
              <wp:positionH relativeFrom="page">
                <wp:align>center</wp:align>
              </wp:positionH>
              <wp:positionV relativeFrom="page">
                <wp:align>bottom</wp:align>
              </wp:positionV>
              <wp:extent cx="622300" cy="405765"/>
              <wp:effectExtent l="0" t="0" r="6350" b="0"/>
              <wp:wrapNone/>
              <wp:docPr id="20361813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B859F77" w14:textId="10437AEA"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389A7"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3B859F77" w14:textId="10437AEA"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sdt>
      <w:sdtPr>
        <w:id w:val="-412321327"/>
        <w:docPartObj>
          <w:docPartGallery w:val="Page Numbers (Bottom of Page)"/>
          <w:docPartUnique/>
        </w:docPartObj>
      </w:sdtPr>
      <w:sdtEndPr>
        <w:rPr>
          <w:noProof/>
        </w:rPr>
      </w:sdtEndPr>
      <w:sdtContent>
        <w:r w:rsidR="00CC0DDB">
          <w:fldChar w:fldCharType="begin"/>
        </w:r>
        <w:r w:rsidR="00CC0DDB">
          <w:instrText xml:space="preserve"> PAGE   \* MERGEFORMAT </w:instrText>
        </w:r>
        <w:r w:rsidR="00CC0DDB">
          <w:fldChar w:fldCharType="separate"/>
        </w:r>
        <w:r w:rsidR="00CC0DDB">
          <w:rPr>
            <w:noProof/>
          </w:rPr>
          <w:t>2</w:t>
        </w:r>
        <w:r w:rsidR="00CC0DDB">
          <w:rPr>
            <w:noProof/>
          </w:rPr>
          <w:fldChar w:fldCharType="end"/>
        </w:r>
      </w:sdtContent>
    </w:sdt>
  </w:p>
  <w:p w14:paraId="7D21845B" w14:textId="77777777" w:rsidR="00CC0DDB" w:rsidRDefault="00CC0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A90D" w14:textId="21F368CC" w:rsidR="007E4CEF" w:rsidRDefault="0009374F">
    <w:pPr>
      <w:pStyle w:val="Footer"/>
    </w:pPr>
    <w:r>
      <w:rPr>
        <w:noProof/>
      </w:rPr>
      <mc:AlternateContent>
        <mc:Choice Requires="wps">
          <w:drawing>
            <wp:anchor distT="0" distB="0" distL="0" distR="0" simplePos="0" relativeHeight="251661312" behindDoc="0" locked="0" layoutInCell="1" allowOverlap="1" wp14:anchorId="12081E13" wp14:editId="2077B926">
              <wp:simplePos x="635" y="635"/>
              <wp:positionH relativeFrom="page">
                <wp:align>center</wp:align>
              </wp:positionH>
              <wp:positionV relativeFrom="page">
                <wp:align>bottom</wp:align>
              </wp:positionV>
              <wp:extent cx="622300" cy="405765"/>
              <wp:effectExtent l="0" t="0" r="6350" b="0"/>
              <wp:wrapNone/>
              <wp:docPr id="18096181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B299C24" w14:textId="5657D556"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81E13" id="_x0000_t202" coordsize="21600,21600" o:spt="202" path="m,l,21600r21600,l21600,xe">
              <v:stroke joinstyle="miter"/>
              <v:path gradientshapeok="t" o:connecttype="rect"/>
            </v:shapetype>
            <v:shape id="Text Box 4" o:spid="_x0000_s1030"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textbox style="mso-fit-shape-to-text:t" inset="0,0,0,15pt">
                <w:txbxContent>
                  <w:p w14:paraId="0B299C24" w14:textId="5657D556"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FCEE" w14:textId="77777777" w:rsidR="0096068E" w:rsidRDefault="0096068E" w:rsidP="00CC0DDB">
      <w:pPr>
        <w:spacing w:after="0" w:line="240" w:lineRule="auto"/>
      </w:pPr>
      <w:r>
        <w:separator/>
      </w:r>
    </w:p>
  </w:footnote>
  <w:footnote w:type="continuationSeparator" w:id="0">
    <w:p w14:paraId="24876741" w14:textId="77777777" w:rsidR="0096068E" w:rsidRDefault="0096068E" w:rsidP="00CC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741A" w14:textId="117455F6" w:rsidR="007E4CEF" w:rsidRDefault="0009374F">
    <w:pPr>
      <w:pStyle w:val="Header"/>
    </w:pPr>
    <w:r>
      <w:rPr>
        <w:noProof/>
      </w:rPr>
      <mc:AlternateContent>
        <mc:Choice Requires="wps">
          <w:drawing>
            <wp:anchor distT="0" distB="0" distL="0" distR="0" simplePos="0" relativeHeight="251659264" behindDoc="0" locked="0" layoutInCell="1" allowOverlap="1" wp14:anchorId="37126F12" wp14:editId="51B8FE92">
              <wp:simplePos x="635" y="635"/>
              <wp:positionH relativeFrom="page">
                <wp:align>center</wp:align>
              </wp:positionH>
              <wp:positionV relativeFrom="page">
                <wp:align>top</wp:align>
              </wp:positionV>
              <wp:extent cx="622300" cy="405765"/>
              <wp:effectExtent l="0" t="0" r="6350" b="13335"/>
              <wp:wrapNone/>
              <wp:docPr id="15343727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D7A9D51" w14:textId="73F20763"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26F12"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4D7A9D51" w14:textId="73F20763"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63E" w14:textId="5FBEF71E" w:rsidR="007E4CEF" w:rsidRDefault="0009374F">
    <w:pPr>
      <w:pStyle w:val="Header"/>
    </w:pPr>
    <w:r>
      <w:rPr>
        <w:noProof/>
      </w:rPr>
      <mc:AlternateContent>
        <mc:Choice Requires="wps">
          <w:drawing>
            <wp:anchor distT="0" distB="0" distL="0" distR="0" simplePos="0" relativeHeight="251658240" behindDoc="0" locked="0" layoutInCell="1" allowOverlap="1" wp14:anchorId="3C1B2319" wp14:editId="78EA9B6C">
              <wp:simplePos x="635" y="635"/>
              <wp:positionH relativeFrom="page">
                <wp:align>center</wp:align>
              </wp:positionH>
              <wp:positionV relativeFrom="page">
                <wp:align>top</wp:align>
              </wp:positionV>
              <wp:extent cx="622300" cy="405765"/>
              <wp:effectExtent l="0" t="0" r="6350" b="13335"/>
              <wp:wrapNone/>
              <wp:docPr id="8101885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F038002" w14:textId="7452AD62"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B2319" id="_x0000_t202" coordsize="21600,21600" o:spt="202" path="m,l,21600r21600,l21600,xe">
              <v:stroke joinstyle="miter"/>
              <v:path gradientshapeok="t" o:connecttype="rect"/>
            </v:shapetype>
            <v:shape id="Text Box 1" o:spid="_x0000_s1029"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6F038002" w14:textId="7452AD62"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09000F"/>
    <w:lvl w:ilvl="0">
      <w:start w:val="1"/>
      <w:numFmt w:val="decimal"/>
      <w:lvlText w:val="%1."/>
      <w:lvlJc w:val="left"/>
      <w:pPr>
        <w:ind w:left="360" w:hanging="360"/>
      </w:pPr>
      <w:rPr>
        <w:rFonts w:hint="default"/>
      </w:rPr>
    </w:lvl>
  </w:abstractNum>
  <w:abstractNum w:abstractNumId="1" w15:restartNumberingAfterBreak="0">
    <w:nsid w:val="09FD6ED1"/>
    <w:multiLevelType w:val="hybridMultilevel"/>
    <w:tmpl w:val="4E38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323142"/>
    <w:multiLevelType w:val="hybridMultilevel"/>
    <w:tmpl w:val="BA9C6F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530210"/>
    <w:multiLevelType w:val="multilevel"/>
    <w:tmpl w:val="B67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A6D9D"/>
    <w:multiLevelType w:val="hybridMultilevel"/>
    <w:tmpl w:val="818E9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26592E"/>
    <w:multiLevelType w:val="multilevel"/>
    <w:tmpl w:val="F38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41F08"/>
    <w:multiLevelType w:val="multilevel"/>
    <w:tmpl w:val="7A8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50DCA"/>
    <w:multiLevelType w:val="hybridMultilevel"/>
    <w:tmpl w:val="818E99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D7C5AEC"/>
    <w:multiLevelType w:val="hybridMultilevel"/>
    <w:tmpl w:val="C17657E4"/>
    <w:lvl w:ilvl="0" w:tplc="0C72F1EE">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1F4BD5"/>
    <w:multiLevelType w:val="multilevel"/>
    <w:tmpl w:val="D95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E646B"/>
    <w:multiLevelType w:val="multilevel"/>
    <w:tmpl w:val="58F2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14726B"/>
    <w:multiLevelType w:val="hybridMultilevel"/>
    <w:tmpl w:val="7E389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052A35"/>
    <w:multiLevelType w:val="multilevel"/>
    <w:tmpl w:val="F29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651">
    <w:abstractNumId w:val="1"/>
  </w:num>
  <w:num w:numId="2" w16cid:durableId="1137070439">
    <w:abstractNumId w:val="2"/>
  </w:num>
  <w:num w:numId="3" w16cid:durableId="787746976">
    <w:abstractNumId w:val="0"/>
  </w:num>
  <w:num w:numId="4" w16cid:durableId="491336615">
    <w:abstractNumId w:val="7"/>
  </w:num>
  <w:num w:numId="5" w16cid:durableId="484855151">
    <w:abstractNumId w:val="9"/>
  </w:num>
  <w:num w:numId="6" w16cid:durableId="1499223500">
    <w:abstractNumId w:val="10"/>
  </w:num>
  <w:num w:numId="7" w16cid:durableId="427849473">
    <w:abstractNumId w:val="5"/>
  </w:num>
  <w:num w:numId="8" w16cid:durableId="680013487">
    <w:abstractNumId w:val="3"/>
  </w:num>
  <w:num w:numId="9" w16cid:durableId="1338190965">
    <w:abstractNumId w:val="6"/>
  </w:num>
  <w:num w:numId="10" w16cid:durableId="1698384262">
    <w:abstractNumId w:val="11"/>
  </w:num>
  <w:num w:numId="11" w16cid:durableId="1371228024">
    <w:abstractNumId w:val="8"/>
  </w:num>
  <w:num w:numId="12" w16cid:durableId="190413138">
    <w:abstractNumId w:val="12"/>
  </w:num>
  <w:num w:numId="13" w16cid:durableId="18058485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kany, Karel (Environment, Black Mountain)">
    <w15:presenceInfo w15:providerId="AD" w15:userId="S::mok010@csiro.au::b16f3b26-e28b-4df9-8037-f22886abf080"/>
  </w15:person>
  <w15:person w15:author="Han De Koeijer">
    <w15:presenceInfo w15:providerId="AD" w15:userId="S::hdekoeijer@naturalsciences.be::2ca19022-ce29-43ff-967d-779a142b0955"/>
  </w15:person>
  <w15:person w15:author="Sojung Kang">
    <w15:presenceInfo w15:providerId="AD" w15:userId="S::sojung.kang@un.org::3c1b1d8d-b078-4784-9702-276c4fccc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3B"/>
    <w:rsid w:val="000007E6"/>
    <w:rsid w:val="00000E0D"/>
    <w:rsid w:val="000024E5"/>
    <w:rsid w:val="00012D1E"/>
    <w:rsid w:val="00020B0E"/>
    <w:rsid w:val="00022CE2"/>
    <w:rsid w:val="00033385"/>
    <w:rsid w:val="00033BF6"/>
    <w:rsid w:val="00050DC4"/>
    <w:rsid w:val="0005105A"/>
    <w:rsid w:val="00053854"/>
    <w:rsid w:val="00054EB3"/>
    <w:rsid w:val="0009374F"/>
    <w:rsid w:val="00094C5A"/>
    <w:rsid w:val="00095410"/>
    <w:rsid w:val="000A6E84"/>
    <w:rsid w:val="000B3453"/>
    <w:rsid w:val="000C07EE"/>
    <w:rsid w:val="000E008D"/>
    <w:rsid w:val="000E2089"/>
    <w:rsid w:val="000E5141"/>
    <w:rsid w:val="001161D6"/>
    <w:rsid w:val="001519D7"/>
    <w:rsid w:val="00152769"/>
    <w:rsid w:val="0015571D"/>
    <w:rsid w:val="00162642"/>
    <w:rsid w:val="001664BA"/>
    <w:rsid w:val="00173FAA"/>
    <w:rsid w:val="00180588"/>
    <w:rsid w:val="001818EC"/>
    <w:rsid w:val="00194A02"/>
    <w:rsid w:val="0019654B"/>
    <w:rsid w:val="001A1064"/>
    <w:rsid w:val="001A22DC"/>
    <w:rsid w:val="001C21D6"/>
    <w:rsid w:val="001D0670"/>
    <w:rsid w:val="001D6A80"/>
    <w:rsid w:val="001E057A"/>
    <w:rsid w:val="001E17CB"/>
    <w:rsid w:val="001E1DDD"/>
    <w:rsid w:val="001E5A6E"/>
    <w:rsid w:val="0020340E"/>
    <w:rsid w:val="00211D49"/>
    <w:rsid w:val="002127A0"/>
    <w:rsid w:val="00222174"/>
    <w:rsid w:val="00223FB6"/>
    <w:rsid w:val="0023190F"/>
    <w:rsid w:val="0023224F"/>
    <w:rsid w:val="00232F76"/>
    <w:rsid w:val="002349EE"/>
    <w:rsid w:val="0024781A"/>
    <w:rsid w:val="0025035E"/>
    <w:rsid w:val="00252659"/>
    <w:rsid w:val="002618E2"/>
    <w:rsid w:val="00264DB7"/>
    <w:rsid w:val="00267958"/>
    <w:rsid w:val="002705B1"/>
    <w:rsid w:val="00291F06"/>
    <w:rsid w:val="002965C9"/>
    <w:rsid w:val="00296C3B"/>
    <w:rsid w:val="002A0BBE"/>
    <w:rsid w:val="002B2ED8"/>
    <w:rsid w:val="002B48C9"/>
    <w:rsid w:val="002B763E"/>
    <w:rsid w:val="002B7916"/>
    <w:rsid w:val="002C4404"/>
    <w:rsid w:val="002D319E"/>
    <w:rsid w:val="002D6A26"/>
    <w:rsid w:val="002E7D99"/>
    <w:rsid w:val="002F31EE"/>
    <w:rsid w:val="00310D14"/>
    <w:rsid w:val="0031344B"/>
    <w:rsid w:val="0031567F"/>
    <w:rsid w:val="00334B5B"/>
    <w:rsid w:val="00336ACA"/>
    <w:rsid w:val="0034041E"/>
    <w:rsid w:val="00355E6C"/>
    <w:rsid w:val="003644E3"/>
    <w:rsid w:val="00366F36"/>
    <w:rsid w:val="0037173E"/>
    <w:rsid w:val="00372103"/>
    <w:rsid w:val="00374489"/>
    <w:rsid w:val="00390A60"/>
    <w:rsid w:val="00395F74"/>
    <w:rsid w:val="003A07D1"/>
    <w:rsid w:val="003A4CF2"/>
    <w:rsid w:val="003A70AB"/>
    <w:rsid w:val="003A79FF"/>
    <w:rsid w:val="003B0F65"/>
    <w:rsid w:val="003B7FA9"/>
    <w:rsid w:val="003C520A"/>
    <w:rsid w:val="003D34CF"/>
    <w:rsid w:val="003F0C3A"/>
    <w:rsid w:val="00400828"/>
    <w:rsid w:val="004022F4"/>
    <w:rsid w:val="00414B39"/>
    <w:rsid w:val="004154C5"/>
    <w:rsid w:val="00415A82"/>
    <w:rsid w:val="0043631A"/>
    <w:rsid w:val="0044158E"/>
    <w:rsid w:val="00441E92"/>
    <w:rsid w:val="0044625A"/>
    <w:rsid w:val="00451315"/>
    <w:rsid w:val="00452D4C"/>
    <w:rsid w:val="004579A4"/>
    <w:rsid w:val="00463917"/>
    <w:rsid w:val="00463AE1"/>
    <w:rsid w:val="00472584"/>
    <w:rsid w:val="004863BE"/>
    <w:rsid w:val="00492ED0"/>
    <w:rsid w:val="004A2F18"/>
    <w:rsid w:val="004A40B7"/>
    <w:rsid w:val="004A6A0B"/>
    <w:rsid w:val="004B0F13"/>
    <w:rsid w:val="004C5C9A"/>
    <w:rsid w:val="004C6CBC"/>
    <w:rsid w:val="004F045A"/>
    <w:rsid w:val="004F22A8"/>
    <w:rsid w:val="004F28D1"/>
    <w:rsid w:val="004F5501"/>
    <w:rsid w:val="004F62CD"/>
    <w:rsid w:val="004F6DB5"/>
    <w:rsid w:val="00503A55"/>
    <w:rsid w:val="00514591"/>
    <w:rsid w:val="00522AB1"/>
    <w:rsid w:val="0052683A"/>
    <w:rsid w:val="00535BDE"/>
    <w:rsid w:val="00541216"/>
    <w:rsid w:val="00542518"/>
    <w:rsid w:val="00542D6E"/>
    <w:rsid w:val="005511D2"/>
    <w:rsid w:val="005533BD"/>
    <w:rsid w:val="00557B2C"/>
    <w:rsid w:val="0056117D"/>
    <w:rsid w:val="00566506"/>
    <w:rsid w:val="00567D73"/>
    <w:rsid w:val="00577499"/>
    <w:rsid w:val="00577EB3"/>
    <w:rsid w:val="00586AB0"/>
    <w:rsid w:val="00594332"/>
    <w:rsid w:val="005A2E5B"/>
    <w:rsid w:val="005A4018"/>
    <w:rsid w:val="005B0755"/>
    <w:rsid w:val="005B0D88"/>
    <w:rsid w:val="005B4CFE"/>
    <w:rsid w:val="005D179E"/>
    <w:rsid w:val="005D362D"/>
    <w:rsid w:val="005D6F1E"/>
    <w:rsid w:val="005E1672"/>
    <w:rsid w:val="005F078D"/>
    <w:rsid w:val="005F69FC"/>
    <w:rsid w:val="00612B4C"/>
    <w:rsid w:val="00617677"/>
    <w:rsid w:val="00621061"/>
    <w:rsid w:val="00625E21"/>
    <w:rsid w:val="006419FC"/>
    <w:rsid w:val="0065255D"/>
    <w:rsid w:val="00652C29"/>
    <w:rsid w:val="006532A3"/>
    <w:rsid w:val="00654AD1"/>
    <w:rsid w:val="00676749"/>
    <w:rsid w:val="00683B05"/>
    <w:rsid w:val="00685C90"/>
    <w:rsid w:val="00696063"/>
    <w:rsid w:val="006973AD"/>
    <w:rsid w:val="006B5606"/>
    <w:rsid w:val="006C6647"/>
    <w:rsid w:val="006D0A5E"/>
    <w:rsid w:val="006F7C2C"/>
    <w:rsid w:val="0070206D"/>
    <w:rsid w:val="00714AAB"/>
    <w:rsid w:val="00751953"/>
    <w:rsid w:val="00765628"/>
    <w:rsid w:val="00775DE7"/>
    <w:rsid w:val="00790DCE"/>
    <w:rsid w:val="007921A3"/>
    <w:rsid w:val="007973F1"/>
    <w:rsid w:val="007A0D40"/>
    <w:rsid w:val="007A3942"/>
    <w:rsid w:val="007A4BBC"/>
    <w:rsid w:val="007A5A7D"/>
    <w:rsid w:val="007B04A2"/>
    <w:rsid w:val="007B4DAD"/>
    <w:rsid w:val="007B5301"/>
    <w:rsid w:val="007B7E0A"/>
    <w:rsid w:val="007D14E4"/>
    <w:rsid w:val="007D61B6"/>
    <w:rsid w:val="007E4CEF"/>
    <w:rsid w:val="007E7EE6"/>
    <w:rsid w:val="007E7F26"/>
    <w:rsid w:val="007F2A63"/>
    <w:rsid w:val="007F5185"/>
    <w:rsid w:val="00801E65"/>
    <w:rsid w:val="00804D08"/>
    <w:rsid w:val="00807FA1"/>
    <w:rsid w:val="00815527"/>
    <w:rsid w:val="00836782"/>
    <w:rsid w:val="00854B07"/>
    <w:rsid w:val="00854B64"/>
    <w:rsid w:val="008605C8"/>
    <w:rsid w:val="00891BEC"/>
    <w:rsid w:val="0089402F"/>
    <w:rsid w:val="008973B9"/>
    <w:rsid w:val="008A0D6C"/>
    <w:rsid w:val="008A23E4"/>
    <w:rsid w:val="008C0AFE"/>
    <w:rsid w:val="008C610C"/>
    <w:rsid w:val="008E0E9F"/>
    <w:rsid w:val="008E1065"/>
    <w:rsid w:val="008E1F76"/>
    <w:rsid w:val="008E2E34"/>
    <w:rsid w:val="008E7147"/>
    <w:rsid w:val="008F081F"/>
    <w:rsid w:val="008F4C60"/>
    <w:rsid w:val="0090053C"/>
    <w:rsid w:val="009051C3"/>
    <w:rsid w:val="00910082"/>
    <w:rsid w:val="009121CC"/>
    <w:rsid w:val="00922CC7"/>
    <w:rsid w:val="00927F2C"/>
    <w:rsid w:val="009331DC"/>
    <w:rsid w:val="00945582"/>
    <w:rsid w:val="00947C26"/>
    <w:rsid w:val="00952D4C"/>
    <w:rsid w:val="0095690A"/>
    <w:rsid w:val="0096068E"/>
    <w:rsid w:val="00962AE7"/>
    <w:rsid w:val="00963D64"/>
    <w:rsid w:val="0096628D"/>
    <w:rsid w:val="009730A7"/>
    <w:rsid w:val="009748AB"/>
    <w:rsid w:val="00982E89"/>
    <w:rsid w:val="009873CA"/>
    <w:rsid w:val="00991239"/>
    <w:rsid w:val="0099563C"/>
    <w:rsid w:val="009A2A46"/>
    <w:rsid w:val="009A35A5"/>
    <w:rsid w:val="009A4F3B"/>
    <w:rsid w:val="009A7BD9"/>
    <w:rsid w:val="009B2B98"/>
    <w:rsid w:val="009C0F58"/>
    <w:rsid w:val="009E0BF1"/>
    <w:rsid w:val="009F3164"/>
    <w:rsid w:val="009F34B8"/>
    <w:rsid w:val="00A11443"/>
    <w:rsid w:val="00A26584"/>
    <w:rsid w:val="00A32738"/>
    <w:rsid w:val="00A35B8B"/>
    <w:rsid w:val="00A40D26"/>
    <w:rsid w:val="00A42AF8"/>
    <w:rsid w:val="00A4449E"/>
    <w:rsid w:val="00A47869"/>
    <w:rsid w:val="00A5099E"/>
    <w:rsid w:val="00A50FEF"/>
    <w:rsid w:val="00A51387"/>
    <w:rsid w:val="00A5283D"/>
    <w:rsid w:val="00A53400"/>
    <w:rsid w:val="00A619D4"/>
    <w:rsid w:val="00A6515A"/>
    <w:rsid w:val="00A73EFD"/>
    <w:rsid w:val="00A76BCB"/>
    <w:rsid w:val="00A81020"/>
    <w:rsid w:val="00A84E2C"/>
    <w:rsid w:val="00A90235"/>
    <w:rsid w:val="00A908A1"/>
    <w:rsid w:val="00AC4F5F"/>
    <w:rsid w:val="00AC610B"/>
    <w:rsid w:val="00AC619D"/>
    <w:rsid w:val="00AD18CD"/>
    <w:rsid w:val="00AD26E3"/>
    <w:rsid w:val="00AE4785"/>
    <w:rsid w:val="00AF024E"/>
    <w:rsid w:val="00AF4AF0"/>
    <w:rsid w:val="00B15334"/>
    <w:rsid w:val="00B400EF"/>
    <w:rsid w:val="00B406F2"/>
    <w:rsid w:val="00B50615"/>
    <w:rsid w:val="00B52D57"/>
    <w:rsid w:val="00B52EE8"/>
    <w:rsid w:val="00B643B6"/>
    <w:rsid w:val="00B6791E"/>
    <w:rsid w:val="00B67A15"/>
    <w:rsid w:val="00B82D3F"/>
    <w:rsid w:val="00B85C75"/>
    <w:rsid w:val="00B9109E"/>
    <w:rsid w:val="00BA4C3B"/>
    <w:rsid w:val="00BA6C62"/>
    <w:rsid w:val="00BB634B"/>
    <w:rsid w:val="00BD029C"/>
    <w:rsid w:val="00BD0533"/>
    <w:rsid w:val="00BD2251"/>
    <w:rsid w:val="00BD4976"/>
    <w:rsid w:val="00BE1F68"/>
    <w:rsid w:val="00BE4362"/>
    <w:rsid w:val="00BE5B13"/>
    <w:rsid w:val="00BF2FA2"/>
    <w:rsid w:val="00C0451B"/>
    <w:rsid w:val="00C062AE"/>
    <w:rsid w:val="00C07E0E"/>
    <w:rsid w:val="00C15148"/>
    <w:rsid w:val="00C15292"/>
    <w:rsid w:val="00C311E1"/>
    <w:rsid w:val="00C34BA6"/>
    <w:rsid w:val="00C41ECC"/>
    <w:rsid w:val="00C449C5"/>
    <w:rsid w:val="00C46E5E"/>
    <w:rsid w:val="00C47A73"/>
    <w:rsid w:val="00C54C2D"/>
    <w:rsid w:val="00C75C91"/>
    <w:rsid w:val="00C824E0"/>
    <w:rsid w:val="00C9058A"/>
    <w:rsid w:val="00CC0086"/>
    <w:rsid w:val="00CC0DDB"/>
    <w:rsid w:val="00CC1C07"/>
    <w:rsid w:val="00CC4FDA"/>
    <w:rsid w:val="00CD02A3"/>
    <w:rsid w:val="00CE2DB2"/>
    <w:rsid w:val="00CE4085"/>
    <w:rsid w:val="00CF2B54"/>
    <w:rsid w:val="00D01521"/>
    <w:rsid w:val="00D01AF7"/>
    <w:rsid w:val="00D17DFB"/>
    <w:rsid w:val="00D2413C"/>
    <w:rsid w:val="00D246CD"/>
    <w:rsid w:val="00D26477"/>
    <w:rsid w:val="00D303FD"/>
    <w:rsid w:val="00D341E7"/>
    <w:rsid w:val="00D3756D"/>
    <w:rsid w:val="00D45ABD"/>
    <w:rsid w:val="00D461E7"/>
    <w:rsid w:val="00D47BD4"/>
    <w:rsid w:val="00D51ED3"/>
    <w:rsid w:val="00D527EB"/>
    <w:rsid w:val="00D52DDC"/>
    <w:rsid w:val="00D567A8"/>
    <w:rsid w:val="00D72400"/>
    <w:rsid w:val="00D74141"/>
    <w:rsid w:val="00D8116A"/>
    <w:rsid w:val="00D825B2"/>
    <w:rsid w:val="00D838B8"/>
    <w:rsid w:val="00D83FC5"/>
    <w:rsid w:val="00D92981"/>
    <w:rsid w:val="00D95E87"/>
    <w:rsid w:val="00D96ACD"/>
    <w:rsid w:val="00DA3130"/>
    <w:rsid w:val="00DA460F"/>
    <w:rsid w:val="00DA5403"/>
    <w:rsid w:val="00DA74C5"/>
    <w:rsid w:val="00DD1E91"/>
    <w:rsid w:val="00DD5AAC"/>
    <w:rsid w:val="00DE4D20"/>
    <w:rsid w:val="00DE652D"/>
    <w:rsid w:val="00DF050A"/>
    <w:rsid w:val="00DF2986"/>
    <w:rsid w:val="00E112B7"/>
    <w:rsid w:val="00E13080"/>
    <w:rsid w:val="00E14A54"/>
    <w:rsid w:val="00E25454"/>
    <w:rsid w:val="00E33269"/>
    <w:rsid w:val="00E42AD4"/>
    <w:rsid w:val="00E43606"/>
    <w:rsid w:val="00E44F82"/>
    <w:rsid w:val="00E461E3"/>
    <w:rsid w:val="00E63329"/>
    <w:rsid w:val="00E66C47"/>
    <w:rsid w:val="00E7748C"/>
    <w:rsid w:val="00E816A9"/>
    <w:rsid w:val="00E9338E"/>
    <w:rsid w:val="00E95758"/>
    <w:rsid w:val="00EA5136"/>
    <w:rsid w:val="00EB05E8"/>
    <w:rsid w:val="00EB7284"/>
    <w:rsid w:val="00EB7805"/>
    <w:rsid w:val="00EB7ADA"/>
    <w:rsid w:val="00ED23A5"/>
    <w:rsid w:val="00EE623B"/>
    <w:rsid w:val="00EF0BD7"/>
    <w:rsid w:val="00F02A59"/>
    <w:rsid w:val="00F11028"/>
    <w:rsid w:val="00F30B99"/>
    <w:rsid w:val="00F522C8"/>
    <w:rsid w:val="00F55F65"/>
    <w:rsid w:val="00F60C97"/>
    <w:rsid w:val="00F704AF"/>
    <w:rsid w:val="00F83719"/>
    <w:rsid w:val="00F850BB"/>
    <w:rsid w:val="00F85EC3"/>
    <w:rsid w:val="00FA06E9"/>
    <w:rsid w:val="00FA2CDE"/>
    <w:rsid w:val="00FB61B6"/>
    <w:rsid w:val="00FC435A"/>
    <w:rsid w:val="00FE0BCA"/>
    <w:rsid w:val="00FE31E3"/>
    <w:rsid w:val="00FF4CD0"/>
    <w:rsid w:val="00FF7B27"/>
    <w:rsid w:val="0377B68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89715"/>
  <w15:chartTrackingRefBased/>
  <w15:docId w15:val="{9C39ECEB-D5D1-4B43-A2F7-14AAA813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3B"/>
    <w:rPr>
      <w:rFonts w:eastAsiaTheme="majorEastAsia" w:cstheme="majorBidi"/>
      <w:color w:val="272727" w:themeColor="text1" w:themeTint="D8"/>
    </w:rPr>
  </w:style>
  <w:style w:type="paragraph" w:styleId="Title">
    <w:name w:val="Title"/>
    <w:basedOn w:val="Normal"/>
    <w:next w:val="Normal"/>
    <w:link w:val="TitleChar"/>
    <w:uiPriority w:val="10"/>
    <w:qFormat/>
    <w:rsid w:val="009A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3B"/>
    <w:pPr>
      <w:spacing w:before="160"/>
      <w:jc w:val="center"/>
    </w:pPr>
    <w:rPr>
      <w:i/>
      <w:iCs/>
      <w:color w:val="404040" w:themeColor="text1" w:themeTint="BF"/>
    </w:rPr>
  </w:style>
  <w:style w:type="character" w:customStyle="1" w:styleId="QuoteChar">
    <w:name w:val="Quote Char"/>
    <w:basedOn w:val="DefaultParagraphFont"/>
    <w:link w:val="Quote"/>
    <w:uiPriority w:val="29"/>
    <w:rsid w:val="009A4F3B"/>
    <w:rPr>
      <w:i/>
      <w:iCs/>
      <w:color w:val="404040" w:themeColor="text1" w:themeTint="BF"/>
    </w:rPr>
  </w:style>
  <w:style w:type="paragraph" w:styleId="ListParagraph">
    <w:name w:val="List Paragraph"/>
    <w:basedOn w:val="Normal"/>
    <w:uiPriority w:val="34"/>
    <w:qFormat/>
    <w:rsid w:val="009A4F3B"/>
    <w:pPr>
      <w:ind w:left="720"/>
      <w:contextualSpacing/>
    </w:pPr>
  </w:style>
  <w:style w:type="character" w:styleId="IntenseEmphasis">
    <w:name w:val="Intense Emphasis"/>
    <w:basedOn w:val="DefaultParagraphFont"/>
    <w:uiPriority w:val="21"/>
    <w:qFormat/>
    <w:rsid w:val="009A4F3B"/>
    <w:rPr>
      <w:i/>
      <w:iCs/>
      <w:color w:val="0F4761" w:themeColor="accent1" w:themeShade="BF"/>
    </w:rPr>
  </w:style>
  <w:style w:type="paragraph" w:styleId="IntenseQuote">
    <w:name w:val="Intense Quote"/>
    <w:basedOn w:val="Normal"/>
    <w:next w:val="Normal"/>
    <w:link w:val="IntenseQuoteChar"/>
    <w:uiPriority w:val="30"/>
    <w:qFormat/>
    <w:rsid w:val="009A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3B"/>
    <w:rPr>
      <w:i/>
      <w:iCs/>
      <w:color w:val="0F4761" w:themeColor="accent1" w:themeShade="BF"/>
    </w:rPr>
  </w:style>
  <w:style w:type="character" w:styleId="IntenseReference">
    <w:name w:val="Intense Reference"/>
    <w:basedOn w:val="DefaultParagraphFont"/>
    <w:uiPriority w:val="32"/>
    <w:qFormat/>
    <w:rsid w:val="009A4F3B"/>
    <w:rPr>
      <w:b/>
      <w:bCs/>
      <w:smallCaps/>
      <w:color w:val="0F4761" w:themeColor="accent1" w:themeShade="BF"/>
      <w:spacing w:val="5"/>
    </w:rPr>
  </w:style>
  <w:style w:type="table" w:styleId="TableGrid">
    <w:name w:val="Table Grid"/>
    <w:basedOn w:val="TableNormal"/>
    <w:uiPriority w:val="59"/>
    <w:rsid w:val="009A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A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50D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Bullet">
    <w:name w:val="List Bullet"/>
    <w:basedOn w:val="Normal"/>
    <w:uiPriority w:val="99"/>
    <w:unhideWhenUsed/>
    <w:rsid w:val="00296C3B"/>
    <w:pPr>
      <w:spacing w:after="200" w:line="276" w:lineRule="auto"/>
      <w:contextualSpacing/>
    </w:pPr>
    <w:rPr>
      <w:kern w:val="0"/>
      <w:sz w:val="22"/>
      <w:szCs w:val="22"/>
      <w:lang w:val="en-US"/>
      <w14:ligatures w14:val="none"/>
    </w:rPr>
  </w:style>
  <w:style w:type="character" w:styleId="Hyperlink">
    <w:name w:val="Hyperlink"/>
    <w:basedOn w:val="DefaultParagraphFont"/>
    <w:uiPriority w:val="99"/>
    <w:unhideWhenUsed/>
    <w:rsid w:val="007B04A2"/>
    <w:rPr>
      <w:rFonts w:ascii="Times New Roman" w:hAnsi="Times New Roman"/>
      <w:color w:val="467886" w:themeColor="hyperlink"/>
      <w:u w:val="single"/>
      <w:lang w:val="en-GB"/>
    </w:rPr>
  </w:style>
  <w:style w:type="paragraph" w:styleId="Revision">
    <w:name w:val="Revision"/>
    <w:hidden/>
    <w:uiPriority w:val="99"/>
    <w:semiHidden/>
    <w:rsid w:val="002A0BBE"/>
    <w:pPr>
      <w:spacing w:after="0" w:line="240" w:lineRule="auto"/>
    </w:pPr>
  </w:style>
  <w:style w:type="character" w:styleId="CommentReference">
    <w:name w:val="annotation reference"/>
    <w:basedOn w:val="DefaultParagraphFont"/>
    <w:uiPriority w:val="99"/>
    <w:semiHidden/>
    <w:unhideWhenUsed/>
    <w:rsid w:val="00612B4C"/>
    <w:rPr>
      <w:sz w:val="16"/>
      <w:szCs w:val="16"/>
    </w:rPr>
  </w:style>
  <w:style w:type="paragraph" w:styleId="CommentText">
    <w:name w:val="annotation text"/>
    <w:basedOn w:val="Normal"/>
    <w:link w:val="CommentTextChar"/>
    <w:uiPriority w:val="99"/>
    <w:unhideWhenUsed/>
    <w:rsid w:val="00612B4C"/>
    <w:pPr>
      <w:spacing w:line="240" w:lineRule="auto"/>
    </w:pPr>
    <w:rPr>
      <w:sz w:val="20"/>
      <w:szCs w:val="20"/>
    </w:rPr>
  </w:style>
  <w:style w:type="character" w:customStyle="1" w:styleId="CommentTextChar">
    <w:name w:val="Comment Text Char"/>
    <w:basedOn w:val="DefaultParagraphFont"/>
    <w:link w:val="CommentText"/>
    <w:uiPriority w:val="99"/>
    <w:rsid w:val="00612B4C"/>
    <w:rPr>
      <w:sz w:val="20"/>
      <w:szCs w:val="20"/>
    </w:rPr>
  </w:style>
  <w:style w:type="paragraph" w:styleId="CommentSubject">
    <w:name w:val="annotation subject"/>
    <w:basedOn w:val="CommentText"/>
    <w:next w:val="CommentText"/>
    <w:link w:val="CommentSubjectChar"/>
    <w:uiPriority w:val="99"/>
    <w:semiHidden/>
    <w:unhideWhenUsed/>
    <w:rsid w:val="00612B4C"/>
    <w:rPr>
      <w:b/>
      <w:bCs/>
    </w:rPr>
  </w:style>
  <w:style w:type="character" w:customStyle="1" w:styleId="CommentSubjectChar">
    <w:name w:val="Comment Subject Char"/>
    <w:basedOn w:val="CommentTextChar"/>
    <w:link w:val="CommentSubject"/>
    <w:uiPriority w:val="99"/>
    <w:semiHidden/>
    <w:rsid w:val="00612B4C"/>
    <w:rPr>
      <w:b/>
      <w:bCs/>
      <w:sz w:val="20"/>
      <w:szCs w:val="20"/>
    </w:rPr>
  </w:style>
  <w:style w:type="paragraph" w:styleId="Header">
    <w:name w:val="header"/>
    <w:basedOn w:val="Normal"/>
    <w:link w:val="HeaderChar"/>
    <w:uiPriority w:val="99"/>
    <w:unhideWhenUsed/>
    <w:rsid w:val="00CC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DB"/>
  </w:style>
  <w:style w:type="paragraph" w:styleId="Footer">
    <w:name w:val="footer"/>
    <w:basedOn w:val="Normal"/>
    <w:link w:val="FooterChar"/>
    <w:uiPriority w:val="99"/>
    <w:unhideWhenUsed/>
    <w:rsid w:val="00CC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cbd.int/doc/c/bb28/09c1/29b6088acca2ec6b8dca64a1/tsc-iag-2024-01-02-en.pdf"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251A4-3DA6-4434-AFDA-8B1DF91B681A}">
  <ds:schemaRefs>
    <ds:schemaRef ds:uri="http://schemas.microsoft.com/sharepoint/v3/contenttype/forms"/>
  </ds:schemaRefs>
</ds:datastoreItem>
</file>

<file path=customXml/itemProps2.xml><?xml version="1.0" encoding="utf-8"?>
<ds:datastoreItem xmlns:ds="http://schemas.openxmlformats.org/officeDocument/2006/customXml" ds:itemID="{C60F3A62-B4AF-4F87-AF77-C42EB345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36849-66a8-47ed-b9c5-290121872f0b"/>
    <ds:schemaRef ds:uri="15adec92-1659-4e4a-b9ea-4e64a3d6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992CE-4BB4-4764-AF08-F6CD9AD63945}">
  <ds:schemaRefs>
    <ds:schemaRef ds:uri="http://schemas.microsoft.com/office/2006/metadata/properties"/>
    <ds:schemaRef ds:uri="http://schemas.microsoft.com/office/infopath/2007/PartnerControls"/>
    <ds:schemaRef ds:uri="15adec92-1659-4e4a-b9ea-4e64a3d6f1f3"/>
    <ds:schemaRef ds:uri="79a36849-66a8-47ed-b9c5-290121872f0b"/>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Taboulchanas</dc:creator>
  <cp:keywords/>
  <dc:description/>
  <cp:lastModifiedBy>Han De Koeijer</cp:lastModifiedBy>
  <cp:revision>11</cp:revision>
  <dcterms:created xsi:type="dcterms:W3CDTF">2026-05-07T07:38:00Z</dcterms:created>
  <dcterms:modified xsi:type="dcterms:W3CDTF">2026-05-07T08:34:00Z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y fmtid="{D5CDD505-2E9C-101B-9397-08002B2CF9AE}" pid="4" name="ClassificationContentMarkingHeaderShapeIds">
    <vt:lpwstr>304a7f2c,5b74aba9,1b61a780</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6bdc94eb,2f548070,795da954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2026-04-28T03:57:28Z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313ce418-9b87-44c9-8c05-a505c3562925</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