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D6688" w14:textId="6D1325BD" w:rsidR="00830301" w:rsidRPr="00546B83" w:rsidRDefault="00A51691" w:rsidP="004126C2">
      <w:pPr>
        <w:spacing w:before="120" w:after="0" w:line="380" w:lineRule="exact"/>
        <w:jc w:val="center"/>
        <w:rPr>
          <w:b/>
          <w:bCs/>
          <w:sz w:val="32"/>
          <w:szCs w:val="32"/>
        </w:rPr>
      </w:pPr>
      <w:r w:rsidRPr="00546B83">
        <w:rPr>
          <w:b/>
          <w:bCs/>
          <w:sz w:val="32"/>
          <w:szCs w:val="32"/>
        </w:rPr>
        <w:t xml:space="preserve">Draft </w:t>
      </w:r>
      <w:r w:rsidR="00BB6FA6">
        <w:rPr>
          <w:b/>
          <w:bCs/>
          <w:sz w:val="32"/>
          <w:szCs w:val="32"/>
        </w:rPr>
        <w:t>strategic p</w:t>
      </w:r>
      <w:r w:rsidR="00A03155">
        <w:rPr>
          <w:b/>
          <w:bCs/>
          <w:sz w:val="32"/>
          <w:szCs w:val="32"/>
        </w:rPr>
        <w:t xml:space="preserve">lan to </w:t>
      </w:r>
      <w:r w:rsidR="00BB6FA6">
        <w:rPr>
          <w:b/>
          <w:bCs/>
          <w:sz w:val="32"/>
          <w:szCs w:val="32"/>
        </w:rPr>
        <w:t>m</w:t>
      </w:r>
      <w:r w:rsidR="00A03155">
        <w:rPr>
          <w:b/>
          <w:bCs/>
          <w:sz w:val="32"/>
          <w:szCs w:val="32"/>
        </w:rPr>
        <w:t>obilize</w:t>
      </w:r>
      <w:r w:rsidRPr="00546B83">
        <w:rPr>
          <w:b/>
          <w:bCs/>
          <w:sz w:val="32"/>
          <w:szCs w:val="32"/>
        </w:rPr>
        <w:t xml:space="preserve"> </w:t>
      </w:r>
      <w:r w:rsidR="00BB6FA6">
        <w:rPr>
          <w:b/>
          <w:bCs/>
          <w:sz w:val="32"/>
          <w:szCs w:val="32"/>
        </w:rPr>
        <w:t>r</w:t>
      </w:r>
      <w:r w:rsidR="00EB7680" w:rsidRPr="00546B83">
        <w:rPr>
          <w:rFonts w:hint="eastAsia"/>
          <w:b/>
          <w:bCs/>
          <w:sz w:val="32"/>
          <w:szCs w:val="32"/>
        </w:rPr>
        <w:t>esource</w:t>
      </w:r>
      <w:r w:rsidR="00BB6FA6">
        <w:rPr>
          <w:b/>
          <w:bCs/>
          <w:sz w:val="32"/>
          <w:szCs w:val="32"/>
        </w:rPr>
        <w:t>s</w:t>
      </w:r>
      <w:r w:rsidR="00EB7680" w:rsidRPr="00546B83">
        <w:rPr>
          <w:rFonts w:hint="eastAsia"/>
          <w:b/>
          <w:bCs/>
          <w:sz w:val="32"/>
          <w:szCs w:val="32"/>
        </w:rPr>
        <w:t xml:space="preserve"> </w:t>
      </w:r>
      <w:r w:rsidR="00B8542B" w:rsidRPr="00546B83">
        <w:rPr>
          <w:rFonts w:hint="eastAsia"/>
          <w:b/>
          <w:bCs/>
          <w:sz w:val="32"/>
          <w:szCs w:val="32"/>
        </w:rPr>
        <w:t xml:space="preserve">to support </w:t>
      </w:r>
      <w:r w:rsidR="00204188">
        <w:rPr>
          <w:b/>
          <w:bCs/>
          <w:sz w:val="32"/>
          <w:szCs w:val="32"/>
        </w:rPr>
        <w:t xml:space="preserve">the </w:t>
      </w:r>
      <w:r w:rsidR="0B9A422C" w:rsidRPr="07706A02">
        <w:rPr>
          <w:b/>
          <w:bCs/>
          <w:sz w:val="32"/>
          <w:szCs w:val="32"/>
        </w:rPr>
        <w:t xml:space="preserve">Technical and Scientific Cooperation Support </w:t>
      </w:r>
      <w:proofErr w:type="spellStart"/>
      <w:r w:rsidR="0B9A422C" w:rsidRPr="07706A02">
        <w:rPr>
          <w:b/>
          <w:bCs/>
          <w:sz w:val="32"/>
          <w:szCs w:val="32"/>
        </w:rPr>
        <w:t>Centres</w:t>
      </w:r>
      <w:proofErr w:type="spellEnd"/>
      <w:r w:rsidR="0B9A422C" w:rsidRPr="07706A02">
        <w:rPr>
          <w:b/>
          <w:bCs/>
          <w:sz w:val="32"/>
          <w:szCs w:val="32"/>
        </w:rPr>
        <w:t xml:space="preserve"> </w:t>
      </w:r>
    </w:p>
    <w:p w14:paraId="4418066C" w14:textId="272AA234" w:rsidR="00F873D6" w:rsidRPr="00535857" w:rsidRDefault="00830301" w:rsidP="004126C2">
      <w:pPr>
        <w:spacing w:before="120" w:after="0" w:line="380" w:lineRule="exact"/>
        <w:jc w:val="center"/>
      </w:pPr>
      <w:r w:rsidRPr="00546B83">
        <w:rPr>
          <w:b/>
          <w:bCs/>
          <w:sz w:val="32"/>
          <w:szCs w:val="32"/>
        </w:rPr>
        <w:t>(</w:t>
      </w:r>
      <w:commentRangeStart w:id="0"/>
      <w:r w:rsidRPr="00546B83">
        <w:rPr>
          <w:b/>
          <w:bCs/>
          <w:sz w:val="32"/>
          <w:szCs w:val="32"/>
        </w:rPr>
        <w:t>2026-2030</w:t>
      </w:r>
      <w:commentRangeEnd w:id="0"/>
      <w:r w:rsidR="005509A1">
        <w:rPr>
          <w:rStyle w:val="CommentReference"/>
        </w:rPr>
        <w:commentReference w:id="0"/>
      </w:r>
      <w:r>
        <w:rPr>
          <w:b/>
          <w:bCs/>
          <w:color w:val="156082" w:themeColor="accent1"/>
          <w:sz w:val="32"/>
          <w:szCs w:val="32"/>
        </w:rPr>
        <w:t>)</w:t>
      </w:r>
      <w:r w:rsidR="00DB28D6" w:rsidRPr="00CD7E31">
        <w:rPr>
          <w:b/>
          <w:bCs/>
          <w:color w:val="156082" w:themeColor="accent1"/>
          <w:sz w:val="32"/>
          <w:szCs w:val="32"/>
        </w:rPr>
        <w:br/>
      </w:r>
    </w:p>
    <w:p w14:paraId="3D5239C1" w14:textId="17DE803C" w:rsidR="00B821D0" w:rsidRPr="007F09F7" w:rsidRDefault="00D91B4D" w:rsidP="007F09F7">
      <w:pPr>
        <w:ind w:left="141"/>
        <w:jc w:val="both"/>
        <w:rPr>
          <w:b/>
          <w:bCs/>
        </w:rPr>
      </w:pPr>
      <w:r w:rsidRPr="007F09F7">
        <w:rPr>
          <w:b/>
          <w:bCs/>
        </w:rPr>
        <w:t>Rationale and p</w:t>
      </w:r>
      <w:r w:rsidR="008B6885" w:rsidRPr="007F09F7">
        <w:rPr>
          <w:rFonts w:hint="eastAsia"/>
          <w:b/>
          <w:bCs/>
        </w:rPr>
        <w:t xml:space="preserve">urpose </w:t>
      </w:r>
    </w:p>
    <w:p w14:paraId="53763E1D" w14:textId="718A17DD" w:rsidR="00C81567" w:rsidRDefault="00C81567" w:rsidP="00340D05">
      <w:pPr>
        <w:ind w:left="141"/>
        <w:jc w:val="both"/>
      </w:pPr>
      <w:r w:rsidRPr="00C81567">
        <w:t xml:space="preserve">The Technical and Scientific Cooperation (TSC) Mechanism was established by the COP to support effective implementation of the CBD and the Kunming–Montreal Global Biodiversity Framework, responding to nationally identified priorities </w:t>
      </w:r>
      <w:r w:rsidR="00AC434D">
        <w:t>of</w:t>
      </w:r>
      <w:r w:rsidRPr="00C81567">
        <w:t xml:space="preserve"> developing countries.</w:t>
      </w:r>
      <w:r w:rsidR="16F923AD">
        <w:t xml:space="preserve"> It comprises </w:t>
      </w:r>
      <w:r w:rsidR="7B8EA86F">
        <w:t>a network of TSC</w:t>
      </w:r>
      <w:r w:rsidR="16F923AD">
        <w:t xml:space="preserve"> Support </w:t>
      </w:r>
      <w:proofErr w:type="spellStart"/>
      <w:r w:rsidR="16F923AD">
        <w:t>Centres</w:t>
      </w:r>
      <w:proofErr w:type="spellEnd"/>
      <w:r w:rsidR="16F923AD">
        <w:t xml:space="preserve"> (TSCCs)</w:t>
      </w:r>
      <w:r w:rsidR="66F588A0">
        <w:t>,</w:t>
      </w:r>
      <w:r w:rsidR="16F923AD">
        <w:t xml:space="preserve"> coordinated by the Glo</w:t>
      </w:r>
      <w:r w:rsidR="262F5BBE">
        <w:t>bal Coordination Entity</w:t>
      </w:r>
      <w:r w:rsidR="72DA88EB">
        <w:t xml:space="preserve"> (GCE)</w:t>
      </w:r>
      <w:r w:rsidR="262F5BBE">
        <w:t>, hosted by the Secretariat of the Convention on Biological Diversity.</w:t>
      </w:r>
    </w:p>
    <w:p w14:paraId="0C9536C7" w14:textId="56B31D1C" w:rsidR="000D3462" w:rsidRDefault="000D3462" w:rsidP="00340D05">
      <w:pPr>
        <w:ind w:left="141"/>
        <w:jc w:val="both"/>
      </w:pPr>
      <w:r w:rsidRPr="000D3462">
        <w:t xml:space="preserve">While the Mechanism’s </w:t>
      </w:r>
      <w:commentRangeStart w:id="1"/>
      <w:r w:rsidRPr="000D3462">
        <w:t>18</w:t>
      </w:r>
      <w:commentRangeEnd w:id="1"/>
      <w:r w:rsidR="005F43D1">
        <w:rPr>
          <w:rStyle w:val="CommentReference"/>
        </w:rPr>
        <w:commentReference w:id="1"/>
      </w:r>
      <w:r w:rsidRPr="000D3462">
        <w:t xml:space="preserve"> </w:t>
      </w:r>
      <w:r w:rsidR="74DDD2BA">
        <w:t>TSCCs</w:t>
      </w:r>
      <w:r w:rsidRPr="000D3462">
        <w:t xml:space="preserve"> are expected to develop resource mobilization strategies as part of their workplans, they contend with fragmented funding environments, uneven donor access, and differing fundraising capacities.</w:t>
      </w:r>
    </w:p>
    <w:p w14:paraId="2FC5CCBA" w14:textId="71AC5DD5" w:rsidR="00BA3D24" w:rsidRPr="00340D05" w:rsidRDefault="00100096" w:rsidP="00340D05">
      <w:pPr>
        <w:ind w:left="141"/>
        <w:jc w:val="both"/>
      </w:pPr>
      <w:r w:rsidRPr="00100096">
        <w:t xml:space="preserve">The purpose of </w:t>
      </w:r>
      <w:r w:rsidR="00316AFC" w:rsidRPr="00100096">
        <w:t xml:space="preserve">this </w:t>
      </w:r>
      <w:r w:rsidR="00316AFC">
        <w:rPr>
          <w:rFonts w:eastAsia="Malgun Gothic"/>
        </w:rPr>
        <w:t>strategic</w:t>
      </w:r>
      <w:r w:rsidR="002961E8">
        <w:rPr>
          <w:rFonts w:eastAsia="Malgun Gothic"/>
        </w:rPr>
        <w:t xml:space="preserve"> </w:t>
      </w:r>
      <w:r w:rsidR="00FE2EF2">
        <w:t>plan</w:t>
      </w:r>
      <w:r w:rsidR="00FE2EF2" w:rsidRPr="00100096">
        <w:t xml:space="preserve"> </w:t>
      </w:r>
      <w:r w:rsidRPr="00100096">
        <w:t>is to set out the Global Coordination Entity (GCE)</w:t>
      </w:r>
      <w:r w:rsidR="1B9CD7E7">
        <w:t>’s</w:t>
      </w:r>
      <w:r w:rsidRPr="00100096">
        <w:t xml:space="preserve"> </w:t>
      </w:r>
      <w:r w:rsidR="773FC3CE">
        <w:t>enabling and</w:t>
      </w:r>
      <w:r w:rsidR="61EE79EA">
        <w:t xml:space="preserve"> </w:t>
      </w:r>
      <w:r w:rsidR="773FC3CE">
        <w:t>catalytic</w:t>
      </w:r>
      <w:r w:rsidRPr="00100096">
        <w:t xml:space="preserve"> </w:t>
      </w:r>
      <w:r w:rsidR="2A6BB704">
        <w:t>actions</w:t>
      </w:r>
      <w:r w:rsidR="773FC3CE">
        <w:t xml:space="preserve"> in </w:t>
      </w:r>
      <w:r w:rsidR="00C657C0" w:rsidRPr="00340D05">
        <w:t xml:space="preserve">supporting </w:t>
      </w:r>
      <w:r w:rsidR="005D79AF">
        <w:t>the</w:t>
      </w:r>
      <w:r w:rsidR="00C657C0" w:rsidRPr="00340D05">
        <w:t xml:space="preserve"> </w:t>
      </w:r>
      <w:r w:rsidRPr="00100096">
        <w:t>mobiliz</w:t>
      </w:r>
      <w:r w:rsidR="005D79AF">
        <w:t>ation of</w:t>
      </w:r>
      <w:r w:rsidRPr="00100096">
        <w:t xml:space="preserve"> </w:t>
      </w:r>
      <w:r w:rsidR="0056749A">
        <w:t xml:space="preserve">technical and financial </w:t>
      </w:r>
      <w:r w:rsidRPr="00100096">
        <w:t>resources</w:t>
      </w:r>
      <w:r w:rsidR="004160A7">
        <w:t xml:space="preserve"> that can </w:t>
      </w:r>
      <w:r w:rsidRPr="00100096">
        <w:t xml:space="preserve">support the </w:t>
      </w:r>
      <w:r w:rsidR="773FC3CE">
        <w:t>operation</w:t>
      </w:r>
      <w:r w:rsidR="562F0B64">
        <w:t>s</w:t>
      </w:r>
      <w:r w:rsidR="00A8587B">
        <w:t xml:space="preserve"> of the TSCCs</w:t>
      </w:r>
      <w:r w:rsidR="00C657C0" w:rsidRPr="00340D05">
        <w:t>.</w:t>
      </w:r>
    </w:p>
    <w:p w14:paraId="728084B7" w14:textId="7CA183F5" w:rsidR="00590BC5" w:rsidRDefault="007E97C0" w:rsidP="00340D05">
      <w:pPr>
        <w:ind w:left="141"/>
        <w:jc w:val="both"/>
      </w:pPr>
      <w:r>
        <w:t>The</w:t>
      </w:r>
      <w:r w:rsidR="00983CB6" w:rsidRPr="005D7D9F">
        <w:rPr>
          <w:rFonts w:hint="eastAsia"/>
        </w:rPr>
        <w:t xml:space="preserve"> </w:t>
      </w:r>
      <w:r w:rsidR="0025305C">
        <w:t>plan</w:t>
      </w:r>
      <w:r w:rsidR="00983CB6" w:rsidRPr="005D7D9F">
        <w:rPr>
          <w:rFonts w:hint="eastAsia"/>
        </w:rPr>
        <w:t xml:space="preserve"> is grounded in </w:t>
      </w:r>
      <w:r w:rsidR="00494A45">
        <w:t>d</w:t>
      </w:r>
      <w:r w:rsidR="00983CB6" w:rsidRPr="005D7D9F">
        <w:t>ecision</w:t>
      </w:r>
      <w:r w:rsidR="00514B6D">
        <w:t>s 15/8</w:t>
      </w:r>
      <w:r w:rsidR="00CC42A6">
        <w:rPr>
          <w:rStyle w:val="FootnoteReference"/>
        </w:rPr>
        <w:footnoteReference w:id="1"/>
      </w:r>
      <w:r w:rsidR="00514B6D">
        <w:t xml:space="preserve"> and</w:t>
      </w:r>
      <w:r w:rsidR="00983CB6" w:rsidRPr="005D7D9F">
        <w:t xml:space="preserve"> 16/3</w:t>
      </w:r>
      <w:r w:rsidR="00B35B77">
        <w:rPr>
          <w:rStyle w:val="FootnoteReference"/>
        </w:rPr>
        <w:footnoteReference w:id="2"/>
      </w:r>
      <w:r w:rsidR="003A2FA0">
        <w:t xml:space="preserve"> of the Conference of the Parties</w:t>
      </w:r>
      <w:r w:rsidR="00983CB6" w:rsidRPr="005D7D9F">
        <w:t xml:space="preserve">, </w:t>
      </w:r>
      <w:r w:rsidR="00983CB6" w:rsidRPr="005D7D9F">
        <w:rPr>
          <w:rFonts w:hint="eastAsia"/>
        </w:rPr>
        <w:t xml:space="preserve">which mandate the GCE </w:t>
      </w:r>
      <w:r w:rsidR="00983CB6" w:rsidRPr="005D7D9F">
        <w:t xml:space="preserve">to mobilize additional </w:t>
      </w:r>
      <w:commentRangeStart w:id="2"/>
      <w:r w:rsidR="00983CB6" w:rsidRPr="005D7D9F">
        <w:t xml:space="preserve">resources </w:t>
      </w:r>
      <w:commentRangeEnd w:id="2"/>
      <w:r w:rsidR="005F43D1">
        <w:rPr>
          <w:rStyle w:val="CommentReference"/>
        </w:rPr>
        <w:commentReference w:id="2"/>
      </w:r>
      <w:r w:rsidR="00983CB6" w:rsidRPr="005D7D9F">
        <w:t>from a wide variety of sources</w:t>
      </w:r>
      <w:r w:rsidR="00983CB6" w:rsidRPr="005D7D9F">
        <w:rPr>
          <w:rFonts w:hint="eastAsia"/>
        </w:rPr>
        <w:t xml:space="preserve">, </w:t>
      </w:r>
      <w:r w:rsidR="00983CB6" w:rsidRPr="005D7D9F">
        <w:t xml:space="preserve">including public and private </w:t>
      </w:r>
      <w:r w:rsidR="00C1678C">
        <w:t>sources</w:t>
      </w:r>
      <w:r w:rsidR="7EECFCD7">
        <w:t>,</w:t>
      </w:r>
      <w:r w:rsidR="00983CB6" w:rsidRPr="005D7D9F">
        <w:t xml:space="preserve"> </w:t>
      </w:r>
      <w:r w:rsidR="00983CB6" w:rsidRPr="005D7D9F">
        <w:rPr>
          <w:rFonts w:hint="eastAsia"/>
        </w:rPr>
        <w:t xml:space="preserve">as well as </w:t>
      </w:r>
      <w:r w:rsidR="00983CB6" w:rsidRPr="005D7D9F">
        <w:t>innovative financing instruments</w:t>
      </w:r>
      <w:r w:rsidR="00983CB6" w:rsidRPr="005D7D9F">
        <w:rPr>
          <w:rFonts w:hint="eastAsia"/>
        </w:rPr>
        <w:t xml:space="preserve">, </w:t>
      </w:r>
      <w:r w:rsidR="00983CB6" w:rsidRPr="005D7D9F">
        <w:t xml:space="preserve">and to channel those resources to </w:t>
      </w:r>
      <w:r w:rsidR="00983CB6" w:rsidRPr="005D7D9F">
        <w:rPr>
          <w:rFonts w:hint="eastAsia"/>
        </w:rPr>
        <w:t xml:space="preserve">finance the </w:t>
      </w:r>
      <w:r w:rsidR="0075603E">
        <w:t xml:space="preserve">work </w:t>
      </w:r>
      <w:r w:rsidR="00983CB6" w:rsidRPr="005D7D9F">
        <w:t xml:space="preserve">of the </w:t>
      </w:r>
      <w:r w:rsidR="00A32306" w:rsidRPr="005D7D9F">
        <w:rPr>
          <w:rFonts w:hint="eastAsia"/>
        </w:rPr>
        <w:t>TSCCs</w:t>
      </w:r>
      <w:r w:rsidR="00983CB6" w:rsidRPr="005D7D9F">
        <w:rPr>
          <w:rFonts w:hint="eastAsia"/>
        </w:rPr>
        <w:t>.</w:t>
      </w:r>
      <w:r w:rsidR="005E6A2F" w:rsidRPr="005D7D9F">
        <w:rPr>
          <w:rFonts w:hint="eastAsia"/>
        </w:rPr>
        <w:t xml:space="preserve"> </w:t>
      </w:r>
    </w:p>
    <w:p w14:paraId="145D9483" w14:textId="793C5EC3" w:rsidR="0005335F" w:rsidRPr="007F09F7" w:rsidRDefault="006E5D1F" w:rsidP="00340D05">
      <w:pPr>
        <w:jc w:val="both"/>
        <w:rPr>
          <w:b/>
          <w:bCs/>
        </w:rPr>
      </w:pPr>
      <w:r w:rsidRPr="007F09F7">
        <w:rPr>
          <w:b/>
          <w:bCs/>
        </w:rPr>
        <w:t>Objectives and scope</w:t>
      </w:r>
    </w:p>
    <w:p w14:paraId="03143829" w14:textId="0ACF2BF8" w:rsidR="00320A61" w:rsidRDefault="003C0938" w:rsidP="00340D05">
      <w:pPr>
        <w:jc w:val="both"/>
        <w:rPr>
          <w:lang w:val="en-CA"/>
        </w:rPr>
      </w:pPr>
      <w:r>
        <w:t xml:space="preserve">The GCE </w:t>
      </w:r>
      <w:r w:rsidR="00BF357C">
        <w:rPr>
          <w:lang w:val="en-CA"/>
        </w:rPr>
        <w:t xml:space="preserve">aims </w:t>
      </w:r>
      <w:r w:rsidR="00205FB3">
        <w:rPr>
          <w:lang w:val="en-CA"/>
        </w:rPr>
        <w:t>to</w:t>
      </w:r>
      <w:r w:rsidRPr="00FC7B60">
        <w:rPr>
          <w:lang w:val="en-CA"/>
        </w:rPr>
        <w:t xml:space="preserve"> strengthen resource mobilization </w:t>
      </w:r>
      <w:r w:rsidR="00F145D4">
        <w:rPr>
          <w:lang w:val="en-CA"/>
        </w:rPr>
        <w:t xml:space="preserve">to support the work of TSCCs </w:t>
      </w:r>
      <w:r w:rsidRPr="00FC7B60">
        <w:rPr>
          <w:lang w:val="en-CA"/>
        </w:rPr>
        <w:t>by developing clear and coherent funding narratives and programmatic “packaging” that translate technical cooperation needs into compelling, fundable pro</w:t>
      </w:r>
      <w:r w:rsidR="002B5F10">
        <w:rPr>
          <w:lang w:val="en-CA"/>
        </w:rPr>
        <w:t>jects</w:t>
      </w:r>
      <w:r w:rsidRPr="00FC7B60">
        <w:rPr>
          <w:lang w:val="en-CA"/>
        </w:rPr>
        <w:t xml:space="preserve">. In addition, the GCE </w:t>
      </w:r>
      <w:r>
        <w:rPr>
          <w:lang w:val="en-CA"/>
        </w:rPr>
        <w:t xml:space="preserve">can develop </w:t>
      </w:r>
      <w:r w:rsidRPr="00FC7B60">
        <w:rPr>
          <w:lang w:val="en-CA"/>
        </w:rPr>
        <w:t xml:space="preserve">shared tools and </w:t>
      </w:r>
      <w:r w:rsidR="004C16C5">
        <w:rPr>
          <w:lang w:val="en-CA"/>
        </w:rPr>
        <w:t>mechanisms</w:t>
      </w:r>
      <w:r w:rsidRPr="00FC7B60">
        <w:rPr>
          <w:lang w:val="en-CA"/>
        </w:rPr>
        <w:t xml:space="preserve"> for fundraising, </w:t>
      </w:r>
      <w:r w:rsidR="004F43C1">
        <w:rPr>
          <w:lang w:val="en-CA"/>
        </w:rPr>
        <w:t xml:space="preserve">delivery </w:t>
      </w:r>
      <w:r w:rsidRPr="00FC7B60">
        <w:rPr>
          <w:lang w:val="en-CA"/>
        </w:rPr>
        <w:t>coordination, and reporting, thereby reducing duplication of effort and transaction costs across the Mechanism.</w:t>
      </w:r>
    </w:p>
    <w:p w14:paraId="5E581162" w14:textId="7FBFC6B4" w:rsidR="00320A61" w:rsidRDefault="004F1300" w:rsidP="00340D05">
      <w:pPr>
        <w:jc w:val="both"/>
        <w:rPr>
          <w:lang w:val="en-CA"/>
        </w:rPr>
      </w:pPr>
      <w:commentRangeStart w:id="3"/>
      <w:r>
        <w:rPr>
          <w:lang w:val="en-CA"/>
        </w:rPr>
        <w:t xml:space="preserve">The main objectives of this </w:t>
      </w:r>
      <w:r w:rsidR="001C0372">
        <w:rPr>
          <w:lang w:val="en-CA"/>
        </w:rPr>
        <w:t xml:space="preserve">plan </w:t>
      </w:r>
      <w:r w:rsidR="0046442D">
        <w:rPr>
          <w:lang w:val="en-CA"/>
        </w:rPr>
        <w:t>are as follows:</w:t>
      </w:r>
      <w:commentRangeEnd w:id="3"/>
      <w:r w:rsidR="00593783">
        <w:rPr>
          <w:rStyle w:val="CommentReference"/>
        </w:rPr>
        <w:commentReference w:id="3"/>
      </w:r>
    </w:p>
    <w:p w14:paraId="40DE5909" w14:textId="183F7E82" w:rsidR="0026248D" w:rsidRPr="007C6F7B" w:rsidRDefault="0026248D" w:rsidP="0026248D">
      <w:pPr>
        <w:pStyle w:val="ListParagraph"/>
        <w:numPr>
          <w:ilvl w:val="0"/>
          <w:numId w:val="19"/>
        </w:numPr>
        <w:jc w:val="both"/>
        <w:rPr>
          <w:lang w:val="en-CA"/>
        </w:rPr>
      </w:pPr>
      <w:r w:rsidRPr="007C6F7B">
        <w:rPr>
          <w:lang w:val="en-CA"/>
        </w:rPr>
        <w:lastRenderedPageBreak/>
        <w:t>Position the TSC Mechanism as a strategic partner</w:t>
      </w:r>
      <w:r w:rsidR="00922C51">
        <w:rPr>
          <w:lang w:val="en-CA"/>
        </w:rPr>
        <w:t xml:space="preserve"> for donors and implementing agencies</w:t>
      </w:r>
      <w:r w:rsidR="00A55E22">
        <w:rPr>
          <w:lang w:val="en-CA"/>
        </w:rPr>
        <w:t>.</w:t>
      </w:r>
      <w:r w:rsidR="004B2330" w:rsidRPr="007C6F7B">
        <w:rPr>
          <w:lang w:val="en-CA"/>
        </w:rPr>
        <w:t xml:space="preserve"> </w:t>
      </w:r>
    </w:p>
    <w:p w14:paraId="07D7A8AF" w14:textId="4A7B1288" w:rsidR="0026248D" w:rsidRPr="00D17459" w:rsidRDefault="0026248D" w:rsidP="00D17459">
      <w:pPr>
        <w:ind w:left="720"/>
        <w:jc w:val="both"/>
        <w:rPr>
          <w:lang w:val="en-CA"/>
        </w:rPr>
      </w:pPr>
      <w:r w:rsidRPr="0026248D">
        <w:rPr>
          <w:lang w:val="en-CA"/>
        </w:rPr>
        <w:t xml:space="preserve">Articulate a clear value proposition for </w:t>
      </w:r>
      <w:r w:rsidR="00C000B8">
        <w:rPr>
          <w:lang w:val="en-CA"/>
        </w:rPr>
        <w:t xml:space="preserve">the </w:t>
      </w:r>
      <w:r w:rsidRPr="0026248D">
        <w:rPr>
          <w:lang w:val="en-CA"/>
        </w:rPr>
        <w:t xml:space="preserve">technical and scientific cooperation </w:t>
      </w:r>
      <w:r w:rsidR="00C000B8">
        <w:rPr>
          <w:lang w:val="en-CA"/>
        </w:rPr>
        <w:t xml:space="preserve">mechanism </w:t>
      </w:r>
      <w:r w:rsidRPr="0026248D">
        <w:rPr>
          <w:lang w:val="en-CA"/>
        </w:rPr>
        <w:t xml:space="preserve">by translating TSCC services into coherent funding narratives and programmatic offerings that attract </w:t>
      </w:r>
      <w:r w:rsidR="00255A10">
        <w:rPr>
          <w:lang w:val="en-CA"/>
        </w:rPr>
        <w:t xml:space="preserve">funding support </w:t>
      </w:r>
      <w:r w:rsidRPr="0026248D">
        <w:rPr>
          <w:lang w:val="en-CA"/>
        </w:rPr>
        <w:t>and partners</w:t>
      </w:r>
      <w:r w:rsidR="00A143EB">
        <w:rPr>
          <w:lang w:val="en-CA"/>
        </w:rPr>
        <w:t>.</w:t>
      </w:r>
    </w:p>
    <w:p w14:paraId="3905FEB1" w14:textId="63849C11" w:rsidR="00D17459" w:rsidRPr="007C6F7B" w:rsidRDefault="004338A0" w:rsidP="00D17459">
      <w:pPr>
        <w:pStyle w:val="ListParagraph"/>
        <w:numPr>
          <w:ilvl w:val="0"/>
          <w:numId w:val="19"/>
        </w:numPr>
        <w:jc w:val="both"/>
        <w:rPr>
          <w:lang w:val="en-CA"/>
        </w:rPr>
      </w:pPr>
      <w:r>
        <w:rPr>
          <w:lang w:val="en-CA"/>
        </w:rPr>
        <w:t>Facilitate</w:t>
      </w:r>
      <w:r w:rsidR="00D20D16">
        <w:rPr>
          <w:lang w:val="en-CA"/>
        </w:rPr>
        <w:t xml:space="preserve"> a</w:t>
      </w:r>
      <w:r w:rsidR="00DD3130">
        <w:rPr>
          <w:lang w:val="en-CA"/>
        </w:rPr>
        <w:t>cces</w:t>
      </w:r>
      <w:r>
        <w:rPr>
          <w:lang w:val="en-CA"/>
        </w:rPr>
        <w:t>s to</w:t>
      </w:r>
      <w:r w:rsidR="00D17459" w:rsidRPr="007C6F7B">
        <w:rPr>
          <w:lang w:val="en-CA"/>
        </w:rPr>
        <w:t xml:space="preserve"> predictable and sustainable </w:t>
      </w:r>
      <w:r w:rsidR="00287AFA">
        <w:rPr>
          <w:lang w:val="en-CA"/>
        </w:rPr>
        <w:t xml:space="preserve">funding and technical </w:t>
      </w:r>
      <w:r w:rsidR="009B576E">
        <w:rPr>
          <w:lang w:val="en-CA"/>
        </w:rPr>
        <w:t>resources</w:t>
      </w:r>
      <w:r w:rsidR="00D17459" w:rsidRPr="007C6F7B">
        <w:rPr>
          <w:lang w:val="en-CA"/>
        </w:rPr>
        <w:t xml:space="preserve"> for the TSC Mechanism</w:t>
      </w:r>
    </w:p>
    <w:p w14:paraId="6F370DDD" w14:textId="550512A0" w:rsidR="00924101" w:rsidRDefault="0026248D" w:rsidP="00924101">
      <w:pPr>
        <w:ind w:left="720"/>
        <w:jc w:val="both"/>
        <w:rPr>
          <w:lang w:val="en-CA"/>
        </w:rPr>
      </w:pPr>
      <w:r w:rsidRPr="0026248D">
        <w:rPr>
          <w:lang w:val="en-CA"/>
        </w:rPr>
        <w:t>Mobilize diversified, predictable, and adequate financial and non</w:t>
      </w:r>
      <w:r w:rsidRPr="0026248D">
        <w:rPr>
          <w:rFonts w:ascii="Cambria Math" w:hAnsi="Cambria Math" w:cs="Cambria Math"/>
          <w:lang w:val="en-CA"/>
        </w:rPr>
        <w:t>‑</w:t>
      </w:r>
      <w:r w:rsidRPr="0026248D">
        <w:rPr>
          <w:lang w:val="en-CA"/>
        </w:rPr>
        <w:t>financial resources to enable the effective operationalization and long</w:t>
      </w:r>
      <w:r w:rsidRPr="0026248D">
        <w:rPr>
          <w:rFonts w:ascii="Cambria Math" w:hAnsi="Cambria Math" w:cs="Cambria Math"/>
          <w:lang w:val="en-CA"/>
        </w:rPr>
        <w:t>‑</w:t>
      </w:r>
      <w:r w:rsidRPr="0026248D">
        <w:rPr>
          <w:lang w:val="en-CA"/>
        </w:rPr>
        <w:t xml:space="preserve">term sustainability of the </w:t>
      </w:r>
      <w:r w:rsidR="000E247F">
        <w:rPr>
          <w:lang w:val="en-CA"/>
        </w:rPr>
        <w:t xml:space="preserve">GCE and </w:t>
      </w:r>
      <w:r w:rsidRPr="0026248D">
        <w:rPr>
          <w:lang w:val="en-CA"/>
        </w:rPr>
        <w:t>T</w:t>
      </w:r>
      <w:r w:rsidR="00D17459">
        <w:rPr>
          <w:lang w:val="en-CA"/>
        </w:rPr>
        <w:t>SCCs</w:t>
      </w:r>
      <w:r w:rsidRPr="0026248D">
        <w:rPr>
          <w:lang w:val="en-CA"/>
        </w:rPr>
        <w:t>.</w:t>
      </w:r>
    </w:p>
    <w:p w14:paraId="00500CCE" w14:textId="77777777" w:rsidR="0087556E" w:rsidRPr="007C6F7B" w:rsidRDefault="0087556E" w:rsidP="0087556E">
      <w:pPr>
        <w:pStyle w:val="ListParagraph"/>
        <w:numPr>
          <w:ilvl w:val="0"/>
          <w:numId w:val="19"/>
        </w:numPr>
        <w:jc w:val="both"/>
        <w:rPr>
          <w:lang w:val="en-CA"/>
        </w:rPr>
      </w:pPr>
      <w:r>
        <w:rPr>
          <w:lang w:val="en-CA"/>
        </w:rPr>
        <w:t>Develop the capacity of</w:t>
      </w:r>
      <w:r w:rsidRPr="007C6F7B">
        <w:rPr>
          <w:lang w:val="en-CA"/>
        </w:rPr>
        <w:t xml:space="preserve"> TSCC</w:t>
      </w:r>
      <w:r>
        <w:rPr>
          <w:lang w:val="en-CA"/>
        </w:rPr>
        <w:t xml:space="preserve">s </w:t>
      </w:r>
      <w:r w:rsidRPr="007C6F7B">
        <w:rPr>
          <w:lang w:val="en-CA"/>
        </w:rPr>
        <w:t>to mobilize additional resources</w:t>
      </w:r>
    </w:p>
    <w:p w14:paraId="1A07E7A5" w14:textId="0710C76F" w:rsidR="0087556E" w:rsidRDefault="0087556E" w:rsidP="0087556E">
      <w:pPr>
        <w:ind w:left="720"/>
        <w:jc w:val="both"/>
        <w:rPr>
          <w:lang w:val="en-CA"/>
        </w:rPr>
      </w:pPr>
      <w:r w:rsidRPr="0026248D">
        <w:rPr>
          <w:lang w:val="en-CA"/>
        </w:rPr>
        <w:t xml:space="preserve">Strengthen capacities </w:t>
      </w:r>
      <w:r w:rsidR="00FC4706">
        <w:rPr>
          <w:lang w:val="en-CA"/>
        </w:rPr>
        <w:t xml:space="preserve">of </w:t>
      </w:r>
      <w:r w:rsidR="00FC4706" w:rsidRPr="0026248D">
        <w:rPr>
          <w:lang w:val="en-CA"/>
        </w:rPr>
        <w:t>TSCC</w:t>
      </w:r>
      <w:r w:rsidR="00FC4706">
        <w:rPr>
          <w:lang w:val="en-CA"/>
        </w:rPr>
        <w:t>s</w:t>
      </w:r>
      <w:r w:rsidR="00FC4706" w:rsidRPr="0026248D">
        <w:rPr>
          <w:lang w:val="en-CA"/>
        </w:rPr>
        <w:t xml:space="preserve"> </w:t>
      </w:r>
      <w:r w:rsidR="007D1B37">
        <w:rPr>
          <w:lang w:val="en-CA"/>
        </w:rPr>
        <w:t xml:space="preserve">in </w:t>
      </w:r>
      <w:r w:rsidRPr="0026248D">
        <w:rPr>
          <w:lang w:val="en-CA"/>
        </w:rPr>
        <w:t>resource mobilization</w:t>
      </w:r>
      <w:r w:rsidR="00694580">
        <w:rPr>
          <w:lang w:val="en-CA"/>
        </w:rPr>
        <w:t xml:space="preserve">, </w:t>
      </w:r>
      <w:commentRangeStart w:id="4"/>
      <w:r w:rsidR="00694580">
        <w:rPr>
          <w:lang w:val="en-CA"/>
        </w:rPr>
        <w:t xml:space="preserve">including </w:t>
      </w:r>
      <w:r w:rsidR="005651DD">
        <w:rPr>
          <w:lang w:val="en-CA"/>
        </w:rPr>
        <w:t xml:space="preserve">how </w:t>
      </w:r>
      <w:r w:rsidR="004A0983">
        <w:rPr>
          <w:lang w:val="en-CA"/>
        </w:rPr>
        <w:t xml:space="preserve">to </w:t>
      </w:r>
      <w:r w:rsidRPr="0026248D">
        <w:rPr>
          <w:lang w:val="en-CA"/>
        </w:rPr>
        <w:t xml:space="preserve">use </w:t>
      </w:r>
      <w:r w:rsidR="00857743">
        <w:rPr>
          <w:lang w:val="en-CA"/>
        </w:rPr>
        <w:t xml:space="preserve">the </w:t>
      </w:r>
      <w:r w:rsidRPr="0026248D">
        <w:rPr>
          <w:lang w:val="en-CA"/>
        </w:rPr>
        <w:t>technical and scientific cooperation</w:t>
      </w:r>
      <w:r w:rsidR="00857743">
        <w:rPr>
          <w:lang w:val="en-CA"/>
        </w:rPr>
        <w:t xml:space="preserve"> mechanism</w:t>
      </w:r>
      <w:r w:rsidRPr="0026248D">
        <w:rPr>
          <w:lang w:val="en-CA"/>
        </w:rPr>
        <w:t xml:space="preserve"> to leverage additional public and private resources in support of KMGBF implementation.</w:t>
      </w:r>
      <w:commentRangeEnd w:id="4"/>
      <w:r w:rsidR="00593783">
        <w:rPr>
          <w:rStyle w:val="CommentReference"/>
        </w:rPr>
        <w:commentReference w:id="4"/>
      </w:r>
    </w:p>
    <w:p w14:paraId="5CA8B1AF" w14:textId="35041D9C" w:rsidR="0026248D" w:rsidRPr="007C6F7B" w:rsidRDefault="0026248D" w:rsidP="00924101">
      <w:pPr>
        <w:pStyle w:val="ListParagraph"/>
        <w:numPr>
          <w:ilvl w:val="0"/>
          <w:numId w:val="19"/>
        </w:numPr>
        <w:jc w:val="both"/>
        <w:rPr>
          <w:lang w:val="en-CA"/>
        </w:rPr>
      </w:pPr>
      <w:commentRangeStart w:id="5"/>
      <w:r w:rsidRPr="007C6F7B">
        <w:rPr>
          <w:lang w:val="en-CA"/>
        </w:rPr>
        <w:t>S</w:t>
      </w:r>
      <w:r w:rsidR="00715A3B">
        <w:rPr>
          <w:lang w:val="en-CA"/>
        </w:rPr>
        <w:t>treamline and s</w:t>
      </w:r>
      <w:r w:rsidRPr="007C6F7B">
        <w:rPr>
          <w:lang w:val="en-CA"/>
        </w:rPr>
        <w:t xml:space="preserve">trengthen the </w:t>
      </w:r>
      <w:r w:rsidR="00924101" w:rsidRPr="007C6F7B">
        <w:rPr>
          <w:lang w:val="en-CA"/>
        </w:rPr>
        <w:t>e</w:t>
      </w:r>
      <w:r w:rsidRPr="007C6F7B">
        <w:rPr>
          <w:lang w:val="en-CA"/>
        </w:rPr>
        <w:t xml:space="preserve">ffectiveness and </w:t>
      </w:r>
      <w:r w:rsidR="00924101" w:rsidRPr="007C6F7B">
        <w:rPr>
          <w:lang w:val="en-CA"/>
        </w:rPr>
        <w:t>c</w:t>
      </w:r>
      <w:r w:rsidRPr="007C6F7B">
        <w:rPr>
          <w:lang w:val="en-CA"/>
        </w:rPr>
        <w:t xml:space="preserve">oherence of </w:t>
      </w:r>
      <w:r w:rsidR="002E1962">
        <w:rPr>
          <w:lang w:val="en-CA"/>
        </w:rPr>
        <w:t xml:space="preserve">the </w:t>
      </w:r>
      <w:r w:rsidR="00924101" w:rsidRPr="007C6F7B">
        <w:rPr>
          <w:lang w:val="en-CA"/>
        </w:rPr>
        <w:t>r</w:t>
      </w:r>
      <w:r w:rsidRPr="007C6F7B">
        <w:rPr>
          <w:lang w:val="en-CA"/>
        </w:rPr>
        <w:t xml:space="preserve">esource </w:t>
      </w:r>
      <w:r w:rsidR="00924101" w:rsidRPr="007C6F7B">
        <w:rPr>
          <w:lang w:val="en-CA"/>
        </w:rPr>
        <w:t>m</w:t>
      </w:r>
      <w:r w:rsidRPr="007C6F7B">
        <w:rPr>
          <w:lang w:val="en-CA"/>
        </w:rPr>
        <w:t>obilization</w:t>
      </w:r>
      <w:r w:rsidR="002526D3">
        <w:rPr>
          <w:lang w:val="en-CA"/>
        </w:rPr>
        <w:t xml:space="preserve"> </w:t>
      </w:r>
      <w:r w:rsidR="00D631D1">
        <w:rPr>
          <w:lang w:val="en-CA"/>
        </w:rPr>
        <w:t xml:space="preserve">system </w:t>
      </w:r>
      <w:r w:rsidR="00657540">
        <w:rPr>
          <w:lang w:val="en-CA"/>
        </w:rPr>
        <w:t xml:space="preserve">for </w:t>
      </w:r>
      <w:r w:rsidR="002C145D">
        <w:rPr>
          <w:lang w:val="en-CA"/>
        </w:rPr>
        <w:t>the TSC mechani</w:t>
      </w:r>
      <w:r w:rsidR="002E1962">
        <w:rPr>
          <w:lang w:val="en-CA"/>
        </w:rPr>
        <w:t>s</w:t>
      </w:r>
      <w:r w:rsidR="002C145D">
        <w:rPr>
          <w:lang w:val="en-CA"/>
        </w:rPr>
        <w:t>m</w:t>
      </w:r>
      <w:commentRangeEnd w:id="5"/>
      <w:r w:rsidR="00593783">
        <w:rPr>
          <w:rStyle w:val="CommentReference"/>
        </w:rPr>
        <w:commentReference w:id="5"/>
      </w:r>
    </w:p>
    <w:p w14:paraId="5A2287E6" w14:textId="4C337CEC" w:rsidR="0026248D" w:rsidRPr="0026248D" w:rsidRDefault="0026248D" w:rsidP="006C6CA1">
      <w:pPr>
        <w:ind w:left="720"/>
        <w:jc w:val="both"/>
        <w:rPr>
          <w:lang w:val="en-CA"/>
        </w:rPr>
      </w:pPr>
      <w:r w:rsidRPr="0026248D">
        <w:rPr>
          <w:lang w:val="en-CA"/>
        </w:rPr>
        <w:t>Improve coordination and align</w:t>
      </w:r>
      <w:r w:rsidR="005F29F2">
        <w:rPr>
          <w:lang w:val="en-CA"/>
        </w:rPr>
        <w:t>ment of</w:t>
      </w:r>
      <w:r w:rsidR="00B5573C">
        <w:rPr>
          <w:lang w:val="en-CA"/>
        </w:rPr>
        <w:t xml:space="preserve"> the</w:t>
      </w:r>
      <w:r w:rsidRPr="0026248D">
        <w:rPr>
          <w:lang w:val="en-CA"/>
        </w:rPr>
        <w:t xml:space="preserve"> resource mobilization </w:t>
      </w:r>
      <w:r w:rsidR="002C50B3">
        <w:rPr>
          <w:lang w:val="en-CA"/>
        </w:rPr>
        <w:t xml:space="preserve">efforts </w:t>
      </w:r>
      <w:r w:rsidRPr="0026248D">
        <w:rPr>
          <w:lang w:val="en-CA"/>
        </w:rPr>
        <w:t>with the mandate, priorities, and work programme of the TSC Mechanism and the Kunming–Montreal Global Biodiversity Framework.</w:t>
      </w:r>
    </w:p>
    <w:p w14:paraId="79C46CE0" w14:textId="10FA6A39" w:rsidR="0026248D" w:rsidRPr="007C6F7B" w:rsidRDefault="006E664E" w:rsidP="0008418D">
      <w:pPr>
        <w:pStyle w:val="ListParagraph"/>
        <w:numPr>
          <w:ilvl w:val="0"/>
          <w:numId w:val="19"/>
        </w:numPr>
        <w:jc w:val="both"/>
        <w:rPr>
          <w:lang w:val="en-CA"/>
        </w:rPr>
      </w:pPr>
      <w:commentRangeStart w:id="6"/>
      <w:r w:rsidRPr="007C6F7B">
        <w:rPr>
          <w:lang w:val="en-CA"/>
        </w:rPr>
        <w:t>Foster</w:t>
      </w:r>
      <w:r w:rsidR="0026248D" w:rsidRPr="007C6F7B">
        <w:rPr>
          <w:lang w:val="en-CA"/>
        </w:rPr>
        <w:t xml:space="preserve"> </w:t>
      </w:r>
      <w:r w:rsidRPr="007C6F7B">
        <w:rPr>
          <w:lang w:val="en-CA"/>
        </w:rPr>
        <w:t>e</w:t>
      </w:r>
      <w:r w:rsidR="0026248D" w:rsidRPr="007C6F7B">
        <w:rPr>
          <w:lang w:val="en-CA"/>
        </w:rPr>
        <w:t xml:space="preserve">quitable </w:t>
      </w:r>
      <w:r w:rsidRPr="007C6F7B">
        <w:rPr>
          <w:lang w:val="en-CA"/>
        </w:rPr>
        <w:t>a</w:t>
      </w:r>
      <w:r w:rsidR="0026248D" w:rsidRPr="007C6F7B">
        <w:rPr>
          <w:lang w:val="en-CA"/>
        </w:rPr>
        <w:t xml:space="preserve">ccess to </w:t>
      </w:r>
      <w:r w:rsidRPr="007C6F7B">
        <w:rPr>
          <w:lang w:val="en-CA"/>
        </w:rPr>
        <w:t>r</w:t>
      </w:r>
      <w:r w:rsidR="0026248D" w:rsidRPr="007C6F7B">
        <w:rPr>
          <w:lang w:val="en-CA"/>
        </w:rPr>
        <w:t xml:space="preserve">esources </w:t>
      </w:r>
      <w:r w:rsidRPr="007C6F7B">
        <w:rPr>
          <w:lang w:val="en-CA"/>
        </w:rPr>
        <w:t>a</w:t>
      </w:r>
      <w:r w:rsidR="0026248D" w:rsidRPr="007C6F7B">
        <w:rPr>
          <w:lang w:val="en-CA"/>
        </w:rPr>
        <w:t xml:space="preserve">cross TSCCs and </w:t>
      </w:r>
      <w:r w:rsidRPr="007C6F7B">
        <w:rPr>
          <w:lang w:val="en-CA"/>
        </w:rPr>
        <w:t>regions</w:t>
      </w:r>
      <w:commentRangeEnd w:id="6"/>
      <w:r w:rsidR="00593783">
        <w:rPr>
          <w:rStyle w:val="CommentReference"/>
        </w:rPr>
        <w:commentReference w:id="6"/>
      </w:r>
    </w:p>
    <w:p w14:paraId="6B5BFCA6" w14:textId="1050E7AB" w:rsidR="006C4C82" w:rsidRDefault="0026248D" w:rsidP="0008418D">
      <w:pPr>
        <w:ind w:left="720"/>
        <w:jc w:val="both"/>
        <w:rPr>
          <w:lang w:val="en-CA"/>
        </w:rPr>
      </w:pPr>
      <w:r w:rsidRPr="0026248D">
        <w:rPr>
          <w:lang w:val="en-CA"/>
        </w:rPr>
        <w:t>Address structural disparities in access to funding by supporting TSCCs</w:t>
      </w:r>
      <w:r w:rsidR="00B46369">
        <w:rPr>
          <w:lang w:val="en-CA"/>
        </w:rPr>
        <w:t xml:space="preserve">, </w:t>
      </w:r>
      <w:r w:rsidRPr="0026248D">
        <w:rPr>
          <w:lang w:val="en-CA"/>
        </w:rPr>
        <w:t>particularly in developing regions</w:t>
      </w:r>
      <w:r w:rsidR="00B46369">
        <w:rPr>
          <w:lang w:val="en-CA"/>
        </w:rPr>
        <w:t xml:space="preserve">, </w:t>
      </w:r>
      <w:r w:rsidRPr="0026248D">
        <w:rPr>
          <w:lang w:val="en-CA"/>
        </w:rPr>
        <w:t>with coordinated approaches, shared tools, and targeted donor engagement</w:t>
      </w:r>
      <w:r w:rsidR="00A50487">
        <w:rPr>
          <w:lang w:val="en-CA"/>
        </w:rPr>
        <w:t>.</w:t>
      </w:r>
    </w:p>
    <w:p w14:paraId="4ECB208A" w14:textId="77777777" w:rsidR="002E4126" w:rsidRDefault="00021788" w:rsidP="00C1181D">
      <w:pPr>
        <w:ind w:left="360"/>
        <w:jc w:val="both"/>
      </w:pPr>
      <w:commentRangeStart w:id="7"/>
      <w:r>
        <w:t xml:space="preserve">The </w:t>
      </w:r>
      <w:r w:rsidRPr="00021788">
        <w:t xml:space="preserve">TSCCs </w:t>
      </w:r>
      <w:commentRangeEnd w:id="7"/>
      <w:r w:rsidR="00EF01A1">
        <w:rPr>
          <w:rStyle w:val="CommentReference"/>
        </w:rPr>
        <w:commentReference w:id="7"/>
      </w:r>
      <w:r w:rsidRPr="00021788">
        <w:t xml:space="preserve">have already made </w:t>
      </w:r>
      <w:r w:rsidR="00B76F57">
        <w:t>some</w:t>
      </w:r>
      <w:r w:rsidRPr="00021788">
        <w:t xml:space="preserve"> investments </w:t>
      </w:r>
      <w:r w:rsidR="00432C8A">
        <w:t>through</w:t>
      </w:r>
      <w:r w:rsidRPr="00021788">
        <w:t xml:space="preserve"> their host institutions to </w:t>
      </w:r>
      <w:r w:rsidR="00C9763E">
        <w:t>undertake</w:t>
      </w:r>
      <w:r w:rsidRPr="00021788">
        <w:t xml:space="preserve"> initial </w:t>
      </w:r>
      <w:r w:rsidR="00AE3289" w:rsidRPr="00021788">
        <w:t xml:space="preserve">governance, </w:t>
      </w:r>
      <w:r w:rsidRPr="00021788">
        <w:t>coordination</w:t>
      </w:r>
      <w:r w:rsidR="00AE3289">
        <w:t xml:space="preserve"> </w:t>
      </w:r>
      <w:r w:rsidRPr="00021788">
        <w:t xml:space="preserve">and operational functions. While these contributions have laid a </w:t>
      </w:r>
      <w:r w:rsidR="00DB2931">
        <w:t>good</w:t>
      </w:r>
      <w:r w:rsidRPr="00021788">
        <w:t xml:space="preserve"> foundation, additional resources are required to enable the TSCCs to fully discharge their mandates, sustain service delivery, and realize their full potential. </w:t>
      </w:r>
    </w:p>
    <w:p w14:paraId="7AD3D3A7" w14:textId="7B36E6EA" w:rsidR="00021788" w:rsidRDefault="00021788" w:rsidP="00C1181D">
      <w:pPr>
        <w:ind w:left="360"/>
        <w:jc w:val="both"/>
      </w:pPr>
      <w:r w:rsidRPr="00021788">
        <w:t xml:space="preserve">This </w:t>
      </w:r>
      <w:r w:rsidR="00C1181D">
        <w:t>s</w:t>
      </w:r>
      <w:r w:rsidRPr="00021788">
        <w:t>trateg</w:t>
      </w:r>
      <w:r w:rsidR="00AC4ABE">
        <w:rPr>
          <w:rFonts w:eastAsia="Malgun Gothic" w:hint="eastAsia"/>
        </w:rPr>
        <w:t>ic plan</w:t>
      </w:r>
      <w:r w:rsidRPr="00021788">
        <w:t xml:space="preserve"> focuses on enabling the mobilization of </w:t>
      </w:r>
      <w:r w:rsidR="00490B06">
        <w:t>two</w:t>
      </w:r>
      <w:r w:rsidRPr="00021788">
        <w:t xml:space="preserve"> categories of resources:</w:t>
      </w:r>
    </w:p>
    <w:p w14:paraId="5189A2E1" w14:textId="4F36C949" w:rsidR="00B362DB" w:rsidRPr="007F09F7" w:rsidRDefault="00C5660D" w:rsidP="00490B06">
      <w:pPr>
        <w:pStyle w:val="ListParagraph"/>
        <w:numPr>
          <w:ilvl w:val="0"/>
          <w:numId w:val="33"/>
        </w:numPr>
        <w:rPr>
          <w:b/>
          <w:bCs/>
        </w:rPr>
      </w:pPr>
      <w:r w:rsidRPr="007F09F7">
        <w:rPr>
          <w:b/>
          <w:bCs/>
        </w:rPr>
        <w:t>Financial resources</w:t>
      </w:r>
    </w:p>
    <w:p w14:paraId="220920B0" w14:textId="0D7E78D3" w:rsidR="001A59D6" w:rsidRPr="00A56A26" w:rsidRDefault="009F0344" w:rsidP="001A59D6">
      <w:pPr>
        <w:pStyle w:val="ListParagraph"/>
        <w:numPr>
          <w:ilvl w:val="0"/>
          <w:numId w:val="5"/>
        </w:numPr>
        <w:rPr>
          <w:b/>
          <w:bCs/>
        </w:rPr>
      </w:pPr>
      <w:r w:rsidRPr="007C6F7B">
        <w:t>Project</w:t>
      </w:r>
      <w:r w:rsidRPr="007C6F7B">
        <w:noBreakHyphen/>
      </w:r>
      <w:r w:rsidR="002D0B11">
        <w:t>b</w:t>
      </w:r>
      <w:r w:rsidRPr="007C6F7B">
        <w:t xml:space="preserve">ased </w:t>
      </w:r>
      <w:r w:rsidR="007E3EEB" w:rsidRPr="007C6F7B">
        <w:t>funding</w:t>
      </w:r>
      <w:r w:rsidRPr="007C6F7B">
        <w:t>:</w:t>
      </w:r>
      <w:r w:rsidR="00D77D50">
        <w:t xml:space="preserve"> </w:t>
      </w:r>
      <w:r>
        <w:t>the most common way development assistance is delivered. These refer to time</w:t>
      </w:r>
      <w:r w:rsidRPr="006373ED">
        <w:rPr>
          <w:rFonts w:ascii="Cambria Math" w:hAnsi="Cambria Math" w:cs="Cambria Math"/>
        </w:rPr>
        <w:t>‑</w:t>
      </w:r>
      <w:r w:rsidRPr="00FF4FFD">
        <w:t>bound, earmarked financial resources provided to implement a specific project with defined objectives, activities, budget, and duration</w:t>
      </w:r>
      <w:r>
        <w:t>.</w:t>
      </w:r>
    </w:p>
    <w:p w14:paraId="77A57074" w14:textId="103728B3" w:rsidR="00A56A26" w:rsidRPr="00A56A26" w:rsidRDefault="00A56A26" w:rsidP="00A56A26">
      <w:pPr>
        <w:pStyle w:val="ListParagraph"/>
        <w:numPr>
          <w:ilvl w:val="0"/>
          <w:numId w:val="5"/>
        </w:numPr>
        <w:rPr>
          <w:b/>
          <w:bCs/>
        </w:rPr>
      </w:pPr>
      <w:r w:rsidRPr="007C6F7B">
        <w:lastRenderedPageBreak/>
        <w:t>Programmatic and thematic funding:</w:t>
      </w:r>
      <w:r w:rsidR="00D622B2">
        <w:t xml:space="preserve"> </w:t>
      </w:r>
      <w:r w:rsidRPr="003E43B1">
        <w:t xml:space="preserve">enable </w:t>
      </w:r>
      <w:r w:rsidR="00546B83" w:rsidRPr="003E43B1">
        <w:t>sustained</w:t>
      </w:r>
      <w:r w:rsidRPr="003E43B1">
        <w:t xml:space="preserve"> long-term engagement through thematic, regional, or multi-country </w:t>
      </w:r>
      <w:proofErr w:type="spellStart"/>
      <w:r w:rsidRPr="003E43B1">
        <w:t>programmes</w:t>
      </w:r>
      <w:proofErr w:type="spellEnd"/>
      <w:r w:rsidRPr="003E43B1">
        <w:t xml:space="preserve"> aligned with KMGBF targets. This allows TSCCs to move beyond ad hoc interventions toward a structured, programmatic approach that fosters regional partnerships and delivers large-scale initiatives addressing systemic scientific and technological gaps.</w:t>
      </w:r>
    </w:p>
    <w:p w14:paraId="66F8E322" w14:textId="4FADAB9F" w:rsidR="009F0344" w:rsidRPr="001A59D6" w:rsidRDefault="009F0344" w:rsidP="001A59D6">
      <w:pPr>
        <w:pStyle w:val="ListParagraph"/>
        <w:numPr>
          <w:ilvl w:val="0"/>
          <w:numId w:val="5"/>
        </w:numPr>
        <w:rPr>
          <w:b/>
          <w:bCs/>
        </w:rPr>
      </w:pPr>
      <w:r w:rsidRPr="007C6F7B">
        <w:t xml:space="preserve">Core </w:t>
      </w:r>
      <w:r w:rsidR="00A56A26" w:rsidRPr="007C6F7B">
        <w:t>funding</w:t>
      </w:r>
      <w:r w:rsidRPr="007C6F7B">
        <w:t>:</w:t>
      </w:r>
      <w:r w:rsidR="00D622B2">
        <w:t xml:space="preserve"> </w:t>
      </w:r>
      <w:r w:rsidRPr="003E43B1">
        <w:t>support the coordination, governance, and essential operational functions of the TSCCs. This funding enables each center to fulfill its mandate by maintaining the staff, systems, and infrastructure required to identify regional needs and manage requests from Parties.</w:t>
      </w:r>
      <w:r>
        <w:rPr>
          <w:rFonts w:hint="eastAsia"/>
        </w:rPr>
        <w:t xml:space="preserve"> </w:t>
      </w:r>
    </w:p>
    <w:p w14:paraId="49A0EE30" w14:textId="77777777" w:rsidR="00490B06" w:rsidRDefault="00490B06" w:rsidP="007F09F7">
      <w:pPr>
        <w:pStyle w:val="ListParagraph"/>
        <w:jc w:val="both"/>
        <w:rPr>
          <w:b/>
          <w:bCs/>
        </w:rPr>
      </w:pPr>
    </w:p>
    <w:p w14:paraId="5D396493" w14:textId="1A4B3EE5" w:rsidR="0039775D" w:rsidRPr="009542A4" w:rsidRDefault="009542A4" w:rsidP="00490B06">
      <w:pPr>
        <w:pStyle w:val="ListParagraph"/>
        <w:numPr>
          <w:ilvl w:val="0"/>
          <w:numId w:val="33"/>
        </w:numPr>
        <w:jc w:val="both"/>
        <w:rPr>
          <w:b/>
          <w:bCs/>
        </w:rPr>
      </w:pPr>
      <w:commentRangeStart w:id="8"/>
      <w:r w:rsidRPr="009542A4">
        <w:rPr>
          <w:b/>
          <w:bCs/>
        </w:rPr>
        <w:t>Non-financial resources</w:t>
      </w:r>
      <w:commentRangeEnd w:id="8"/>
      <w:r w:rsidR="00296DE7">
        <w:rPr>
          <w:rStyle w:val="CommentReference"/>
        </w:rPr>
        <w:commentReference w:id="8"/>
      </w:r>
    </w:p>
    <w:p w14:paraId="7FA96682" w14:textId="24E72B61" w:rsidR="0039775D" w:rsidRPr="00107624" w:rsidRDefault="00B362DB" w:rsidP="00107624">
      <w:pPr>
        <w:pStyle w:val="ListParagraph"/>
        <w:numPr>
          <w:ilvl w:val="0"/>
          <w:numId w:val="5"/>
        </w:numPr>
        <w:rPr>
          <w:b/>
          <w:bCs/>
        </w:rPr>
      </w:pPr>
      <w:r w:rsidRPr="007C6F7B">
        <w:t>In</w:t>
      </w:r>
      <w:r w:rsidRPr="007C6F7B">
        <w:noBreakHyphen/>
      </w:r>
      <w:r w:rsidR="001042C0">
        <w:t>k</w:t>
      </w:r>
      <w:r w:rsidRPr="007C6F7B">
        <w:t xml:space="preserve">ind </w:t>
      </w:r>
      <w:r w:rsidR="001042C0">
        <w:t>c</w:t>
      </w:r>
      <w:r w:rsidRPr="007C6F7B">
        <w:t>ontributions</w:t>
      </w:r>
      <w:r w:rsidRPr="009D2D86">
        <w:t>:</w:t>
      </w:r>
      <w:r w:rsidR="00790949">
        <w:t xml:space="preserve"> </w:t>
      </w:r>
      <w:r w:rsidRPr="00A65409">
        <w:t>include technical expertise</w:t>
      </w:r>
      <w:r w:rsidR="006C0EBB">
        <w:t>/</w:t>
      </w:r>
      <w:r w:rsidRPr="00A65409">
        <w:t xml:space="preserve"> human resources, </w:t>
      </w:r>
      <w:r w:rsidR="006C0EBB">
        <w:t xml:space="preserve">technologies, </w:t>
      </w:r>
      <w:r w:rsidRPr="00A65409">
        <w:t>and access to data and information services. Examples include secondments of experts and specialized staff to support TSCC operations, provision of scientific data, tools</w:t>
      </w:r>
      <w:r w:rsidR="00655020">
        <w:t xml:space="preserve"> and technologies</w:t>
      </w:r>
      <w:r w:rsidRPr="00A65409">
        <w:t xml:space="preserve">, as well as </w:t>
      </w:r>
      <w:r w:rsidR="00095E7E">
        <w:t xml:space="preserve">facilitation of access to </w:t>
      </w:r>
      <w:r w:rsidRPr="00A65409">
        <w:t>capacity development opportunities.</w:t>
      </w:r>
    </w:p>
    <w:p w14:paraId="4E0B844C" w14:textId="2CBA1E16" w:rsidR="0013238A" w:rsidRPr="0013238A" w:rsidRDefault="00515E6D" w:rsidP="00956C87">
      <w:pPr>
        <w:jc w:val="both"/>
      </w:pPr>
      <w:r w:rsidRPr="00956C87">
        <w:rPr>
          <w:rFonts w:hint="eastAsia"/>
          <w:b/>
          <w:bCs/>
        </w:rPr>
        <w:t xml:space="preserve">Value </w:t>
      </w:r>
      <w:r w:rsidR="00795B4D" w:rsidRPr="00956C87">
        <w:rPr>
          <w:b/>
          <w:bCs/>
        </w:rPr>
        <w:t>p</w:t>
      </w:r>
      <w:r w:rsidRPr="00956C87">
        <w:rPr>
          <w:rFonts w:hint="eastAsia"/>
          <w:b/>
          <w:bCs/>
        </w:rPr>
        <w:t>roposition</w:t>
      </w:r>
      <w:r w:rsidR="00C806C4" w:rsidRPr="00956C87">
        <w:rPr>
          <w:rFonts w:hint="eastAsia"/>
          <w:b/>
          <w:bCs/>
        </w:rPr>
        <w:t xml:space="preserve"> </w:t>
      </w:r>
    </w:p>
    <w:p w14:paraId="3C4D35CC" w14:textId="4D96DA48" w:rsidR="0013238A" w:rsidRDefault="0013238A" w:rsidP="00340D05">
      <w:pPr>
        <w:jc w:val="both"/>
      </w:pPr>
      <w:r>
        <w:t>Th</w:t>
      </w:r>
      <w:r w:rsidR="00795B4D">
        <w:t>e TSC Mechanism</w:t>
      </w:r>
      <w:r>
        <w:t xml:space="preserve"> occupies a unique position as </w:t>
      </w:r>
      <w:r w:rsidR="00795B4D">
        <w:t>a</w:t>
      </w:r>
      <w:r w:rsidR="00C7292D">
        <w:t xml:space="preserve">n </w:t>
      </w:r>
      <w:r w:rsidR="00593563">
        <w:t>official means of implementation</w:t>
      </w:r>
      <w:r>
        <w:t xml:space="preserve"> </w:t>
      </w:r>
      <w:r w:rsidR="00C23B96">
        <w:t>for the Kunming-Mont</w:t>
      </w:r>
      <w:r w:rsidR="002567E1">
        <w:t>real Global Biodiversity Framework</w:t>
      </w:r>
      <w:r w:rsidR="00C069D4">
        <w:t xml:space="preserve"> </w:t>
      </w:r>
      <w:r w:rsidR="00A918AF">
        <w:t xml:space="preserve">and </w:t>
      </w:r>
      <w:r w:rsidR="00C069D4">
        <w:t>the Convention</w:t>
      </w:r>
      <w:r w:rsidR="00A918AF">
        <w:t xml:space="preserve"> and its Protocols</w:t>
      </w:r>
      <w:r>
        <w:rPr>
          <w:rFonts w:hint="eastAsia"/>
        </w:rPr>
        <w:t xml:space="preserve">. </w:t>
      </w:r>
      <w:r w:rsidR="00063FB5">
        <w:t>T</w:t>
      </w:r>
      <w:r>
        <w:t>he</w:t>
      </w:r>
      <w:r w:rsidR="00E752D1">
        <w:t xml:space="preserve"> Mechanism</w:t>
      </w:r>
      <w:r w:rsidR="00021A81">
        <w:t xml:space="preserve"> is designed</w:t>
      </w:r>
      <w:r w:rsidR="00AA61A9">
        <w:rPr>
          <w:rFonts w:hint="eastAsia"/>
        </w:rPr>
        <w:t xml:space="preserve"> to</w:t>
      </w:r>
      <w:r>
        <w:t xml:space="preserve"> provide a long-term, programmatic approach to </w:t>
      </w:r>
      <w:r w:rsidR="00021A81">
        <w:t>address</w:t>
      </w:r>
      <w:r w:rsidR="003F05E6">
        <w:t>ing</w:t>
      </w:r>
      <w:r>
        <w:t xml:space="preserve"> the </w:t>
      </w:r>
      <w:r w:rsidR="00AB3527">
        <w:rPr>
          <w:rFonts w:hint="eastAsia"/>
        </w:rPr>
        <w:t xml:space="preserve">technical and </w:t>
      </w:r>
      <w:r>
        <w:t xml:space="preserve">scientific </w:t>
      </w:r>
      <w:r w:rsidR="00674E33">
        <w:t>capa</w:t>
      </w:r>
      <w:r w:rsidR="00155067">
        <w:t xml:space="preserve">bility </w:t>
      </w:r>
      <w:commentRangeStart w:id="9"/>
      <w:r>
        <w:t xml:space="preserve">gaps </w:t>
      </w:r>
      <w:commentRangeEnd w:id="9"/>
      <w:r w:rsidR="00296DE7">
        <w:rPr>
          <w:rStyle w:val="CommentReference"/>
        </w:rPr>
        <w:commentReference w:id="9"/>
      </w:r>
      <w:r>
        <w:t>of Parties</w:t>
      </w:r>
      <w:r>
        <w:rPr>
          <w:rFonts w:hint="eastAsia"/>
        </w:rPr>
        <w:t xml:space="preserve">. </w:t>
      </w:r>
    </w:p>
    <w:p w14:paraId="44F1F679" w14:textId="57A20352" w:rsidR="00F24FB2" w:rsidRDefault="00B13B57" w:rsidP="00340D05">
      <w:pPr>
        <w:jc w:val="both"/>
      </w:pPr>
      <w:r>
        <w:t>An</w:t>
      </w:r>
      <w:r w:rsidR="00D94038">
        <w:t xml:space="preserve">other </w:t>
      </w:r>
      <w:r w:rsidR="004742DE">
        <w:t>un</w:t>
      </w:r>
      <w:r w:rsidR="00D94038">
        <w:t>ique</w:t>
      </w:r>
      <w:r>
        <w:t xml:space="preserve"> </w:t>
      </w:r>
      <w:r w:rsidR="00F24FB2" w:rsidRPr="00F24FB2">
        <w:t xml:space="preserve">advantage </w:t>
      </w:r>
      <w:r>
        <w:t xml:space="preserve">of the TSC Mechanism </w:t>
      </w:r>
      <w:r w:rsidR="00D94038">
        <w:t>is</w:t>
      </w:r>
      <w:r w:rsidR="00650509">
        <w:t xml:space="preserve"> </w:t>
      </w:r>
      <w:r w:rsidR="00FD3464">
        <w:t>its</w:t>
      </w:r>
      <w:r w:rsidR="00F24FB2" w:rsidRPr="00F24FB2">
        <w:t xml:space="preserve"> demand-driven and regionally anchored approach, enabling TSCCs to deliver context-specific support in response to </w:t>
      </w:r>
      <w:r w:rsidR="004005EB">
        <w:t>needs identified by the Parties</w:t>
      </w:r>
      <w:r w:rsidR="00F24FB2" w:rsidRPr="00F24FB2">
        <w:t>. Its added value also stems from its role as a coordination hub</w:t>
      </w:r>
      <w:r>
        <w:t xml:space="preserve">, </w:t>
      </w:r>
      <w:r w:rsidR="00F24FB2" w:rsidRPr="00F24FB2">
        <w:t>reducing duplication, aligning stakeholders with shared interests, and directing resources toward the verified priorities of developing country Parties.</w:t>
      </w:r>
      <w:r w:rsidR="003E2770">
        <w:rPr>
          <w:rFonts w:hint="eastAsia"/>
        </w:rPr>
        <w:t xml:space="preserve"> </w:t>
      </w:r>
      <w:r w:rsidR="008B6AA1">
        <w:t>Therefore, the TSC mechanism</w:t>
      </w:r>
      <w:r w:rsidR="00411DA3">
        <w:t xml:space="preserve"> offers multiple be</w:t>
      </w:r>
      <w:r w:rsidR="000C50B0">
        <w:t xml:space="preserve">nefits </w:t>
      </w:r>
      <w:r w:rsidR="00BE3E7E">
        <w:t xml:space="preserve">for Parties, </w:t>
      </w:r>
      <w:r w:rsidR="00A24A69" w:rsidRPr="00A24A69">
        <w:t>implementing partners</w:t>
      </w:r>
      <w:r w:rsidR="00A24A69" w:rsidRPr="00A24A69">
        <w:rPr>
          <w:rFonts w:hint="eastAsia"/>
        </w:rPr>
        <w:t xml:space="preserve"> </w:t>
      </w:r>
      <w:r w:rsidR="00A24A69">
        <w:t>and donors</w:t>
      </w:r>
      <w:r w:rsidR="00873483">
        <w:t xml:space="preserve">. </w:t>
      </w:r>
      <w:r w:rsidR="00A24A69">
        <w:t xml:space="preserve"> </w:t>
      </w:r>
    </w:p>
    <w:p w14:paraId="44398D5C" w14:textId="17DE227B" w:rsidR="00FF3463" w:rsidRDefault="00FF3463" w:rsidP="00D53B24">
      <w:pPr>
        <w:spacing w:after="0"/>
        <w:ind w:left="357"/>
        <w:jc w:val="both"/>
      </w:pPr>
      <w:r w:rsidRPr="00FF3463">
        <w:t xml:space="preserve">For implementing partners, technical agencies, </w:t>
      </w:r>
      <w:r w:rsidR="00610760" w:rsidRPr="00FF3463">
        <w:t xml:space="preserve">NGOs, </w:t>
      </w:r>
      <w:r w:rsidR="00610760">
        <w:t xml:space="preserve">and other organizations </w:t>
      </w:r>
      <w:commentRangeStart w:id="10"/>
      <w:r w:rsidRPr="00FF3463">
        <w:t xml:space="preserve">engagement </w:t>
      </w:r>
      <w:commentRangeEnd w:id="10"/>
      <w:r w:rsidR="00857832">
        <w:rPr>
          <w:rStyle w:val="CommentReference"/>
        </w:rPr>
        <w:commentReference w:id="10"/>
      </w:r>
      <w:r w:rsidRPr="00FF3463">
        <w:t>with the</w:t>
      </w:r>
      <w:r w:rsidR="00D53B24">
        <w:t xml:space="preserve"> </w:t>
      </w:r>
      <w:r w:rsidRPr="00FF3463">
        <w:t>TSC</w:t>
      </w:r>
      <w:r w:rsidR="005C708D">
        <w:t xml:space="preserve"> </w:t>
      </w:r>
      <w:r w:rsidR="00B75FDC">
        <w:t>Mechanism</w:t>
      </w:r>
      <w:r w:rsidRPr="00FF3463">
        <w:t xml:space="preserve"> offers</w:t>
      </w:r>
      <w:r w:rsidR="00D5677A">
        <w:t xml:space="preserve">, </w:t>
      </w:r>
      <w:r w:rsidR="00D5677A" w:rsidRPr="00D5677A">
        <w:rPr>
          <w:i/>
          <w:iCs/>
        </w:rPr>
        <w:t>inter alia</w:t>
      </w:r>
      <w:r w:rsidR="00D5677A">
        <w:t>,</w:t>
      </w:r>
      <w:r w:rsidRPr="00FF3463">
        <w:t xml:space="preserve"> </w:t>
      </w:r>
      <w:r w:rsidR="009B121F">
        <w:t>the following</w:t>
      </w:r>
      <w:r w:rsidR="00610760">
        <w:t xml:space="preserve"> </w:t>
      </w:r>
      <w:r w:rsidRPr="00FF3463">
        <w:t>strategic benefits:</w:t>
      </w:r>
    </w:p>
    <w:p w14:paraId="04A2969A" w14:textId="0A0E10F2" w:rsidR="00F17A61" w:rsidRDefault="00F17A61" w:rsidP="00CD7E31">
      <w:pPr>
        <w:pStyle w:val="ListParagraph"/>
        <w:numPr>
          <w:ilvl w:val="1"/>
          <w:numId w:val="29"/>
        </w:numPr>
        <w:jc w:val="both"/>
      </w:pPr>
      <w:r w:rsidRPr="007C6F7B">
        <w:rPr>
          <w:rFonts w:hint="eastAsia"/>
        </w:rPr>
        <w:t>Visibility</w:t>
      </w:r>
      <w:r w:rsidR="00130EAE" w:rsidRPr="007C6F7B">
        <w:rPr>
          <w:rFonts w:hint="eastAsia"/>
        </w:rPr>
        <w:t xml:space="preserve"> and </w:t>
      </w:r>
      <w:r w:rsidR="00650C55" w:rsidRPr="007C6F7B">
        <w:t>r</w:t>
      </w:r>
      <w:r w:rsidR="00130EAE" w:rsidRPr="007C6F7B">
        <w:rPr>
          <w:rFonts w:hint="eastAsia"/>
        </w:rPr>
        <w:t>ecognition</w:t>
      </w:r>
      <w:r w:rsidRPr="009D2D86">
        <w:rPr>
          <w:rFonts w:hint="eastAsia"/>
          <w:b/>
          <w:bCs/>
        </w:rPr>
        <w:t>:</w:t>
      </w:r>
      <w:r>
        <w:rPr>
          <w:rFonts w:hint="eastAsia"/>
        </w:rPr>
        <w:t xml:space="preserve"> </w:t>
      </w:r>
      <w:r w:rsidR="00F75B16">
        <w:t>a</w:t>
      </w:r>
      <w:r w:rsidR="00BB2534">
        <w:rPr>
          <w:rFonts w:hint="eastAsia"/>
        </w:rPr>
        <w:t xml:space="preserve">s </w:t>
      </w:r>
      <w:r w:rsidR="00F96AEF" w:rsidRPr="00F17A61">
        <w:rPr>
          <w:rFonts w:asciiTheme="majorHAnsi" w:eastAsia="Times New Roman" w:hAnsiTheme="majorHAnsi" w:cs="Times New Roman"/>
          <w:kern w:val="0"/>
          <w14:ligatures w14:val="none"/>
        </w:rPr>
        <w:t xml:space="preserve">TSCCs </w:t>
      </w:r>
      <w:r w:rsidR="00F96AEF">
        <w:rPr>
          <w:rFonts w:asciiTheme="majorHAnsi" w:hAnsiTheme="majorHAnsi" w:cs="Times New Roman" w:hint="eastAsia"/>
          <w:kern w:val="0"/>
          <w14:ligatures w14:val="none"/>
        </w:rPr>
        <w:t xml:space="preserve">are mandated to report </w:t>
      </w:r>
      <w:r w:rsidR="00733E04">
        <w:rPr>
          <w:rFonts w:asciiTheme="majorHAnsi" w:hAnsiTheme="majorHAnsi" w:cs="Times New Roman"/>
          <w:kern w:val="0"/>
          <w14:ligatures w14:val="none"/>
        </w:rPr>
        <w:t>their</w:t>
      </w:r>
      <w:r w:rsidR="00BB2534">
        <w:rPr>
          <w:rFonts w:asciiTheme="majorHAnsi" w:hAnsiTheme="majorHAnsi" w:cs="Times New Roman" w:hint="eastAsia"/>
          <w:kern w:val="0"/>
          <w14:ligatures w14:val="none"/>
        </w:rPr>
        <w:t xml:space="preserve"> progress and achievements directly to the </w:t>
      </w:r>
      <w:r w:rsidR="00F96AEF" w:rsidRPr="00F17A61">
        <w:rPr>
          <w:rFonts w:asciiTheme="majorHAnsi" w:eastAsia="Times New Roman" w:hAnsiTheme="majorHAnsi" w:cs="Times New Roman"/>
          <w:kern w:val="0"/>
          <w14:ligatures w14:val="none"/>
        </w:rPr>
        <w:t>COP</w:t>
      </w:r>
      <w:r w:rsidR="00BB2534">
        <w:rPr>
          <w:rFonts w:asciiTheme="majorHAnsi" w:hAnsiTheme="majorHAnsi" w:cs="Times New Roman" w:hint="eastAsia"/>
          <w:kern w:val="0"/>
          <w14:ligatures w14:val="none"/>
        </w:rPr>
        <w:t xml:space="preserve">, </w:t>
      </w:r>
      <w:r w:rsidR="00A140C9">
        <w:rPr>
          <w:rFonts w:asciiTheme="majorHAnsi" w:hAnsiTheme="majorHAnsi" w:cs="Times New Roman" w:hint="eastAsia"/>
          <w:kern w:val="0"/>
          <w14:ligatures w14:val="none"/>
        </w:rPr>
        <w:t xml:space="preserve">partners </w:t>
      </w:r>
      <w:r w:rsidR="00DF1E37" w:rsidRPr="00DF1E37">
        <w:rPr>
          <w:rFonts w:asciiTheme="majorHAnsi" w:hAnsiTheme="majorHAnsi" w:cs="Times New Roman"/>
          <w:kern w:val="0"/>
          <w14:ligatures w14:val="none"/>
        </w:rPr>
        <w:t xml:space="preserve">benefit from enhanced global visibility and recognition for their contributions to </w:t>
      </w:r>
      <w:r w:rsidR="00D46609">
        <w:rPr>
          <w:rFonts w:asciiTheme="majorHAnsi" w:hAnsiTheme="majorHAnsi" w:cs="Times New Roman"/>
          <w:kern w:val="0"/>
          <w14:ligatures w14:val="none"/>
        </w:rPr>
        <w:t>the KMGBF</w:t>
      </w:r>
      <w:r w:rsidR="00DF1E37" w:rsidRPr="00DF1E37">
        <w:rPr>
          <w:rFonts w:asciiTheme="majorHAnsi" w:hAnsiTheme="majorHAnsi" w:cs="Times New Roman"/>
          <w:kern w:val="0"/>
          <w14:ligatures w14:val="none"/>
        </w:rPr>
        <w:t>.</w:t>
      </w:r>
    </w:p>
    <w:p w14:paraId="6270ED73" w14:textId="58D29351" w:rsidR="00F17A61" w:rsidRDefault="002A063A" w:rsidP="00CD7E31">
      <w:pPr>
        <w:pStyle w:val="ListParagraph"/>
        <w:numPr>
          <w:ilvl w:val="1"/>
          <w:numId w:val="29"/>
        </w:numPr>
        <w:jc w:val="both"/>
      </w:pPr>
      <w:r w:rsidRPr="007C6F7B">
        <w:rPr>
          <w:rFonts w:hint="eastAsia"/>
        </w:rPr>
        <w:t xml:space="preserve">Enhanced </w:t>
      </w:r>
      <w:r w:rsidR="00650C55" w:rsidRPr="007C6F7B">
        <w:t>o</w:t>
      </w:r>
      <w:r w:rsidRPr="007C6F7B">
        <w:rPr>
          <w:rFonts w:hint="eastAsia"/>
        </w:rPr>
        <w:t xml:space="preserve">perational </w:t>
      </w:r>
      <w:r w:rsidR="00650C55" w:rsidRPr="007C6F7B">
        <w:t>e</w:t>
      </w:r>
      <w:r w:rsidR="00F96AEF" w:rsidRPr="007C6F7B">
        <w:rPr>
          <w:rFonts w:hint="eastAsia"/>
        </w:rPr>
        <w:t>fficiency</w:t>
      </w:r>
      <w:r w:rsidR="00F96AEF" w:rsidRPr="009D2D86">
        <w:rPr>
          <w:rFonts w:hint="eastAsia"/>
          <w:b/>
          <w:bCs/>
        </w:rPr>
        <w:t>:</w:t>
      </w:r>
      <w:r w:rsidR="00F96AEF">
        <w:rPr>
          <w:rFonts w:hint="eastAsia"/>
        </w:rPr>
        <w:t xml:space="preserve"> </w:t>
      </w:r>
      <w:r w:rsidR="00F75B16">
        <w:t>a</w:t>
      </w:r>
      <w:r w:rsidR="003813D4" w:rsidRPr="003813D4">
        <w:t xml:space="preserve">cting as regional coordination hubs, TSCCs facilitate </w:t>
      </w:r>
      <w:r w:rsidR="00D46609">
        <w:t>cooperation</w:t>
      </w:r>
      <w:r w:rsidR="003813D4" w:rsidRPr="003813D4">
        <w:t xml:space="preserve"> among stakeholders, reducing the time and resources required for partners to identify suitable collaborations and projects.</w:t>
      </w:r>
    </w:p>
    <w:p w14:paraId="35D882AD" w14:textId="12269558" w:rsidR="007422A9" w:rsidRPr="000B2A0E" w:rsidRDefault="00650C55" w:rsidP="00CD7E31">
      <w:pPr>
        <w:pStyle w:val="ListParagraph"/>
        <w:numPr>
          <w:ilvl w:val="1"/>
          <w:numId w:val="29"/>
        </w:numPr>
        <w:jc w:val="both"/>
      </w:pPr>
      <w:r w:rsidRPr="007C6F7B">
        <w:t>Relevance and s</w:t>
      </w:r>
      <w:r w:rsidR="00440CDC" w:rsidRPr="007C6F7B">
        <w:rPr>
          <w:rFonts w:hint="eastAsia"/>
        </w:rPr>
        <w:t xml:space="preserve">ustainability through </w:t>
      </w:r>
      <w:r w:rsidR="00C833DC" w:rsidRPr="007C6F7B">
        <w:rPr>
          <w:rFonts w:hint="eastAsia"/>
        </w:rPr>
        <w:t>National Focal Point Connection</w:t>
      </w:r>
      <w:r w:rsidR="00514D6E" w:rsidRPr="007C6F7B">
        <w:rPr>
          <w:rFonts w:hint="eastAsia"/>
        </w:rPr>
        <w:t>s</w:t>
      </w:r>
      <w:r w:rsidR="00C833DC" w:rsidRPr="007C6F7B">
        <w:rPr>
          <w:rFonts w:hint="eastAsia"/>
        </w:rPr>
        <w:t>:</w:t>
      </w:r>
      <w:r w:rsidR="00C833DC">
        <w:rPr>
          <w:rFonts w:hint="eastAsia"/>
        </w:rPr>
        <w:t xml:space="preserve"> </w:t>
      </w:r>
      <w:r w:rsidR="00C75CD6" w:rsidRPr="00C75CD6">
        <w:t xml:space="preserve">TSCCs maintain strong institutional links with CBD National Focal Points, who are </w:t>
      </w:r>
      <w:r w:rsidR="00C75CD6" w:rsidRPr="00C75CD6">
        <w:lastRenderedPageBreak/>
        <w:t>represented on their Steering Committees. This ensures that partner-led initiatives are aligned with National Biodiversity Strategies and Action Plans (NBSAPs), benefit from government ownership, and are more likely to achieve long-term sustainability.</w:t>
      </w:r>
    </w:p>
    <w:p w14:paraId="4CCD92EB" w14:textId="5C452D46" w:rsidR="000C3770" w:rsidRDefault="000C3770" w:rsidP="00DC78FA">
      <w:pPr>
        <w:ind w:left="360"/>
        <w:jc w:val="both"/>
      </w:pPr>
      <w:r>
        <w:rPr>
          <w:rFonts w:hint="eastAsia"/>
        </w:rPr>
        <w:t>For bilateral donors, philanthropic organizations, and multilateral funds, the TSC</w:t>
      </w:r>
      <w:r w:rsidR="00F9668C">
        <w:t xml:space="preserve"> Mechanism </w:t>
      </w:r>
      <w:r w:rsidR="000D70D8" w:rsidRPr="000D70D8">
        <w:t>offers a secure and high-impact investment channel</w:t>
      </w:r>
      <w:r>
        <w:rPr>
          <w:rFonts w:hint="eastAsia"/>
        </w:rPr>
        <w:t>:</w:t>
      </w:r>
    </w:p>
    <w:p w14:paraId="09E73003" w14:textId="04570AE0" w:rsidR="00C833DC" w:rsidRDefault="002D0BC9" w:rsidP="00CD7E31">
      <w:pPr>
        <w:pStyle w:val="ListParagraph"/>
        <w:numPr>
          <w:ilvl w:val="0"/>
          <w:numId w:val="2"/>
        </w:numPr>
        <w:jc w:val="both"/>
      </w:pPr>
      <w:r w:rsidRPr="007C6F7B">
        <w:t>Mitigating risk</w:t>
      </w:r>
      <w:r w:rsidR="00C833DC" w:rsidRPr="009D2D86">
        <w:rPr>
          <w:b/>
          <w:bCs/>
        </w:rPr>
        <w:t>:</w:t>
      </w:r>
      <w:r w:rsidR="00C833DC">
        <w:t xml:space="preserve"> </w:t>
      </w:r>
      <w:r w:rsidR="008341D4" w:rsidRPr="008341D4">
        <w:t xml:space="preserve">A key challenge for donors is identifying high-quality, ready-to-implement projects. TSCCs address this by providing a pipeline of vetted, demand-driven initiatives based on assessed needs. This ensures that funding is directed toward technically sound, locally prioritized projects, thereby reducing the risk of </w:t>
      </w:r>
      <w:r w:rsidR="008341D4">
        <w:rPr>
          <w:rFonts w:hint="eastAsia"/>
        </w:rPr>
        <w:t xml:space="preserve">project </w:t>
      </w:r>
      <w:r w:rsidR="008341D4" w:rsidRPr="008341D4">
        <w:t>failure</w:t>
      </w:r>
      <w:r w:rsidR="003B6415">
        <w:rPr>
          <w:rFonts w:hint="eastAsia"/>
        </w:rPr>
        <w:t>.</w:t>
      </w:r>
    </w:p>
    <w:p w14:paraId="31AF3863" w14:textId="00580451" w:rsidR="008468EE" w:rsidRPr="00CF1969" w:rsidRDefault="00C833DC" w:rsidP="00CF1969">
      <w:pPr>
        <w:pStyle w:val="ListParagraph"/>
        <w:numPr>
          <w:ilvl w:val="0"/>
          <w:numId w:val="2"/>
        </w:numPr>
        <w:jc w:val="both"/>
      </w:pPr>
      <w:r w:rsidRPr="007C6F7B">
        <w:rPr>
          <w:rFonts w:hint="eastAsia"/>
        </w:rPr>
        <w:t>Clear KMGBF Impact</w:t>
      </w:r>
      <w:r w:rsidRPr="009D2D86">
        <w:rPr>
          <w:b/>
          <w:bCs/>
        </w:rPr>
        <w:t>:</w:t>
      </w:r>
      <w:r>
        <w:t xml:space="preserve"> </w:t>
      </w:r>
      <w:r w:rsidR="00427A5B">
        <w:rPr>
          <w:rFonts w:hint="eastAsia"/>
        </w:rPr>
        <w:t>The TSC</w:t>
      </w:r>
      <w:r w:rsidR="00F9668C">
        <w:t xml:space="preserve"> </w:t>
      </w:r>
      <w:r w:rsidR="00427A5B">
        <w:rPr>
          <w:rFonts w:hint="eastAsia"/>
        </w:rPr>
        <w:t>M</w:t>
      </w:r>
      <w:r w:rsidR="00F9668C">
        <w:t>echanism</w:t>
      </w:r>
      <w:r w:rsidR="00427A5B">
        <w:rPr>
          <w:rFonts w:hint="eastAsia"/>
        </w:rPr>
        <w:t xml:space="preserve"> is explicitly designed to support the implementation of the KMGBF.</w:t>
      </w:r>
      <w:r w:rsidR="00145A1C" w:rsidRPr="00145A1C">
        <w:t xml:space="preserve"> Investments in the mechanism enable direct reporting against specific targets</w:t>
      </w:r>
      <w:r w:rsidR="00AB7FA9">
        <w:t xml:space="preserve">, </w:t>
      </w:r>
      <w:r w:rsidR="00145A1C" w:rsidRPr="00145A1C">
        <w:t>particularly Target 20</w:t>
      </w:r>
      <w:r w:rsidR="00AB7FA9">
        <w:t xml:space="preserve">, </w:t>
      </w:r>
      <w:r w:rsidR="00145A1C" w:rsidRPr="00145A1C">
        <w:t>providing donors with measurable and attributable impact data.</w:t>
      </w:r>
      <w:r w:rsidR="00321C92">
        <w:rPr>
          <w:rFonts w:hint="eastAsia"/>
        </w:rPr>
        <w:t xml:space="preserve"> </w:t>
      </w:r>
    </w:p>
    <w:p w14:paraId="1E4B6D4E" w14:textId="49B793E3" w:rsidR="0077633F" w:rsidRPr="00956C87" w:rsidRDefault="00485D84" w:rsidP="00956C87">
      <w:pPr>
        <w:jc w:val="both"/>
        <w:rPr>
          <w:b/>
          <w:bCs/>
        </w:rPr>
      </w:pPr>
      <w:commentRangeStart w:id="11"/>
      <w:r w:rsidRPr="00956C87">
        <w:rPr>
          <w:b/>
          <w:bCs/>
        </w:rPr>
        <w:t xml:space="preserve">Resource </w:t>
      </w:r>
      <w:r w:rsidR="00360278" w:rsidRPr="00956C87">
        <w:rPr>
          <w:b/>
          <w:bCs/>
        </w:rPr>
        <w:t>mobilization a</w:t>
      </w:r>
      <w:r w:rsidR="0077633F" w:rsidRPr="00956C87">
        <w:rPr>
          <w:b/>
          <w:bCs/>
        </w:rPr>
        <w:t>ctions</w:t>
      </w:r>
      <w:commentRangeEnd w:id="11"/>
      <w:r w:rsidR="00857832">
        <w:rPr>
          <w:rStyle w:val="CommentReference"/>
        </w:rPr>
        <w:commentReference w:id="11"/>
      </w:r>
    </w:p>
    <w:p w14:paraId="7AF04E50" w14:textId="37BC21E9" w:rsidR="00634E5C" w:rsidRDefault="0049044C" w:rsidP="00340D05">
      <w:pPr>
        <w:jc w:val="both"/>
      </w:pPr>
      <w:r>
        <w:t>T</w:t>
      </w:r>
      <w:r w:rsidR="00634E5C">
        <w:t xml:space="preserve">he GCE proposes </w:t>
      </w:r>
      <w:r w:rsidR="00316AFC">
        <w:t>adopting</w:t>
      </w:r>
      <w:r w:rsidR="00634E5C">
        <w:t xml:space="preserve"> a phased approach to resource mobilization. In the short term, </w:t>
      </w:r>
      <w:r w:rsidR="00634E5C">
        <w:rPr>
          <w:rFonts w:hint="eastAsia"/>
        </w:rPr>
        <w:t xml:space="preserve">efforts </w:t>
      </w:r>
      <w:r w:rsidR="00634E5C" w:rsidRPr="00113ED3">
        <w:t xml:space="preserve">will focus on securing in-kind and project-based resources to catalyze immediate “quick wins” and demonstrate the mechanism’s value. </w:t>
      </w:r>
      <w:r w:rsidR="00853230">
        <w:t>In</w:t>
      </w:r>
      <w:r w:rsidR="00634E5C" w:rsidRPr="00113ED3">
        <w:t xml:space="preserve"> the longer term, the emphasis will shift toward mobilizing programmatic</w:t>
      </w:r>
      <w:r w:rsidR="008468EE">
        <w:t xml:space="preserve"> and core</w:t>
      </w:r>
      <w:r w:rsidR="00634E5C" w:rsidRPr="00113ED3">
        <w:t xml:space="preserve"> resources to ensure institutional sustainability and sustained impact.</w:t>
      </w:r>
    </w:p>
    <w:p w14:paraId="3D76D86C" w14:textId="0445A535" w:rsidR="00D12FC5" w:rsidRPr="00217C5D" w:rsidRDefault="008468EE" w:rsidP="00340D05">
      <w:pPr>
        <w:jc w:val="both"/>
      </w:pPr>
      <w:r>
        <w:t>As part of its strateg</w:t>
      </w:r>
      <w:r w:rsidR="00AC4ABE">
        <w:rPr>
          <w:rFonts w:eastAsia="Malgun Gothic" w:hint="eastAsia"/>
        </w:rPr>
        <w:t>ic plan</w:t>
      </w:r>
      <w:r>
        <w:t>, t</w:t>
      </w:r>
      <w:r w:rsidR="00360278">
        <w:t xml:space="preserve">he </w:t>
      </w:r>
      <w:r w:rsidR="00553B94" w:rsidRPr="00553B94">
        <w:t>GCE will implement</w:t>
      </w:r>
      <w:r w:rsidR="003E0A8B">
        <w:t xml:space="preserve"> the following </w:t>
      </w:r>
      <w:r w:rsidR="00E278AB">
        <w:t>actions:</w:t>
      </w:r>
    </w:p>
    <w:p w14:paraId="3BA2BDA2" w14:textId="18A817EF" w:rsidR="00FA79DD" w:rsidRPr="00310070" w:rsidRDefault="0077106B" w:rsidP="00FA79DD">
      <w:pPr>
        <w:pStyle w:val="ListParagraph"/>
        <w:numPr>
          <w:ilvl w:val="0"/>
          <w:numId w:val="12"/>
        </w:numPr>
        <w:jc w:val="both"/>
        <w:rPr>
          <w:lang w:val="en-CA"/>
        </w:rPr>
      </w:pPr>
      <w:r>
        <w:rPr>
          <w:b/>
          <w:bCs/>
        </w:rPr>
        <w:t xml:space="preserve">Mobilize financial resources from various sources </w:t>
      </w:r>
    </w:p>
    <w:p w14:paraId="091311E9" w14:textId="4E8C387C" w:rsidR="00FA79DD" w:rsidRDefault="0077106B" w:rsidP="0077106B">
      <w:pPr>
        <w:pStyle w:val="ListParagraph"/>
        <w:numPr>
          <w:ilvl w:val="1"/>
          <w:numId w:val="12"/>
        </w:numPr>
        <w:rPr>
          <w:lang w:val="en-CA"/>
        </w:rPr>
      </w:pPr>
      <w:r>
        <w:rPr>
          <w:lang w:val="en-CA"/>
        </w:rPr>
        <w:t xml:space="preserve">Leverage </w:t>
      </w:r>
      <w:r w:rsidRPr="0077106B">
        <w:rPr>
          <w:lang w:val="en-CA"/>
        </w:rPr>
        <w:t>SCBD project-based programming</w:t>
      </w:r>
      <w:r>
        <w:rPr>
          <w:lang w:val="en-CA"/>
        </w:rPr>
        <w:t xml:space="preserve">. </w:t>
      </w:r>
      <w:r w:rsidR="00FA79DD" w:rsidRPr="0077106B">
        <w:rPr>
          <w:lang w:val="en-CA"/>
        </w:rPr>
        <w:t xml:space="preserve">Link TSCCs </w:t>
      </w:r>
      <w:r w:rsidR="00D06B14" w:rsidRPr="0077106B">
        <w:rPr>
          <w:lang w:val="en-CA"/>
        </w:rPr>
        <w:t>workplans</w:t>
      </w:r>
      <w:r w:rsidR="00FA79DD" w:rsidRPr="0077106B">
        <w:rPr>
          <w:lang w:val="en-CA"/>
        </w:rPr>
        <w:t xml:space="preserve"> to </w:t>
      </w:r>
      <w:r w:rsidR="00D06B14" w:rsidRPr="0077106B">
        <w:rPr>
          <w:lang w:val="en-CA"/>
        </w:rPr>
        <w:t xml:space="preserve">implementation work led by </w:t>
      </w:r>
      <w:r w:rsidR="00FA79DD" w:rsidRPr="0077106B">
        <w:rPr>
          <w:lang w:val="en-CA"/>
        </w:rPr>
        <w:t xml:space="preserve">the Secretariat, such as </w:t>
      </w:r>
      <w:r w:rsidR="00D06B14" w:rsidRPr="0077106B">
        <w:rPr>
          <w:lang w:val="en-CA"/>
        </w:rPr>
        <w:t xml:space="preserve">the </w:t>
      </w:r>
      <w:r w:rsidR="00B46BAD" w:rsidRPr="0077106B">
        <w:rPr>
          <w:lang w:val="en-CA"/>
        </w:rPr>
        <w:t xml:space="preserve">project </w:t>
      </w:r>
      <w:r w:rsidR="00D06B14" w:rsidRPr="0077106B">
        <w:rPr>
          <w:lang w:val="en-CA"/>
        </w:rPr>
        <w:t xml:space="preserve">activities under </w:t>
      </w:r>
      <w:r w:rsidR="00FA79DD" w:rsidRPr="0077106B">
        <w:rPr>
          <w:lang w:val="en-CA"/>
        </w:rPr>
        <w:t>T2, T3, KM, biodiversity and climate, etc. to leverage existing programmatic resources, while ensuring alignment with Parties’ needs assessments and requests.</w:t>
      </w:r>
    </w:p>
    <w:p w14:paraId="723BD977" w14:textId="4854DB61" w:rsidR="00352483" w:rsidRPr="0077106B" w:rsidRDefault="00164AAD" w:rsidP="0077106B">
      <w:pPr>
        <w:pStyle w:val="ListParagraph"/>
        <w:numPr>
          <w:ilvl w:val="1"/>
          <w:numId w:val="12"/>
        </w:numPr>
        <w:rPr>
          <w:lang w:val="en-CA"/>
        </w:rPr>
      </w:pPr>
      <w:r>
        <w:rPr>
          <w:lang w:val="en-CA"/>
        </w:rPr>
        <w:t>Co-create project and programme proposals for funding in collaboration with the TSCCs.</w:t>
      </w:r>
    </w:p>
    <w:p w14:paraId="72D3F7A0" w14:textId="77777777" w:rsidR="001B4AB6" w:rsidRPr="00FA79DD" w:rsidRDefault="001B4AB6" w:rsidP="001B4AB6">
      <w:pPr>
        <w:pStyle w:val="ListParagraph"/>
        <w:ind w:left="1080"/>
        <w:jc w:val="both"/>
        <w:rPr>
          <w:lang w:val="en-CA"/>
        </w:rPr>
      </w:pPr>
    </w:p>
    <w:p w14:paraId="5259FD6A" w14:textId="4ADA8C87" w:rsidR="00721CD2" w:rsidRDefault="001B4AB6" w:rsidP="00F34ACB">
      <w:pPr>
        <w:pStyle w:val="ListParagraph"/>
        <w:numPr>
          <w:ilvl w:val="0"/>
          <w:numId w:val="12"/>
        </w:numPr>
        <w:jc w:val="both"/>
        <w:rPr>
          <w:b/>
          <w:bCs/>
        </w:rPr>
      </w:pPr>
      <w:r>
        <w:rPr>
          <w:b/>
          <w:bCs/>
        </w:rPr>
        <w:t>S</w:t>
      </w:r>
      <w:r w:rsidR="00046EA4">
        <w:rPr>
          <w:b/>
          <w:bCs/>
        </w:rPr>
        <w:t xml:space="preserve">trategic </w:t>
      </w:r>
      <w:r w:rsidR="0014072C">
        <w:rPr>
          <w:b/>
          <w:bCs/>
        </w:rPr>
        <w:t>d</w:t>
      </w:r>
      <w:r w:rsidR="00721CD2">
        <w:rPr>
          <w:rFonts w:hint="eastAsia"/>
          <w:b/>
          <w:bCs/>
        </w:rPr>
        <w:t xml:space="preserve">onor </w:t>
      </w:r>
      <w:r w:rsidR="0014072C">
        <w:rPr>
          <w:b/>
          <w:bCs/>
        </w:rPr>
        <w:t>e</w:t>
      </w:r>
      <w:r w:rsidR="00721CD2">
        <w:rPr>
          <w:rFonts w:hint="eastAsia"/>
          <w:b/>
          <w:bCs/>
        </w:rPr>
        <w:t>ngagement</w:t>
      </w:r>
    </w:p>
    <w:p w14:paraId="15367A38" w14:textId="15B5EE85" w:rsidR="007C6F7B" w:rsidRPr="007C6F7B" w:rsidRDefault="00DC464D" w:rsidP="006B3025">
      <w:pPr>
        <w:pStyle w:val="ListParagraph"/>
        <w:numPr>
          <w:ilvl w:val="0"/>
          <w:numId w:val="5"/>
        </w:numPr>
        <w:jc w:val="both"/>
        <w:rPr>
          <w:b/>
          <w:bCs/>
        </w:rPr>
      </w:pPr>
      <w:r>
        <w:t>D</w:t>
      </w:r>
      <w:r w:rsidR="0014072C" w:rsidRPr="007C6F7B">
        <w:t>onor landscape and funding m</w:t>
      </w:r>
      <w:r w:rsidR="0014072C" w:rsidRPr="007C6F7B">
        <w:rPr>
          <w:rFonts w:hint="eastAsia"/>
        </w:rPr>
        <w:t>apping</w:t>
      </w:r>
      <w:r>
        <w:rPr>
          <w:b/>
          <w:bCs/>
        </w:rPr>
        <w:t xml:space="preserve">: </w:t>
      </w:r>
      <w:r w:rsidRPr="00DC464D">
        <w:t>carry out</w:t>
      </w:r>
      <w:r w:rsidR="00F34ACB" w:rsidRPr="00DC464D">
        <w:t xml:space="preserve"> </w:t>
      </w:r>
      <w:r w:rsidR="008D1A4B">
        <w:t>a</w:t>
      </w:r>
      <w:r w:rsidR="0014072C" w:rsidRPr="00956C87">
        <w:t xml:space="preserve"> m</w:t>
      </w:r>
      <w:r w:rsidR="0014072C" w:rsidRPr="00956C87">
        <w:rPr>
          <w:rFonts w:hint="eastAsia"/>
        </w:rPr>
        <w:t xml:space="preserve">apping of </w:t>
      </w:r>
      <w:r w:rsidR="0014072C" w:rsidRPr="00956C87">
        <w:t>donors and funding o</w:t>
      </w:r>
      <w:r w:rsidR="0014072C" w:rsidRPr="00956C87">
        <w:rPr>
          <w:rFonts w:hint="eastAsia"/>
        </w:rPr>
        <w:t>pportunities</w:t>
      </w:r>
      <w:r w:rsidR="000367F2">
        <w:t xml:space="preserve"> to</w:t>
      </w:r>
      <w:r w:rsidR="0014072C" w:rsidRPr="00217C5D">
        <w:t xml:space="preserve"> </w:t>
      </w:r>
      <w:r w:rsidR="0014072C">
        <w:t>s</w:t>
      </w:r>
      <w:r w:rsidR="0014072C" w:rsidRPr="004515C6">
        <w:t>ystematically identify and track relevant financing windows across multilateral funds (e.g., GEF Global Biodiversity Framework Fund, GCF, Adaptation Fund), development finance institutions,</w:t>
      </w:r>
      <w:r w:rsidR="007C6F7B">
        <w:t xml:space="preserve"> private foundations</w:t>
      </w:r>
      <w:r w:rsidR="0014072C" w:rsidRPr="004515C6">
        <w:t xml:space="preserve"> and regional development banks</w:t>
      </w:r>
      <w:r w:rsidR="0014072C">
        <w:rPr>
          <w:rFonts w:hint="eastAsia"/>
        </w:rPr>
        <w:t>, etc</w:t>
      </w:r>
      <w:r w:rsidR="0014072C" w:rsidRPr="004515C6">
        <w:t>.</w:t>
      </w:r>
    </w:p>
    <w:p w14:paraId="51667FC3" w14:textId="12C600D4" w:rsidR="001B4AB6" w:rsidRDefault="001B4AB6" w:rsidP="001B4AB6">
      <w:pPr>
        <w:pStyle w:val="ListParagraph"/>
        <w:numPr>
          <w:ilvl w:val="0"/>
          <w:numId w:val="5"/>
        </w:numPr>
        <w:jc w:val="both"/>
      </w:pPr>
      <w:r w:rsidRPr="007C6F7B">
        <w:lastRenderedPageBreak/>
        <w:t>Global and regional donor roundtables</w:t>
      </w:r>
      <w:r w:rsidRPr="00217C5D">
        <w:t xml:space="preserve">: </w:t>
      </w:r>
      <w:r>
        <w:t>c</w:t>
      </w:r>
      <w:r w:rsidRPr="005E7A7E">
        <w:t>onvene</w:t>
      </w:r>
      <w:r>
        <w:t xml:space="preserve"> </w:t>
      </w:r>
      <w:r w:rsidRPr="005E7A7E">
        <w:t xml:space="preserve">high-level </w:t>
      </w:r>
      <w:r w:rsidR="00307F0D">
        <w:t>meetings</w:t>
      </w:r>
      <w:r w:rsidR="0032395F">
        <w:t>/</w:t>
      </w:r>
      <w:r w:rsidRPr="005E7A7E">
        <w:t>dialogues with bilateral</w:t>
      </w:r>
      <w:r>
        <w:t xml:space="preserve">, </w:t>
      </w:r>
      <w:r w:rsidRPr="005E7A7E">
        <w:t>multilateral</w:t>
      </w:r>
      <w:r>
        <w:t xml:space="preserve"> and philanthropic</w:t>
      </w:r>
      <w:r w:rsidRPr="005E7A7E">
        <w:t xml:space="preserve"> donors</w:t>
      </w:r>
      <w:r w:rsidR="00F91BBD">
        <w:t xml:space="preserve">, </w:t>
      </w:r>
      <w:r w:rsidR="00F91BBD" w:rsidRPr="00F91BBD">
        <w:t>with support of the CBD Executive Secretary and executives of the organizations hosting the TSCCs</w:t>
      </w:r>
      <w:r>
        <w:t>.</w:t>
      </w:r>
    </w:p>
    <w:p w14:paraId="4607BB6F" w14:textId="43D0D989" w:rsidR="00D80FE0" w:rsidRPr="00D80FE0" w:rsidRDefault="007C6F7B" w:rsidP="006B3025">
      <w:pPr>
        <w:pStyle w:val="ListParagraph"/>
        <w:numPr>
          <w:ilvl w:val="0"/>
          <w:numId w:val="5"/>
        </w:numPr>
        <w:jc w:val="both"/>
      </w:pPr>
      <w:r w:rsidRPr="007C6F7B">
        <w:t>Advocacy fo</w:t>
      </w:r>
      <w:r w:rsidR="00F3488E">
        <w:t>r</w:t>
      </w:r>
      <w:r w:rsidRPr="007C6F7B">
        <w:t xml:space="preserve"> funding streams:</w:t>
      </w:r>
      <w:r w:rsidRPr="00217C5D">
        <w:t xml:space="preserve"> </w:t>
      </w:r>
      <w:r w:rsidR="00492ED3">
        <w:t>e</w:t>
      </w:r>
      <w:r>
        <w:rPr>
          <w:rFonts w:hint="eastAsia"/>
        </w:rPr>
        <w:t xml:space="preserve">ngage </w:t>
      </w:r>
      <w:r w:rsidRPr="00217C5D">
        <w:t xml:space="preserve">major </w:t>
      </w:r>
      <w:r>
        <w:rPr>
          <w:rFonts w:hint="eastAsia"/>
        </w:rPr>
        <w:t>bilateral</w:t>
      </w:r>
      <w:r>
        <w:t>, multilateral</w:t>
      </w:r>
      <w:r>
        <w:rPr>
          <w:rFonts w:hint="eastAsia"/>
        </w:rPr>
        <w:t xml:space="preserve"> and philanthropic </w:t>
      </w:r>
      <w:r w:rsidRPr="00217C5D">
        <w:t xml:space="preserve">donors to establish </w:t>
      </w:r>
      <w:r>
        <w:t>funding streams</w:t>
      </w:r>
      <w:r w:rsidRPr="00217C5D">
        <w:t xml:space="preserve"> speci</w:t>
      </w:r>
      <w:r>
        <w:rPr>
          <w:rFonts w:hint="eastAsia"/>
        </w:rPr>
        <w:t xml:space="preserve">fically </w:t>
      </w:r>
      <w:r w:rsidRPr="00217C5D">
        <w:t xml:space="preserve">for </w:t>
      </w:r>
      <w:r>
        <w:rPr>
          <w:rFonts w:hint="eastAsia"/>
        </w:rPr>
        <w:t>the TS</w:t>
      </w:r>
      <w:r>
        <w:t>CCs</w:t>
      </w:r>
      <w:r>
        <w:rPr>
          <w:rFonts w:hint="eastAsia"/>
        </w:rPr>
        <w:t>.</w:t>
      </w:r>
      <w:r w:rsidR="00D80FE0">
        <w:t xml:space="preserve"> </w:t>
      </w:r>
    </w:p>
    <w:p w14:paraId="24ED8175" w14:textId="19110EEB" w:rsidR="00FD38CC" w:rsidRDefault="00D80FE0" w:rsidP="006B3025">
      <w:pPr>
        <w:pStyle w:val="ListParagraph"/>
        <w:numPr>
          <w:ilvl w:val="0"/>
          <w:numId w:val="5"/>
        </w:numPr>
        <w:jc w:val="both"/>
      </w:pPr>
      <w:r>
        <w:t>Engage with the Kunming Biodiversity Fund</w:t>
      </w:r>
      <w:r w:rsidR="008E11B8">
        <w:t>, the Global Enviro</w:t>
      </w:r>
      <w:r w:rsidR="00CC0DB8">
        <w:t xml:space="preserve">nment Facility </w:t>
      </w:r>
      <w:r w:rsidR="00B00C71">
        <w:t xml:space="preserve">and other </w:t>
      </w:r>
      <w:r w:rsidR="006A7425">
        <w:t>relevant funding</w:t>
      </w:r>
      <w:r w:rsidR="00B00C71">
        <w:t xml:space="preserve"> </w:t>
      </w:r>
      <w:r w:rsidR="006A7425">
        <w:t xml:space="preserve">mechanisms </w:t>
      </w:r>
      <w:r>
        <w:t xml:space="preserve">to </w:t>
      </w:r>
      <w:r w:rsidR="00E779D1">
        <w:t>establish</w:t>
      </w:r>
      <w:r w:rsidR="005F17B3">
        <w:t xml:space="preserve"> </w:t>
      </w:r>
      <w:r>
        <w:t>set-aside</w:t>
      </w:r>
      <w:r w:rsidR="00055E63">
        <w:t xml:space="preserve"> </w:t>
      </w:r>
      <w:r w:rsidR="00876E17">
        <w:t>window</w:t>
      </w:r>
      <w:r>
        <w:t>s</w:t>
      </w:r>
      <w:r w:rsidR="006E36BF">
        <w:t xml:space="preserve">/ </w:t>
      </w:r>
      <w:r w:rsidR="00CA2AB6">
        <w:t xml:space="preserve">dedicated </w:t>
      </w:r>
      <w:r w:rsidR="006E36BF">
        <w:t>f</w:t>
      </w:r>
      <w:r w:rsidR="00DB31FE">
        <w:t>unding</w:t>
      </w:r>
      <w:r w:rsidR="006E36BF">
        <w:t xml:space="preserve"> streams</w:t>
      </w:r>
      <w:r>
        <w:t xml:space="preserve"> that the TSCCs could </w:t>
      </w:r>
      <w:r w:rsidR="00FD38CC">
        <w:t>apply</w:t>
      </w:r>
      <w:r w:rsidR="00547700">
        <w:t xml:space="preserve"> </w:t>
      </w:r>
      <w:r w:rsidR="005B0D42">
        <w:t xml:space="preserve">for </w:t>
      </w:r>
      <w:r>
        <w:t>directly</w:t>
      </w:r>
      <w:r w:rsidR="005B0D42">
        <w:t xml:space="preserve"> to support Parties</w:t>
      </w:r>
      <w:r>
        <w:t>.</w:t>
      </w:r>
    </w:p>
    <w:p w14:paraId="440F74FE" w14:textId="0DF4500D" w:rsidR="0039107B" w:rsidRDefault="00A261B4" w:rsidP="006B3025">
      <w:pPr>
        <w:pStyle w:val="ListParagraph"/>
        <w:numPr>
          <w:ilvl w:val="0"/>
          <w:numId w:val="12"/>
        </w:numPr>
        <w:jc w:val="both"/>
      </w:pPr>
      <w:r>
        <w:rPr>
          <w:b/>
          <w:bCs/>
        </w:rPr>
        <w:t>Communication</w:t>
      </w:r>
      <w:r w:rsidR="00A7676C">
        <w:rPr>
          <w:b/>
          <w:bCs/>
        </w:rPr>
        <w:t xml:space="preserve"> and </w:t>
      </w:r>
      <w:r>
        <w:rPr>
          <w:b/>
          <w:bCs/>
        </w:rPr>
        <w:t>o</w:t>
      </w:r>
      <w:r w:rsidR="00A7676C">
        <w:rPr>
          <w:b/>
          <w:bCs/>
        </w:rPr>
        <w:t>utreach</w:t>
      </w:r>
      <w:r w:rsidR="000439D3">
        <w:rPr>
          <w:b/>
          <w:bCs/>
        </w:rPr>
        <w:t xml:space="preserve"> </w:t>
      </w:r>
    </w:p>
    <w:p w14:paraId="6A959CD1" w14:textId="77777777" w:rsidR="00EF4471" w:rsidRDefault="00EF4471" w:rsidP="00EF4471">
      <w:pPr>
        <w:pStyle w:val="ListParagraph"/>
        <w:numPr>
          <w:ilvl w:val="0"/>
          <w:numId w:val="5"/>
        </w:numPr>
        <w:jc w:val="both"/>
      </w:pPr>
      <w:r w:rsidRPr="00F36C59">
        <w:t>High-</w:t>
      </w:r>
      <w:r>
        <w:t>l</w:t>
      </w:r>
      <w:r w:rsidRPr="00F36C59">
        <w:t>ev</w:t>
      </w:r>
      <w:r w:rsidRPr="00F36C59">
        <w:rPr>
          <w:rFonts w:hint="eastAsia"/>
        </w:rPr>
        <w:t xml:space="preserve">el </w:t>
      </w:r>
      <w:r>
        <w:t>a</w:t>
      </w:r>
      <w:r w:rsidRPr="00F36C59">
        <w:t xml:space="preserve">wareness </w:t>
      </w:r>
      <w:proofErr w:type="gramStart"/>
      <w:r>
        <w:t>r</w:t>
      </w:r>
      <w:r w:rsidRPr="00F36C59">
        <w:t>aising</w:t>
      </w:r>
      <w:r w:rsidRPr="00217C5D">
        <w:t>:</w:t>
      </w:r>
      <w:proofErr w:type="gramEnd"/>
      <w:r w:rsidRPr="00217C5D">
        <w:t xml:space="preserve"> </w:t>
      </w:r>
      <w:r>
        <w:t>p</w:t>
      </w:r>
      <w:r w:rsidRPr="00690DEB">
        <w:t>romote the role of the TS</w:t>
      </w:r>
      <w:r>
        <w:t>CCs</w:t>
      </w:r>
      <w:r w:rsidRPr="00690DEB">
        <w:t xml:space="preserve"> in delivering the KMGBF through strategic engagement with partner agencies and decision-makers.</w:t>
      </w:r>
    </w:p>
    <w:p w14:paraId="0B482A90" w14:textId="7D588BCE" w:rsidR="00EF4471" w:rsidRPr="00EF4471" w:rsidRDefault="00EF4471" w:rsidP="00EF4471">
      <w:pPr>
        <w:pStyle w:val="ListParagraph"/>
        <w:numPr>
          <w:ilvl w:val="0"/>
          <w:numId w:val="5"/>
        </w:numPr>
        <w:jc w:val="both"/>
      </w:pPr>
      <w:r>
        <w:t>Raise awareness about the TSC Mechanism and the TSCCS with implementing agencies such as UNEP, UNDP, Economic Commissions, FAO, etc.</w:t>
      </w:r>
    </w:p>
    <w:p w14:paraId="74F7DAB9" w14:textId="7079CA06" w:rsidR="003974ED" w:rsidRDefault="0088708A" w:rsidP="006B3025">
      <w:pPr>
        <w:pStyle w:val="ListParagraph"/>
        <w:numPr>
          <w:ilvl w:val="0"/>
          <w:numId w:val="5"/>
        </w:numPr>
        <w:jc w:val="both"/>
        <w:rPr>
          <w:lang w:val="en-CA"/>
        </w:rPr>
      </w:pPr>
      <w:r w:rsidRPr="0088708A">
        <w:rPr>
          <w:lang w:val="en-CA"/>
        </w:rPr>
        <w:t>Develop communication materials</w:t>
      </w:r>
      <w:r w:rsidR="00CB397F">
        <w:rPr>
          <w:lang w:val="en-CA"/>
        </w:rPr>
        <w:t xml:space="preserve"> including</w:t>
      </w:r>
      <w:r>
        <w:rPr>
          <w:lang w:val="en-CA"/>
        </w:rPr>
        <w:t xml:space="preserve"> promotional</w:t>
      </w:r>
      <w:r w:rsidR="00721CD2" w:rsidRPr="0088708A">
        <w:rPr>
          <w:rFonts w:hint="eastAsia"/>
          <w:lang w:val="en-CA"/>
        </w:rPr>
        <w:t xml:space="preserve"> </w:t>
      </w:r>
      <w:r w:rsidRPr="0088708A">
        <w:rPr>
          <w:lang w:val="en-CA"/>
        </w:rPr>
        <w:t>materia</w:t>
      </w:r>
      <w:r>
        <w:rPr>
          <w:lang w:val="en-CA"/>
        </w:rPr>
        <w:t xml:space="preserve">ls and </w:t>
      </w:r>
      <w:r w:rsidR="007A7A5F">
        <w:rPr>
          <w:lang w:val="en-CA"/>
        </w:rPr>
        <w:t>messaging</w:t>
      </w:r>
      <w:r>
        <w:rPr>
          <w:lang w:val="en-CA"/>
        </w:rPr>
        <w:t xml:space="preserve"> that can be used by the </w:t>
      </w:r>
      <w:r w:rsidR="00CB397F">
        <w:rPr>
          <w:lang w:val="en-CA"/>
        </w:rPr>
        <w:t>GCE</w:t>
      </w:r>
      <w:r>
        <w:rPr>
          <w:lang w:val="en-CA"/>
        </w:rPr>
        <w:t xml:space="preserve"> and TSCCs for fundraising.</w:t>
      </w:r>
    </w:p>
    <w:p w14:paraId="59240EBF" w14:textId="671F5E83" w:rsidR="003974ED" w:rsidRPr="005A1050" w:rsidRDefault="003974ED" w:rsidP="006B3025">
      <w:pPr>
        <w:pStyle w:val="ListParagraph"/>
        <w:numPr>
          <w:ilvl w:val="0"/>
          <w:numId w:val="5"/>
        </w:numPr>
        <w:jc w:val="both"/>
        <w:rPr>
          <w:lang w:val="en-CA"/>
        </w:rPr>
      </w:pPr>
      <w:r>
        <w:rPr>
          <w:lang w:val="en-CA"/>
        </w:rPr>
        <w:t>Develop</w:t>
      </w:r>
      <w:r w:rsidR="00585115" w:rsidRPr="003974ED">
        <w:rPr>
          <w:lang w:val="en-CA"/>
        </w:rPr>
        <w:t xml:space="preserve"> coherent funding narratives and programmatic “packaging.”</w:t>
      </w:r>
    </w:p>
    <w:p w14:paraId="1A4DA876" w14:textId="0DD9DE8D" w:rsidR="00585115" w:rsidRPr="00D73D52" w:rsidRDefault="00F37DFE" w:rsidP="004C2E60">
      <w:pPr>
        <w:pStyle w:val="ListParagraph"/>
        <w:numPr>
          <w:ilvl w:val="0"/>
          <w:numId w:val="12"/>
        </w:numPr>
        <w:jc w:val="both"/>
        <w:rPr>
          <w:lang w:val="en-CA"/>
        </w:rPr>
      </w:pPr>
      <w:r>
        <w:rPr>
          <w:b/>
          <w:bCs/>
        </w:rPr>
        <w:t xml:space="preserve">Support </w:t>
      </w:r>
      <w:r w:rsidR="00CB397F">
        <w:rPr>
          <w:b/>
          <w:bCs/>
        </w:rPr>
        <w:t>project/</w:t>
      </w:r>
      <w:proofErr w:type="spellStart"/>
      <w:proofErr w:type="gramStart"/>
      <w:r w:rsidR="00CB397F">
        <w:rPr>
          <w:b/>
          <w:bCs/>
        </w:rPr>
        <w:t>programme</w:t>
      </w:r>
      <w:proofErr w:type="spellEnd"/>
      <w:r>
        <w:rPr>
          <w:b/>
          <w:bCs/>
        </w:rPr>
        <w:t xml:space="preserve"> p</w:t>
      </w:r>
      <w:r w:rsidR="00D73D52" w:rsidRPr="004515C6">
        <w:rPr>
          <w:b/>
          <w:bCs/>
        </w:rPr>
        <w:t>roposal</w:t>
      </w:r>
      <w:proofErr w:type="gramEnd"/>
      <w:r w:rsidR="00D73D52" w:rsidRPr="004515C6">
        <w:rPr>
          <w:b/>
          <w:bCs/>
        </w:rPr>
        <w:t xml:space="preserve"> </w:t>
      </w:r>
      <w:r>
        <w:rPr>
          <w:b/>
          <w:bCs/>
        </w:rPr>
        <w:t>d</w:t>
      </w:r>
      <w:r w:rsidR="00D73D52" w:rsidRPr="004515C6">
        <w:rPr>
          <w:b/>
          <w:bCs/>
        </w:rPr>
        <w:t>evelopment</w:t>
      </w:r>
      <w:r w:rsidR="00451959">
        <w:rPr>
          <w:b/>
          <w:bCs/>
        </w:rPr>
        <w:t xml:space="preserve"> led by TSCCs</w:t>
      </w:r>
    </w:p>
    <w:p w14:paraId="475A1A0D" w14:textId="6C351123" w:rsidR="00D73D52" w:rsidRDefault="00F84471" w:rsidP="00D73D52">
      <w:pPr>
        <w:pStyle w:val="ListParagraph"/>
        <w:numPr>
          <w:ilvl w:val="1"/>
          <w:numId w:val="12"/>
        </w:numPr>
        <w:tabs>
          <w:tab w:val="num" w:pos="720"/>
        </w:tabs>
        <w:jc w:val="both"/>
      </w:pPr>
      <w:r>
        <w:t>P</w:t>
      </w:r>
      <w:r w:rsidR="00D73D52" w:rsidRPr="004515C6">
        <w:t xml:space="preserve">rovide technical support </w:t>
      </w:r>
      <w:r w:rsidR="003D2995">
        <w:t xml:space="preserve">to TSCC </w:t>
      </w:r>
      <w:r w:rsidR="004126F1">
        <w:t xml:space="preserve">on </w:t>
      </w:r>
      <w:r w:rsidR="00D73D52" w:rsidRPr="004515C6">
        <w:t xml:space="preserve">the development of </w:t>
      </w:r>
      <w:r w:rsidR="00C63ADB">
        <w:t xml:space="preserve">bankable </w:t>
      </w:r>
      <w:r w:rsidR="00CB397F">
        <w:t>funding proposals</w:t>
      </w:r>
      <w:r w:rsidR="0057166A">
        <w:t>, incl</w:t>
      </w:r>
      <w:r w:rsidR="00380829">
        <w:t>uding through</w:t>
      </w:r>
      <w:r w:rsidR="00380829" w:rsidRPr="00380829">
        <w:t xml:space="preserve"> </w:t>
      </w:r>
      <w:r w:rsidR="00380829">
        <w:t>p</w:t>
      </w:r>
      <w:r w:rsidR="00380829" w:rsidRPr="00380829">
        <w:t>rovid</w:t>
      </w:r>
      <w:r w:rsidR="00380829">
        <w:t>ing</w:t>
      </w:r>
      <w:r w:rsidR="00380829" w:rsidRPr="00380829">
        <w:t xml:space="preserve"> input and feedback on proposals developed by TSCCs</w:t>
      </w:r>
      <w:r w:rsidR="009545FB">
        <w:t>.</w:t>
      </w:r>
    </w:p>
    <w:p w14:paraId="1F1164CB" w14:textId="229490F8" w:rsidR="00413AAD" w:rsidRDefault="00413AAD" w:rsidP="00D73D52">
      <w:pPr>
        <w:pStyle w:val="ListParagraph"/>
        <w:numPr>
          <w:ilvl w:val="1"/>
          <w:numId w:val="12"/>
        </w:numPr>
        <w:tabs>
          <w:tab w:val="num" w:pos="720"/>
        </w:tabs>
        <w:jc w:val="both"/>
      </w:pPr>
      <w:r>
        <w:t xml:space="preserve">Support the development of </w:t>
      </w:r>
      <w:r w:rsidR="00535137">
        <w:t>portfolio</w:t>
      </w:r>
      <w:r w:rsidR="00E93207">
        <w:t>s</w:t>
      </w:r>
      <w:r w:rsidR="001C7E1C">
        <w:t xml:space="preserve"> of</w:t>
      </w:r>
      <w:r w:rsidR="00535137">
        <w:t xml:space="preserve"> </w:t>
      </w:r>
      <w:r>
        <w:t>pooled</w:t>
      </w:r>
      <w:r w:rsidR="00E93207">
        <w:t xml:space="preserve"> regional or </w:t>
      </w:r>
      <w:r>
        <w:t>thematic umbrella funding initiatives</w:t>
      </w:r>
      <w:r w:rsidR="009545FB">
        <w:t>.</w:t>
      </w:r>
    </w:p>
    <w:p w14:paraId="6A350299" w14:textId="593AF53B" w:rsidR="009A12F4" w:rsidRDefault="00CB397F" w:rsidP="00B6735F">
      <w:pPr>
        <w:pStyle w:val="ListParagraph"/>
        <w:numPr>
          <w:ilvl w:val="1"/>
          <w:numId w:val="12"/>
        </w:numPr>
        <w:tabs>
          <w:tab w:val="num" w:pos="720"/>
        </w:tabs>
        <w:jc w:val="both"/>
      </w:pPr>
      <w:r>
        <w:t xml:space="preserve">Provide letters of support </w:t>
      </w:r>
      <w:r w:rsidR="00BA68FC">
        <w:t xml:space="preserve">for the </w:t>
      </w:r>
      <w:r w:rsidR="00413AAD">
        <w:t>proposal submission</w:t>
      </w:r>
      <w:r w:rsidR="009D29D1">
        <w:t>s</w:t>
      </w:r>
      <w:r w:rsidR="00BA68FC">
        <w:t xml:space="preserve"> by TSCCs</w:t>
      </w:r>
      <w:r w:rsidR="009545FB">
        <w:t>.</w:t>
      </w:r>
    </w:p>
    <w:p w14:paraId="0EE020E1" w14:textId="511BB911" w:rsidR="00D73D52" w:rsidRDefault="007C603D" w:rsidP="004C2E60">
      <w:pPr>
        <w:pStyle w:val="ListParagraph"/>
        <w:numPr>
          <w:ilvl w:val="0"/>
          <w:numId w:val="12"/>
        </w:numPr>
        <w:jc w:val="both"/>
        <w:rPr>
          <w:b/>
          <w:bCs/>
          <w:lang w:val="en-CA"/>
        </w:rPr>
      </w:pPr>
      <w:r>
        <w:rPr>
          <w:b/>
          <w:bCs/>
          <w:lang w:val="en-CA"/>
        </w:rPr>
        <w:t xml:space="preserve">Mobilisation of </w:t>
      </w:r>
      <w:r w:rsidR="00E865AE">
        <w:rPr>
          <w:b/>
          <w:bCs/>
          <w:lang w:val="en-CA"/>
        </w:rPr>
        <w:t>i</w:t>
      </w:r>
      <w:r w:rsidR="00DD27C6" w:rsidRPr="00DD27C6">
        <w:rPr>
          <w:b/>
          <w:bCs/>
          <w:lang w:val="en-CA"/>
        </w:rPr>
        <w:t xml:space="preserve">n-kind resource </w:t>
      </w:r>
      <w:r w:rsidR="006E1C6E">
        <w:rPr>
          <w:b/>
          <w:bCs/>
          <w:lang w:val="en-CA"/>
        </w:rPr>
        <w:t>contributions</w:t>
      </w:r>
      <w:r w:rsidR="00D7511D">
        <w:rPr>
          <w:b/>
          <w:bCs/>
          <w:lang w:val="en-CA"/>
        </w:rPr>
        <w:t xml:space="preserve"> and partnership development</w:t>
      </w:r>
    </w:p>
    <w:p w14:paraId="2B2C50DB" w14:textId="6FC79320" w:rsidR="00405883" w:rsidRPr="00405883" w:rsidRDefault="00405883" w:rsidP="007F7736">
      <w:pPr>
        <w:pStyle w:val="ListParagraph"/>
        <w:numPr>
          <w:ilvl w:val="1"/>
          <w:numId w:val="12"/>
        </w:numPr>
        <w:jc w:val="both"/>
        <w:rPr>
          <w:b/>
          <w:bCs/>
          <w:lang w:val="en-CA"/>
        </w:rPr>
      </w:pPr>
      <w:r>
        <w:rPr>
          <w:rFonts w:hint="eastAsia"/>
        </w:rPr>
        <w:t xml:space="preserve">Explore and facilitate </w:t>
      </w:r>
      <w:r>
        <w:t xml:space="preserve">secondments from governments </w:t>
      </w:r>
      <w:r w:rsidR="004B13E3">
        <w:t>and</w:t>
      </w:r>
      <w:r>
        <w:t xml:space="preserve"> </w:t>
      </w:r>
      <w:r w:rsidRPr="00E81FFE">
        <w:t>partner organizations</w:t>
      </w:r>
      <w:r>
        <w:t xml:space="preserve"> </w:t>
      </w:r>
      <w:r w:rsidR="00673919" w:rsidRPr="00673919">
        <w:t>and personnel support such as UN Volunteers</w:t>
      </w:r>
      <w:r w:rsidR="00673919">
        <w:t>,</w:t>
      </w:r>
      <w:r w:rsidR="00673919" w:rsidRPr="00673919">
        <w:t xml:space="preserve"> </w:t>
      </w:r>
      <w:r>
        <w:t>to TSCCs</w:t>
      </w:r>
    </w:p>
    <w:p w14:paraId="35BDC3C5" w14:textId="31447AEB" w:rsidR="007F7736" w:rsidRPr="006832B8" w:rsidRDefault="00405883" w:rsidP="007F7736">
      <w:pPr>
        <w:pStyle w:val="ListParagraph"/>
        <w:numPr>
          <w:ilvl w:val="1"/>
          <w:numId w:val="12"/>
        </w:numPr>
        <w:jc w:val="both"/>
        <w:rPr>
          <w:b/>
          <w:bCs/>
          <w:lang w:val="en-CA"/>
        </w:rPr>
      </w:pPr>
      <w:r>
        <w:rPr>
          <w:lang w:val="en-CA"/>
        </w:rPr>
        <w:t xml:space="preserve"> </w:t>
      </w:r>
      <w:r w:rsidR="007F7736">
        <w:rPr>
          <w:lang w:val="en-CA"/>
        </w:rPr>
        <w:t xml:space="preserve">Foster </w:t>
      </w:r>
      <w:r w:rsidR="00D47490">
        <w:rPr>
          <w:lang w:val="en-CA"/>
        </w:rPr>
        <w:t>enhanced collaboration between TSCCs</w:t>
      </w:r>
      <w:r w:rsidR="007F7736">
        <w:rPr>
          <w:lang w:val="en-CA"/>
        </w:rPr>
        <w:t xml:space="preserve"> </w:t>
      </w:r>
      <w:r w:rsidR="00DE1D4F">
        <w:rPr>
          <w:lang w:val="en-CA"/>
        </w:rPr>
        <w:t>and</w:t>
      </w:r>
      <w:r w:rsidR="007F7736">
        <w:rPr>
          <w:lang w:val="en-CA"/>
        </w:rPr>
        <w:t xml:space="preserve"> </w:t>
      </w:r>
      <w:r w:rsidR="0085276D">
        <w:rPr>
          <w:lang w:val="en-CA"/>
        </w:rPr>
        <w:t xml:space="preserve">relevant </w:t>
      </w:r>
      <w:r w:rsidR="007F7736">
        <w:rPr>
          <w:lang w:val="en-CA"/>
        </w:rPr>
        <w:t xml:space="preserve">global initiatives such as NBSAP Accelerator, </w:t>
      </w:r>
      <w:r w:rsidR="00886807">
        <w:rPr>
          <w:lang w:val="en-CA"/>
        </w:rPr>
        <w:t>Hi</w:t>
      </w:r>
      <w:r w:rsidR="00901562">
        <w:rPr>
          <w:lang w:val="en-CA"/>
        </w:rPr>
        <w:t>gh-Ambition Coalition (</w:t>
      </w:r>
      <w:r w:rsidR="007F7736">
        <w:rPr>
          <w:lang w:val="en-CA"/>
        </w:rPr>
        <w:t>HAC</w:t>
      </w:r>
      <w:r w:rsidR="00901562">
        <w:rPr>
          <w:lang w:val="en-CA"/>
        </w:rPr>
        <w:t>), NDC Partnership</w:t>
      </w:r>
      <w:r w:rsidR="007F7736">
        <w:rPr>
          <w:lang w:val="en-CA"/>
        </w:rPr>
        <w:t xml:space="preserve">, etc. </w:t>
      </w:r>
    </w:p>
    <w:p w14:paraId="13D09EA8" w14:textId="0409F8D3" w:rsidR="00357566" w:rsidRPr="00E57F13" w:rsidRDefault="006832B8" w:rsidP="00B6735F">
      <w:pPr>
        <w:pStyle w:val="ListParagraph"/>
        <w:numPr>
          <w:ilvl w:val="1"/>
          <w:numId w:val="12"/>
        </w:numPr>
        <w:jc w:val="both"/>
        <w:rPr>
          <w:b/>
          <w:lang w:val="en-CA"/>
        </w:rPr>
      </w:pPr>
      <w:r>
        <w:rPr>
          <w:lang w:val="en-CA"/>
        </w:rPr>
        <w:t xml:space="preserve">Foster </w:t>
      </w:r>
      <w:r w:rsidR="00FA4C92">
        <w:rPr>
          <w:lang w:val="en-CA"/>
        </w:rPr>
        <w:t>partnerships</w:t>
      </w:r>
      <w:r>
        <w:rPr>
          <w:lang w:val="en-CA"/>
        </w:rPr>
        <w:t xml:space="preserve"> with implementing </w:t>
      </w:r>
      <w:r w:rsidR="00FA4C92">
        <w:rPr>
          <w:lang w:val="en-CA"/>
        </w:rPr>
        <w:t xml:space="preserve">partners such as UNEP, UNDP, FAO, </w:t>
      </w:r>
      <w:r w:rsidR="002E310A">
        <w:rPr>
          <w:lang w:val="en-CA"/>
        </w:rPr>
        <w:t xml:space="preserve">UN </w:t>
      </w:r>
      <w:r w:rsidR="00FA4C92">
        <w:rPr>
          <w:lang w:val="en-CA"/>
        </w:rPr>
        <w:t>Economic commissions, etc.</w:t>
      </w:r>
    </w:p>
    <w:p w14:paraId="325101A2" w14:textId="7E06768A" w:rsidR="00273D01" w:rsidRPr="003E5C7A" w:rsidRDefault="00794341" w:rsidP="003E5C7A">
      <w:pPr>
        <w:pStyle w:val="ListParagraph"/>
        <w:numPr>
          <w:ilvl w:val="1"/>
          <w:numId w:val="12"/>
        </w:numPr>
        <w:jc w:val="both"/>
        <w:rPr>
          <w:b/>
          <w:bCs/>
          <w:lang w:val="en-CA"/>
        </w:rPr>
      </w:pPr>
      <w:r>
        <w:rPr>
          <w:lang w:val="en-CA"/>
        </w:rPr>
        <w:t xml:space="preserve">Engage </w:t>
      </w:r>
      <w:r w:rsidR="00163421">
        <w:rPr>
          <w:lang w:val="en-CA"/>
        </w:rPr>
        <w:t xml:space="preserve">the </w:t>
      </w:r>
      <w:r>
        <w:rPr>
          <w:lang w:val="en-CA"/>
        </w:rPr>
        <w:t xml:space="preserve">private sector </w:t>
      </w:r>
      <w:r w:rsidR="00163421">
        <w:rPr>
          <w:lang w:val="en-CA"/>
        </w:rPr>
        <w:t xml:space="preserve">to provide </w:t>
      </w:r>
      <w:r w:rsidR="003032E1">
        <w:rPr>
          <w:lang w:val="en-CA"/>
        </w:rPr>
        <w:t>te</w:t>
      </w:r>
      <w:r w:rsidR="00273D01">
        <w:rPr>
          <w:lang w:val="en-CA"/>
        </w:rPr>
        <w:t xml:space="preserve">chnical resources, including relevant technologies, </w:t>
      </w:r>
      <w:r w:rsidR="00253135">
        <w:rPr>
          <w:lang w:val="en-CA"/>
        </w:rPr>
        <w:t>requested by Parties</w:t>
      </w:r>
      <w:r w:rsidR="00273D01">
        <w:rPr>
          <w:lang w:val="en-CA"/>
        </w:rPr>
        <w:t xml:space="preserve"> </w:t>
      </w:r>
    </w:p>
    <w:p w14:paraId="013E3408" w14:textId="2479644A" w:rsidR="0088290B" w:rsidRDefault="00357566" w:rsidP="00357566">
      <w:pPr>
        <w:pStyle w:val="ListParagraph"/>
        <w:numPr>
          <w:ilvl w:val="0"/>
          <w:numId w:val="12"/>
        </w:numPr>
        <w:jc w:val="both"/>
        <w:rPr>
          <w:b/>
          <w:bCs/>
          <w:lang w:val="en-CA"/>
        </w:rPr>
      </w:pPr>
      <w:r w:rsidRPr="00365666">
        <w:rPr>
          <w:b/>
          <w:bCs/>
          <w:lang w:val="en-CA"/>
        </w:rPr>
        <w:t xml:space="preserve">Support the strengthening </w:t>
      </w:r>
      <w:r w:rsidR="00C0665A">
        <w:rPr>
          <w:b/>
          <w:bCs/>
          <w:lang w:val="en-CA"/>
        </w:rPr>
        <w:t xml:space="preserve">the </w:t>
      </w:r>
      <w:r w:rsidRPr="00365666">
        <w:rPr>
          <w:b/>
          <w:bCs/>
          <w:lang w:val="en-CA"/>
        </w:rPr>
        <w:t xml:space="preserve">capacities </w:t>
      </w:r>
      <w:r w:rsidR="00C0665A" w:rsidRPr="00365666">
        <w:rPr>
          <w:b/>
          <w:bCs/>
          <w:lang w:val="en-CA"/>
        </w:rPr>
        <w:t>of</w:t>
      </w:r>
      <w:r w:rsidR="00C0665A">
        <w:rPr>
          <w:b/>
          <w:bCs/>
          <w:lang w:val="en-CA"/>
        </w:rPr>
        <w:t xml:space="preserve"> </w:t>
      </w:r>
      <w:r w:rsidR="00C0665A" w:rsidRPr="00365666">
        <w:rPr>
          <w:b/>
          <w:bCs/>
          <w:lang w:val="en-CA"/>
        </w:rPr>
        <w:t xml:space="preserve">TSCC </w:t>
      </w:r>
      <w:r w:rsidRPr="00365666">
        <w:rPr>
          <w:b/>
          <w:bCs/>
          <w:lang w:val="en-CA"/>
        </w:rPr>
        <w:t>to mobilize resources</w:t>
      </w:r>
    </w:p>
    <w:p w14:paraId="434DA081" w14:textId="33E56CF7" w:rsidR="00365666" w:rsidRDefault="00365666" w:rsidP="00365666">
      <w:pPr>
        <w:pStyle w:val="ListParagraph"/>
        <w:numPr>
          <w:ilvl w:val="1"/>
          <w:numId w:val="12"/>
        </w:numPr>
        <w:jc w:val="both"/>
        <w:rPr>
          <w:lang w:val="en-CA"/>
        </w:rPr>
      </w:pPr>
      <w:r w:rsidRPr="00365666">
        <w:rPr>
          <w:lang w:val="en-CA"/>
        </w:rPr>
        <w:t>Organize</w:t>
      </w:r>
      <w:r>
        <w:rPr>
          <w:lang w:val="en-CA"/>
        </w:rPr>
        <w:t xml:space="preserve"> </w:t>
      </w:r>
      <w:r w:rsidR="00C0665A">
        <w:rPr>
          <w:lang w:val="en-CA"/>
        </w:rPr>
        <w:t xml:space="preserve">training </w:t>
      </w:r>
      <w:r>
        <w:rPr>
          <w:lang w:val="en-CA"/>
        </w:rPr>
        <w:t>wor</w:t>
      </w:r>
      <w:r w:rsidR="0051181C">
        <w:rPr>
          <w:lang w:val="en-CA"/>
        </w:rPr>
        <w:t>kshop</w:t>
      </w:r>
      <w:r w:rsidR="00FD4131">
        <w:rPr>
          <w:lang w:val="en-CA"/>
        </w:rPr>
        <w:t>s</w:t>
      </w:r>
      <w:r w:rsidR="0051181C">
        <w:rPr>
          <w:lang w:val="en-CA"/>
        </w:rPr>
        <w:t>/webinar</w:t>
      </w:r>
      <w:r w:rsidR="00FD4131">
        <w:rPr>
          <w:lang w:val="en-CA"/>
        </w:rPr>
        <w:t>s</w:t>
      </w:r>
      <w:r w:rsidR="0051181C">
        <w:rPr>
          <w:lang w:val="en-CA"/>
        </w:rPr>
        <w:t xml:space="preserve"> </w:t>
      </w:r>
      <w:r w:rsidR="0009613D">
        <w:rPr>
          <w:lang w:val="en-CA"/>
        </w:rPr>
        <w:t>for TSCCs</w:t>
      </w:r>
      <w:r w:rsidR="0051181C">
        <w:rPr>
          <w:lang w:val="en-CA"/>
        </w:rPr>
        <w:t xml:space="preserve"> on resource mobilization to be delivered by expert</w:t>
      </w:r>
      <w:r w:rsidR="0012129A">
        <w:rPr>
          <w:lang w:val="en-CA"/>
        </w:rPr>
        <w:t>s</w:t>
      </w:r>
    </w:p>
    <w:p w14:paraId="15497818" w14:textId="1786C1BD" w:rsidR="00CB608C" w:rsidRPr="000F1ED7" w:rsidRDefault="00A83C01" w:rsidP="000F1ED7">
      <w:pPr>
        <w:pStyle w:val="ListParagraph"/>
        <w:numPr>
          <w:ilvl w:val="1"/>
          <w:numId w:val="12"/>
        </w:numPr>
        <w:jc w:val="both"/>
        <w:rPr>
          <w:lang w:val="en-CA"/>
        </w:rPr>
      </w:pPr>
      <w:r w:rsidRPr="00A83C01">
        <w:rPr>
          <w:lang w:val="en-CA"/>
        </w:rPr>
        <w:t>Facilitate peer-to-peer l</w:t>
      </w:r>
      <w:r>
        <w:rPr>
          <w:lang w:val="en-CA"/>
        </w:rPr>
        <w:t>earning among TSCCs on resource mobilization</w:t>
      </w:r>
    </w:p>
    <w:p w14:paraId="3C166AA2" w14:textId="59552C2C" w:rsidR="000F1ED7" w:rsidRPr="000F1ED7" w:rsidRDefault="000F1ED7" w:rsidP="000F1ED7">
      <w:pPr>
        <w:jc w:val="both"/>
        <w:rPr>
          <w:b/>
          <w:bCs/>
        </w:rPr>
      </w:pPr>
      <w:r w:rsidRPr="000F1ED7">
        <w:rPr>
          <w:b/>
          <w:bCs/>
        </w:rPr>
        <w:t>Donor and partner segmentation</w:t>
      </w:r>
    </w:p>
    <w:p w14:paraId="43058BFD" w14:textId="77777777" w:rsidR="000F1ED7" w:rsidRDefault="000F1ED7" w:rsidP="003F5381">
      <w:pPr>
        <w:ind w:left="141"/>
        <w:jc w:val="both"/>
      </w:pPr>
      <w:r>
        <w:lastRenderedPageBreak/>
        <w:t>To maximize effectiveness and strategic alignment, different categories of funding partners will be engaged according to their comparative advantages and funding modalities.</w:t>
      </w:r>
    </w:p>
    <w:p w14:paraId="4DC93C2D" w14:textId="79A9FEB5" w:rsidR="000F1ED7" w:rsidRPr="005913E2" w:rsidRDefault="000F1ED7" w:rsidP="003F5381">
      <w:pPr>
        <w:ind w:left="141"/>
        <w:jc w:val="both"/>
      </w:pPr>
      <w:r>
        <w:t>Multilateral funds and development banks will be prioritized for programmatic and regional initiatives aligned with KMGBF targets and national priorities. Bilateral donors will be engaged primarily on thematic, regional, and multi-year project funding. Philanthropic foundations will be approached to support innovation, pilot initiatives, and catalytic funding. Implementing agencies, research institutions, and technical partners will be engaged to provide in-kind contributions, delivery partnerships, and expert secondments.</w:t>
      </w:r>
    </w:p>
    <w:p w14:paraId="3E90DBE1" w14:textId="47B6E057" w:rsidR="00CB608C" w:rsidRPr="00683CC3" w:rsidRDefault="005D45A0" w:rsidP="00683CC3">
      <w:pPr>
        <w:jc w:val="both"/>
        <w:rPr>
          <w:b/>
          <w:bCs/>
        </w:rPr>
      </w:pPr>
      <w:r w:rsidRPr="00683CC3">
        <w:rPr>
          <w:b/>
          <w:bCs/>
        </w:rPr>
        <w:t>Roles and responsibilities</w:t>
      </w:r>
    </w:p>
    <w:p w14:paraId="58D6B844" w14:textId="77777777" w:rsidR="00CB608C" w:rsidRDefault="005D45A0" w:rsidP="003F5381">
      <w:pPr>
        <w:jc w:val="both"/>
      </w:pPr>
      <w:r>
        <w:t xml:space="preserve">The GCE will </w:t>
      </w:r>
      <w:commentRangeStart w:id="12"/>
      <w:r>
        <w:t>focus on system-level functions</w:t>
      </w:r>
      <w:commentRangeEnd w:id="12"/>
      <w:r w:rsidR="00857832">
        <w:rPr>
          <w:rStyle w:val="CommentReference"/>
        </w:rPr>
        <w:commentReference w:id="12"/>
      </w:r>
      <w:r>
        <w:t xml:space="preserve">, including global donor engagement, development of shared funding narratives and programmatic frameworks, coordination with the Secretariat and multilateral initiatives, and the establishment of </w:t>
      </w:r>
      <w:commentRangeStart w:id="13"/>
      <w:r>
        <w:t>common tools, standards</w:t>
      </w:r>
      <w:commentRangeEnd w:id="13"/>
      <w:r w:rsidR="00857832">
        <w:rPr>
          <w:rStyle w:val="CommentReference"/>
        </w:rPr>
        <w:commentReference w:id="13"/>
      </w:r>
      <w:r>
        <w:t>, and partnerships to support resource mobilization.</w:t>
      </w:r>
    </w:p>
    <w:p w14:paraId="4067FA12" w14:textId="59F22C8E" w:rsidR="00CB608C" w:rsidRDefault="005D45A0" w:rsidP="003F5381">
      <w:pPr>
        <w:jc w:val="both"/>
      </w:pPr>
      <w:r>
        <w:t xml:space="preserve">TSCCs will retain primary responsibility for </w:t>
      </w:r>
      <w:r w:rsidR="00436974">
        <w:t xml:space="preserve">developing their own resource mobilization strategies </w:t>
      </w:r>
      <w:r>
        <w:t xml:space="preserve">identifying regionally specific needs, developing and implementing projects and </w:t>
      </w:r>
      <w:proofErr w:type="spellStart"/>
      <w:r>
        <w:t>programmes</w:t>
      </w:r>
      <w:proofErr w:type="spellEnd"/>
      <w:r>
        <w:t>, engaging with regional and national partners, and managing donor-funded activities in line with their governance arrangements.</w:t>
      </w:r>
    </w:p>
    <w:p w14:paraId="6FF1578F" w14:textId="77777777" w:rsidR="00CB608C" w:rsidRDefault="005D45A0" w:rsidP="005913E2">
      <w:pPr>
        <w:jc w:val="both"/>
      </w:pPr>
      <w:r>
        <w:t>Resource mobilization will therefore be pursued through a combination of centralized facilitation by the GCE and decentralized implementation by the TSCCs, ensuring efficiency while maintaining responsiveness to regional and national contexts.</w:t>
      </w:r>
    </w:p>
    <w:p w14:paraId="18B8ECAE" w14:textId="77777777" w:rsidR="00CB608C" w:rsidRPr="00683CC3" w:rsidRDefault="005D45A0" w:rsidP="00683CC3">
      <w:pPr>
        <w:jc w:val="both"/>
        <w:rPr>
          <w:b/>
          <w:bCs/>
        </w:rPr>
      </w:pPr>
      <w:r w:rsidRPr="00683CC3">
        <w:rPr>
          <w:b/>
          <w:bCs/>
        </w:rPr>
        <w:t>Monitoring progress and success</w:t>
      </w:r>
    </w:p>
    <w:p w14:paraId="095CA010" w14:textId="7EDFA204" w:rsidR="00CB608C" w:rsidRDefault="005D45A0" w:rsidP="005913E2">
      <w:pPr>
        <w:jc w:val="both"/>
      </w:pPr>
      <w:r>
        <w:t xml:space="preserve">Progress under this </w:t>
      </w:r>
      <w:r w:rsidR="0068651B">
        <w:rPr>
          <w:rFonts w:eastAsia="Malgun Gothic" w:hint="eastAsia"/>
        </w:rPr>
        <w:t xml:space="preserve">strategic plan </w:t>
      </w:r>
      <w:r w:rsidR="00B966DD">
        <w:rPr>
          <w:rFonts w:eastAsia="Malgun Gothic" w:hint="eastAsia"/>
        </w:rPr>
        <w:t xml:space="preserve">to </w:t>
      </w:r>
      <w:proofErr w:type="spellStart"/>
      <w:r w:rsidR="00B966DD">
        <w:rPr>
          <w:rFonts w:eastAsia="Malgun Gothic" w:hint="eastAsia"/>
        </w:rPr>
        <w:t>mobilze</w:t>
      </w:r>
      <w:proofErr w:type="spellEnd"/>
      <w:r w:rsidR="00B966DD">
        <w:rPr>
          <w:rFonts w:eastAsia="Malgun Gothic" w:hint="eastAsia"/>
        </w:rPr>
        <w:t xml:space="preserve"> </w:t>
      </w:r>
      <w:r>
        <w:t>resource</w:t>
      </w:r>
      <w:r w:rsidR="00B966DD">
        <w:rPr>
          <w:rFonts w:eastAsia="Malgun Gothic" w:hint="eastAsia"/>
        </w:rPr>
        <w:t>s</w:t>
      </w:r>
      <w:r>
        <w:t xml:space="preserve"> will be monitored using a combination of quantitative and qualitative indicators to support learning, accountability, and adaptive management.</w:t>
      </w:r>
    </w:p>
    <w:p w14:paraId="417538EA" w14:textId="77777777" w:rsidR="00CB608C" w:rsidRDefault="005D45A0" w:rsidP="005913E2">
      <w:pPr>
        <w:jc w:val="both"/>
      </w:pPr>
      <w:r>
        <w:t xml:space="preserve">Indicative indicators </w:t>
      </w:r>
      <w:commentRangeStart w:id="14"/>
      <w:r>
        <w:t>may include</w:t>
      </w:r>
      <w:commentRangeEnd w:id="14"/>
      <w:r w:rsidR="00857832">
        <w:rPr>
          <w:rStyle w:val="CommentReference"/>
        </w:rPr>
        <w:commentReference w:id="14"/>
      </w:r>
      <w:r>
        <w:t xml:space="preserve">: the volume of financial resources mobilized for TSCC activities, disaggregated by project-based, programmatic, and core funding; the number of TSCCs accessing multi-year or programmatic funding; the value and </w:t>
      </w:r>
      <w:commentRangeStart w:id="15"/>
      <w:r>
        <w:t>diversity of in-kind contributions mobilized</w:t>
      </w:r>
      <w:commentRangeEnd w:id="15"/>
      <w:r w:rsidR="00857832">
        <w:rPr>
          <w:rStyle w:val="CommentReference"/>
        </w:rPr>
        <w:commentReference w:id="15"/>
      </w:r>
      <w:r>
        <w:t>, including secondments and technical expertise; the number of pooled or joint funding initiatives facilitated by the GCE; and feedback from donors and partners on coordination efficiency and value added.</w:t>
      </w:r>
    </w:p>
    <w:p w14:paraId="49153E33" w14:textId="12B65E22" w:rsidR="00CB608C" w:rsidRDefault="005D45A0" w:rsidP="005913E2">
      <w:pPr>
        <w:jc w:val="both"/>
      </w:pPr>
      <w:r>
        <w:t>These indicators will be used to assess overall progress and inform strategic adjustments</w:t>
      </w:r>
      <w:r w:rsidR="00436974">
        <w:t>.</w:t>
      </w:r>
    </w:p>
    <w:p w14:paraId="4F001885" w14:textId="77777777" w:rsidR="00CB608C" w:rsidRPr="00683CC3" w:rsidRDefault="005D45A0" w:rsidP="00683CC3">
      <w:pPr>
        <w:jc w:val="both"/>
        <w:rPr>
          <w:b/>
          <w:bCs/>
        </w:rPr>
      </w:pPr>
      <w:r w:rsidRPr="00683CC3">
        <w:rPr>
          <w:b/>
          <w:bCs/>
        </w:rPr>
        <w:t>Risks and mitigation measures</w:t>
      </w:r>
    </w:p>
    <w:p w14:paraId="51B99908" w14:textId="77777777" w:rsidR="00CB608C" w:rsidRDefault="005D45A0" w:rsidP="005913E2">
      <w:pPr>
        <w:jc w:val="both"/>
      </w:pPr>
      <w:commentRangeStart w:id="16"/>
      <w:r>
        <w:lastRenderedPageBreak/>
        <w:t xml:space="preserve">Key risks </w:t>
      </w:r>
      <w:commentRangeEnd w:id="16"/>
      <w:r w:rsidR="005509A1">
        <w:rPr>
          <w:rStyle w:val="CommentReference"/>
        </w:rPr>
        <w:commentReference w:id="16"/>
      </w:r>
      <w:r>
        <w:t>to effective resource mobilization include uneven fundraising capacities across TSCCs, fragmentation of donor engagement, competition for limited biodiversity finance, and continued reliance on short-term project funding.</w:t>
      </w:r>
    </w:p>
    <w:p w14:paraId="5830A544" w14:textId="57A0BFA2" w:rsidR="00CB608C" w:rsidRDefault="005D45A0" w:rsidP="005913E2">
      <w:pPr>
        <w:jc w:val="both"/>
      </w:pPr>
      <w:commentRangeStart w:id="17"/>
      <w:r>
        <w:t>These risks will be mitigated through coordinated donor outreach led by the GCE, the development of shared funding narratives and programmatic offerings, targeted capacity support for TSCC</w:t>
      </w:r>
      <w:r w:rsidR="00436974">
        <w:t xml:space="preserve">s, </w:t>
      </w:r>
      <w:r>
        <w:t>particularly those in developing regions</w:t>
      </w:r>
      <w:r w:rsidR="00436974">
        <w:t xml:space="preserve">, </w:t>
      </w:r>
      <w:r>
        <w:t xml:space="preserve">and proactive advocacy for core and multi-year funding arrangements aligned with the </w:t>
      </w:r>
      <w:r w:rsidR="00436974">
        <w:t>KMGBF</w:t>
      </w:r>
      <w:r>
        <w:t>.</w:t>
      </w:r>
      <w:commentRangeEnd w:id="17"/>
      <w:r w:rsidR="00A85F9C">
        <w:rPr>
          <w:rStyle w:val="CommentReference"/>
        </w:rPr>
        <w:commentReference w:id="17"/>
      </w:r>
    </w:p>
    <w:sectPr w:rsidR="00CB608C" w:rsidSect="00D53B24">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on" w:date="2026-05-08T17:01:00Z" w:initials="AN">
    <w:p w14:paraId="1164DBBD" w14:textId="77777777" w:rsidR="005509A1" w:rsidRDefault="005509A1" w:rsidP="005509A1">
      <w:pPr>
        <w:pStyle w:val="CommentText"/>
      </w:pPr>
      <w:r>
        <w:rPr>
          <w:rStyle w:val="CommentReference"/>
        </w:rPr>
        <w:annotationRef/>
      </w:r>
      <w:r>
        <w:t xml:space="preserve">It may be worth repeating mention of this 3-4 year lifespan below, especially when listing objectives and tasks, to keep the reader’s focus on the scale of the task over the specified lifespan of this plan. </w:t>
      </w:r>
    </w:p>
  </w:comment>
  <w:comment w:id="1" w:author="Anon" w:date="2026-05-08T14:30:00Z" w:initials="AN">
    <w:p w14:paraId="3303E87C" w14:textId="322EAEF4" w:rsidR="005F43D1" w:rsidRDefault="005F43D1" w:rsidP="005F43D1">
      <w:pPr>
        <w:pStyle w:val="CommentText"/>
      </w:pPr>
      <w:r>
        <w:rPr>
          <w:rStyle w:val="CommentReference"/>
        </w:rPr>
        <w:annotationRef/>
      </w:r>
      <w:r>
        <w:t xml:space="preserve">Is there a need to have an overarching statement here of how/why 18 has become 15, or in which context there are 18TSCCs and when there are 15TSCCs. Is there a need to make any amendments to the TSCC webpage here: </w:t>
      </w:r>
      <w:hyperlink r:id="rId1" w:history="1">
        <w:r w:rsidRPr="005E13F3">
          <w:rPr>
            <w:rStyle w:val="Hyperlink"/>
          </w:rPr>
          <w:t>https://www.cbd.int/tsc/tscm/subregionalcentres</w:t>
        </w:r>
      </w:hyperlink>
    </w:p>
    <w:p w14:paraId="37FAA56E" w14:textId="77777777" w:rsidR="005F43D1" w:rsidRDefault="005F43D1" w:rsidP="005F43D1">
      <w:pPr>
        <w:pStyle w:val="CommentText"/>
      </w:pPr>
    </w:p>
    <w:p w14:paraId="25A93246" w14:textId="77777777" w:rsidR="005F43D1" w:rsidRDefault="005F43D1" w:rsidP="005F43D1">
      <w:pPr>
        <w:pStyle w:val="CommentText"/>
      </w:pPr>
      <w:r>
        <w:t>This have 15 bullet points, with the other three playing supporting roles. Are the expectations different? Do they different reporting requirements?</w:t>
      </w:r>
    </w:p>
    <w:p w14:paraId="66FA5B94" w14:textId="77777777" w:rsidR="005F43D1" w:rsidRDefault="005F43D1" w:rsidP="005F43D1">
      <w:pPr>
        <w:pStyle w:val="CommentText"/>
      </w:pPr>
    </w:p>
    <w:p w14:paraId="68E389F1" w14:textId="77777777" w:rsidR="005F43D1" w:rsidRDefault="005F43D1" w:rsidP="005F43D1">
      <w:pPr>
        <w:pStyle w:val="CommentText"/>
      </w:pPr>
      <w:r>
        <w:t xml:space="preserve">Other docs we have seen, such as that giving the number of signed agreements, state 15 TSCCs. </w:t>
      </w:r>
    </w:p>
  </w:comment>
  <w:comment w:id="2" w:author="Anon" w:date="2026-05-08T14:31:00Z" w:initials="AN">
    <w:p w14:paraId="569F0E40" w14:textId="77777777" w:rsidR="005F43D1" w:rsidRDefault="005F43D1" w:rsidP="005F43D1">
      <w:pPr>
        <w:pStyle w:val="CommentText"/>
      </w:pPr>
      <w:r>
        <w:rPr>
          <w:rStyle w:val="CommentReference"/>
        </w:rPr>
        <w:annotationRef/>
      </w:r>
      <w:r>
        <w:t>Is this only money? It is possible to envisage to envisage on-financial resources making a significant difference</w:t>
      </w:r>
    </w:p>
  </w:comment>
  <w:comment w:id="3" w:author="Anon" w:date="2026-05-08T14:54:00Z" w:initials="AN">
    <w:p w14:paraId="4FE56B75" w14:textId="77777777" w:rsidR="00593783" w:rsidRDefault="00593783" w:rsidP="00593783">
      <w:pPr>
        <w:pStyle w:val="CommentText"/>
      </w:pPr>
      <w:r>
        <w:rPr>
          <w:rStyle w:val="CommentReference"/>
        </w:rPr>
        <w:annotationRef/>
      </w:r>
      <w:r>
        <w:t>There seems to quite a lot here for a very small team with limited capacity. Would it be helpful to indicate priorities, or which tasks will be addressed first. For example, the first objective will presumably need more than a strong value proposition for the TSC Mechanism to be effectively positioned? For example, will donors and implementing agencies need to see some evidence of track record?</w:t>
      </w:r>
    </w:p>
  </w:comment>
  <w:comment w:id="4" w:author="Anon" w:date="2026-05-08T14:55:00Z" w:initials="AN">
    <w:p w14:paraId="64D64027" w14:textId="77777777" w:rsidR="00593783" w:rsidRDefault="00593783" w:rsidP="00593783">
      <w:pPr>
        <w:pStyle w:val="CommentText"/>
      </w:pPr>
      <w:r>
        <w:rPr>
          <w:rStyle w:val="CommentReference"/>
        </w:rPr>
        <w:annotationRef/>
      </w:r>
      <w:r>
        <w:t>This sounds great, but it is not clear what it means in practice. How would they ‘</w:t>
      </w:r>
      <w:r>
        <w:rPr>
          <w:lang w:val="en-CA"/>
        </w:rPr>
        <w:t>use the technical and scientific cooperation mechanism to leverage additional …’ Does this need proof of concept?</w:t>
      </w:r>
    </w:p>
  </w:comment>
  <w:comment w:id="5" w:author="Anon" w:date="2026-05-08T15:00:00Z" w:initials="AN">
    <w:p w14:paraId="21F9BC3B" w14:textId="77777777" w:rsidR="00593783" w:rsidRDefault="00593783" w:rsidP="00593783">
      <w:pPr>
        <w:pStyle w:val="CommentText"/>
      </w:pPr>
      <w:r>
        <w:rPr>
          <w:rStyle w:val="CommentReference"/>
        </w:rPr>
        <w:annotationRef/>
      </w:r>
      <w:r>
        <w:t>Presumably this is a much later priority, as the system has to be built first, before it can be streamlined and strengthened</w:t>
      </w:r>
    </w:p>
  </w:comment>
  <w:comment w:id="6" w:author="Anon" w:date="2026-05-08T15:01:00Z" w:initials="AN">
    <w:p w14:paraId="4C94A090" w14:textId="77777777" w:rsidR="00593783" w:rsidRDefault="00593783" w:rsidP="00593783">
      <w:pPr>
        <w:pStyle w:val="CommentText"/>
      </w:pPr>
      <w:r>
        <w:rPr>
          <w:rStyle w:val="CommentReference"/>
        </w:rPr>
        <w:annotationRef/>
      </w:r>
      <w:r>
        <w:t xml:space="preserve">This seems a key underlying principle. </w:t>
      </w:r>
    </w:p>
  </w:comment>
  <w:comment w:id="7" w:author="Anon" w:date="2026-05-08T16:17:00Z" w:initials="AN">
    <w:p w14:paraId="1FBD5E0F" w14:textId="77777777" w:rsidR="002B1545" w:rsidRDefault="00EF01A1" w:rsidP="002B1545">
      <w:pPr>
        <w:pStyle w:val="CommentText"/>
      </w:pPr>
      <w:r>
        <w:rPr>
          <w:rStyle w:val="CommentReference"/>
        </w:rPr>
        <w:annotationRef/>
      </w:r>
      <w:r w:rsidR="002B1545">
        <w:t>Is this ALL TSCCs, or is it worth indicating that this varies from TSCC to TSCC, possibly quite significantly.</w:t>
      </w:r>
    </w:p>
  </w:comment>
  <w:comment w:id="8" w:author="Anon" w:date="2026-05-08T16:43:00Z" w:initials="AN">
    <w:p w14:paraId="050FB58A" w14:textId="77777777" w:rsidR="00296DE7" w:rsidRDefault="00296DE7" w:rsidP="00296DE7">
      <w:pPr>
        <w:pStyle w:val="CommentText"/>
      </w:pPr>
      <w:r>
        <w:rPr>
          <w:rStyle w:val="CommentReference"/>
        </w:rPr>
        <w:annotationRef/>
      </w:r>
      <w:r>
        <w:t>Have these been mentioned before? Are they covered by the two CoP decisions noted above, in footnotes 1 and 2. Should be introduced above?</w:t>
      </w:r>
      <w:r>
        <w:br/>
      </w:r>
      <w:r>
        <w:br/>
        <w:t xml:space="preserve">These are potentially very important, especially in the early stages before (we hope) much more finance becomes available. </w:t>
      </w:r>
    </w:p>
  </w:comment>
  <w:comment w:id="9" w:author="Anon" w:date="2026-05-08T16:47:00Z" w:initials="AN">
    <w:p w14:paraId="221A33E5" w14:textId="77777777" w:rsidR="00296DE7" w:rsidRDefault="00296DE7" w:rsidP="00296DE7">
      <w:pPr>
        <w:pStyle w:val="CommentText"/>
      </w:pPr>
      <w:r>
        <w:rPr>
          <w:rStyle w:val="CommentReference"/>
        </w:rPr>
        <w:annotationRef/>
      </w:r>
      <w:r>
        <w:t>‘needs’ would seem much better than ‘gaps’</w:t>
      </w:r>
    </w:p>
  </w:comment>
  <w:comment w:id="10" w:author="Anon" w:date="2026-05-08T16:48:00Z" w:initials="AN">
    <w:p w14:paraId="6C3D3681" w14:textId="77777777" w:rsidR="00857832" w:rsidRDefault="00857832" w:rsidP="00857832">
      <w:pPr>
        <w:pStyle w:val="CommentText"/>
      </w:pPr>
      <w:r>
        <w:rPr>
          <w:rStyle w:val="CommentReference"/>
        </w:rPr>
        <w:annotationRef/>
      </w:r>
      <w:r>
        <w:t xml:space="preserve">This, and the preceding list of entities, suggests non-financial engagement. </w:t>
      </w:r>
    </w:p>
  </w:comment>
  <w:comment w:id="11" w:author="Anon" w:date="2026-05-08T16:53:00Z" w:initials="AN">
    <w:p w14:paraId="4310BD55" w14:textId="77777777" w:rsidR="00857832" w:rsidRDefault="00857832" w:rsidP="00857832">
      <w:pPr>
        <w:pStyle w:val="CommentText"/>
      </w:pPr>
      <w:r>
        <w:rPr>
          <w:rStyle w:val="CommentReference"/>
        </w:rPr>
        <w:annotationRef/>
      </w:r>
      <w:r>
        <w:t>There are 19 bullet points here. Is it realistic for the GCE to tackle all of these? (Is there a timescale for this plan to do all of these things?) Is it worth prioritising some as ‘must do’ and others as ‘nice to have’ or listing in sequence as those to be addressed in Phase 1, then those in Phase 2 etc?</w:t>
      </w:r>
    </w:p>
  </w:comment>
  <w:comment w:id="12" w:author="Anon" w:date="2026-05-08T16:54:00Z" w:initials="AN">
    <w:p w14:paraId="40FBBFE1" w14:textId="77777777" w:rsidR="00857832" w:rsidRDefault="00857832" w:rsidP="00857832">
      <w:pPr>
        <w:pStyle w:val="CommentText"/>
      </w:pPr>
      <w:r>
        <w:rPr>
          <w:rStyle w:val="CommentReference"/>
        </w:rPr>
        <w:annotationRef/>
      </w:r>
      <w:r>
        <w:t>Which of the above 19 bullet points fall under this description? Is it worth highlighting those as the priorities?</w:t>
      </w:r>
    </w:p>
  </w:comment>
  <w:comment w:id="13" w:author="Anon" w:date="2026-05-08T16:55:00Z" w:initials="AN">
    <w:p w14:paraId="6CFC9325" w14:textId="77777777" w:rsidR="00857832" w:rsidRDefault="00857832" w:rsidP="00857832">
      <w:pPr>
        <w:pStyle w:val="CommentText"/>
      </w:pPr>
      <w:r>
        <w:rPr>
          <w:rStyle w:val="CommentReference"/>
        </w:rPr>
        <w:annotationRef/>
      </w:r>
      <w:r>
        <w:t>I am not sure what these might be - would these be apparent to Parties?</w:t>
      </w:r>
    </w:p>
  </w:comment>
  <w:comment w:id="14" w:author="Anon" w:date="2026-05-08T16:56:00Z" w:initials="AN">
    <w:p w14:paraId="1688E843" w14:textId="77777777" w:rsidR="00857832" w:rsidRDefault="00857832" w:rsidP="00857832">
      <w:pPr>
        <w:pStyle w:val="CommentText"/>
      </w:pPr>
      <w:r>
        <w:rPr>
          <w:rStyle w:val="CommentReference"/>
        </w:rPr>
        <w:annotationRef/>
      </w:r>
      <w:r>
        <w:t>Who will be responsible to finalising them and undertaking the monitoring?</w:t>
      </w:r>
    </w:p>
  </w:comment>
  <w:comment w:id="15" w:author="Anon" w:date="2026-05-08T16:57:00Z" w:initials="AN">
    <w:p w14:paraId="3CBC67CC" w14:textId="77777777" w:rsidR="00857832" w:rsidRDefault="00857832" w:rsidP="00857832">
      <w:pPr>
        <w:pStyle w:val="CommentText"/>
      </w:pPr>
      <w:r>
        <w:rPr>
          <w:rStyle w:val="CommentReference"/>
        </w:rPr>
        <w:annotationRef/>
      </w:r>
      <w:r>
        <w:t xml:space="preserve">As above, maybe worth introducing non-financial resources early in this document. </w:t>
      </w:r>
    </w:p>
  </w:comment>
  <w:comment w:id="16" w:author="Anon" w:date="2026-05-08T16:59:00Z" w:initials="AN">
    <w:p w14:paraId="10B3B962" w14:textId="77777777" w:rsidR="005509A1" w:rsidRDefault="005509A1" w:rsidP="005509A1">
      <w:pPr>
        <w:pStyle w:val="CommentText"/>
      </w:pPr>
      <w:r>
        <w:rPr>
          <w:rStyle w:val="CommentReference"/>
        </w:rPr>
        <w:annotationRef/>
      </w:r>
      <w:r>
        <w:t>Is there any risk to the GCE attracting sufficient funds to operate? That seems the biggest risk, doesn’t it? Should it be stated if the GCE has funding for a particular period (if that is the case)?</w:t>
      </w:r>
    </w:p>
  </w:comment>
  <w:comment w:id="17" w:author="Anon" w:date="2026-05-08T14:25:00Z" w:initials="AN">
    <w:p w14:paraId="2C110ED6" w14:textId="4DB5FBAA" w:rsidR="00A85F9C" w:rsidRDefault="00A85F9C" w:rsidP="00A85F9C">
      <w:pPr>
        <w:pStyle w:val="CommentText"/>
      </w:pPr>
      <w:r>
        <w:rPr>
          <w:rStyle w:val="CommentReference"/>
        </w:rPr>
        <w:annotationRef/>
      </w:r>
      <w:r>
        <w:t xml:space="preserve">The main risk to the TSC mechanism’s effectiveness will be uneven resources between TSC centres that may perpetuate capacity inequalities between regions. Risk mitigations therefore feel like an essential part of this plan, and so more detail would be appreciated.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64DBBD" w15:done="0"/>
  <w15:commentEx w15:paraId="68E389F1" w15:done="0"/>
  <w15:commentEx w15:paraId="569F0E40" w15:done="0"/>
  <w15:commentEx w15:paraId="4FE56B75" w15:done="0"/>
  <w15:commentEx w15:paraId="64D64027" w15:done="0"/>
  <w15:commentEx w15:paraId="21F9BC3B" w15:done="0"/>
  <w15:commentEx w15:paraId="4C94A090" w15:done="0"/>
  <w15:commentEx w15:paraId="1FBD5E0F" w15:done="0"/>
  <w15:commentEx w15:paraId="050FB58A" w15:done="0"/>
  <w15:commentEx w15:paraId="221A33E5" w15:done="0"/>
  <w15:commentEx w15:paraId="6C3D3681" w15:done="0"/>
  <w15:commentEx w15:paraId="4310BD55" w15:done="0"/>
  <w15:commentEx w15:paraId="40FBBFE1" w15:done="0"/>
  <w15:commentEx w15:paraId="6CFC9325" w15:done="0"/>
  <w15:commentEx w15:paraId="1688E843" w15:done="0"/>
  <w15:commentEx w15:paraId="3CBC67CC" w15:done="0"/>
  <w15:commentEx w15:paraId="10B3B962" w15:done="0"/>
  <w15:commentEx w15:paraId="2C110E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A06A99" w16cex:dateUtc="2026-05-08T16:01:00Z"/>
  <w16cex:commentExtensible w16cex:durableId="465417D0" w16cex:dateUtc="2026-05-08T13:30:00Z"/>
  <w16cex:commentExtensible w16cex:durableId="2ECF2807" w16cex:dateUtc="2026-05-08T13:31:00Z"/>
  <w16cex:commentExtensible w16cex:durableId="56734280" w16cex:dateUtc="2026-05-08T13:54:00Z"/>
  <w16cex:commentExtensible w16cex:durableId="6929BFB8" w16cex:dateUtc="2026-05-08T13:55:00Z"/>
  <w16cex:commentExtensible w16cex:durableId="104BFF39" w16cex:dateUtc="2026-05-08T14:00:00Z"/>
  <w16cex:commentExtensible w16cex:durableId="0189CB8F" w16cex:dateUtc="2026-05-08T14:01:00Z"/>
  <w16cex:commentExtensible w16cex:durableId="20628A0B" w16cex:dateUtc="2026-05-08T15:17:00Z"/>
  <w16cex:commentExtensible w16cex:durableId="2053E039" w16cex:dateUtc="2026-05-08T15:43:00Z"/>
  <w16cex:commentExtensible w16cex:durableId="7151926E" w16cex:dateUtc="2026-05-08T15:47:00Z"/>
  <w16cex:commentExtensible w16cex:durableId="11BF47C9" w16cex:dateUtc="2026-05-08T15:48:00Z"/>
  <w16cex:commentExtensible w16cex:durableId="1045B408" w16cex:dateUtc="2026-05-08T15:53:00Z"/>
  <w16cex:commentExtensible w16cex:durableId="25C84143" w16cex:dateUtc="2026-05-08T15:54:00Z"/>
  <w16cex:commentExtensible w16cex:durableId="620BDA46" w16cex:dateUtc="2026-05-08T15:55:00Z"/>
  <w16cex:commentExtensible w16cex:durableId="31AB7815" w16cex:dateUtc="2026-05-08T15:56:00Z"/>
  <w16cex:commentExtensible w16cex:durableId="3DE67AFD" w16cex:dateUtc="2026-05-08T15:57:00Z"/>
  <w16cex:commentExtensible w16cex:durableId="2AA5C16D" w16cex:dateUtc="2026-05-08T15:59:00Z"/>
  <w16cex:commentExtensible w16cex:durableId="75ED1BEF" w16cex:dateUtc="2026-05-08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64DBBD" w16cid:durableId="0CA06A99"/>
  <w16cid:commentId w16cid:paraId="68E389F1" w16cid:durableId="465417D0"/>
  <w16cid:commentId w16cid:paraId="569F0E40" w16cid:durableId="2ECF2807"/>
  <w16cid:commentId w16cid:paraId="4FE56B75" w16cid:durableId="56734280"/>
  <w16cid:commentId w16cid:paraId="64D64027" w16cid:durableId="6929BFB8"/>
  <w16cid:commentId w16cid:paraId="21F9BC3B" w16cid:durableId="104BFF39"/>
  <w16cid:commentId w16cid:paraId="4C94A090" w16cid:durableId="0189CB8F"/>
  <w16cid:commentId w16cid:paraId="1FBD5E0F" w16cid:durableId="20628A0B"/>
  <w16cid:commentId w16cid:paraId="050FB58A" w16cid:durableId="2053E039"/>
  <w16cid:commentId w16cid:paraId="221A33E5" w16cid:durableId="7151926E"/>
  <w16cid:commentId w16cid:paraId="6C3D3681" w16cid:durableId="11BF47C9"/>
  <w16cid:commentId w16cid:paraId="4310BD55" w16cid:durableId="1045B408"/>
  <w16cid:commentId w16cid:paraId="40FBBFE1" w16cid:durableId="25C84143"/>
  <w16cid:commentId w16cid:paraId="6CFC9325" w16cid:durableId="620BDA46"/>
  <w16cid:commentId w16cid:paraId="1688E843" w16cid:durableId="31AB7815"/>
  <w16cid:commentId w16cid:paraId="3CBC67CC" w16cid:durableId="3DE67AFD"/>
  <w16cid:commentId w16cid:paraId="10B3B962" w16cid:durableId="2AA5C16D"/>
  <w16cid:commentId w16cid:paraId="2C110ED6" w16cid:durableId="75ED1B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7653F" w14:textId="77777777" w:rsidR="00BC463A" w:rsidRDefault="00BC463A" w:rsidP="006D5825">
      <w:pPr>
        <w:spacing w:after="0" w:line="240" w:lineRule="auto"/>
      </w:pPr>
      <w:r>
        <w:separator/>
      </w:r>
    </w:p>
  </w:endnote>
  <w:endnote w:type="continuationSeparator" w:id="0">
    <w:p w14:paraId="3DE60CCA" w14:textId="77777777" w:rsidR="00BC463A" w:rsidRDefault="00BC463A" w:rsidP="006D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FD26" w14:textId="77777777" w:rsidR="001D3C73" w:rsidRDefault="001D3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925797"/>
      <w:docPartObj>
        <w:docPartGallery w:val="Page Numbers (Bottom of Page)"/>
        <w:docPartUnique/>
      </w:docPartObj>
    </w:sdtPr>
    <w:sdtEndPr>
      <w:rPr>
        <w:noProof/>
      </w:rPr>
    </w:sdtEndPr>
    <w:sdtContent>
      <w:p w14:paraId="785AD85A" w14:textId="44060EB0" w:rsidR="001D3C73" w:rsidRDefault="001D3C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A5B3D0" w14:textId="77777777" w:rsidR="001D3C73" w:rsidRDefault="001D3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C66B" w14:textId="77777777" w:rsidR="001D3C73" w:rsidRDefault="001D3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C0DDD" w14:textId="77777777" w:rsidR="00BC463A" w:rsidRDefault="00BC463A" w:rsidP="006D5825">
      <w:pPr>
        <w:spacing w:after="0" w:line="240" w:lineRule="auto"/>
      </w:pPr>
      <w:r>
        <w:separator/>
      </w:r>
    </w:p>
  </w:footnote>
  <w:footnote w:type="continuationSeparator" w:id="0">
    <w:p w14:paraId="70E9F4C1" w14:textId="77777777" w:rsidR="00BC463A" w:rsidRDefault="00BC463A" w:rsidP="006D5825">
      <w:pPr>
        <w:spacing w:after="0" w:line="240" w:lineRule="auto"/>
      </w:pPr>
      <w:r>
        <w:continuationSeparator/>
      </w:r>
    </w:p>
  </w:footnote>
  <w:footnote w:id="1">
    <w:p w14:paraId="02DA92C0" w14:textId="2E3ADEA7" w:rsidR="00CC42A6" w:rsidRDefault="00CC42A6">
      <w:pPr>
        <w:pStyle w:val="FootnoteText"/>
      </w:pPr>
      <w:r>
        <w:rPr>
          <w:rStyle w:val="FootnoteReference"/>
        </w:rPr>
        <w:footnoteRef/>
      </w:r>
      <w:r>
        <w:t xml:space="preserve"> </w:t>
      </w:r>
      <w:r w:rsidR="00F4612A">
        <w:t>Paragraph 34(</w:t>
      </w:r>
      <w:r w:rsidR="000551C0">
        <w:t xml:space="preserve">b)(VIII) of decision 15/8 </w:t>
      </w:r>
      <w:r w:rsidR="00982607">
        <w:t>r</w:t>
      </w:r>
      <w:r w:rsidR="00982607" w:rsidRPr="00982607">
        <w:t>equests the Executive Secretary</w:t>
      </w:r>
      <w:r w:rsidR="00982607">
        <w:t xml:space="preserve"> to “</w:t>
      </w:r>
      <w:r w:rsidR="00313AF9" w:rsidRPr="00313AF9">
        <w:t>Initiate and facilitate a process to identify donors that could provide additional funding to the selected entity(</w:t>
      </w:r>
      <w:proofErr w:type="spellStart"/>
      <w:r w:rsidR="00313AF9" w:rsidRPr="00313AF9">
        <w:t>ies</w:t>
      </w:r>
      <w:proofErr w:type="spellEnd"/>
      <w:r w:rsidR="00313AF9" w:rsidRPr="00313AF9">
        <w:t>) and organizations to facilitate technical and scientific cooperation</w:t>
      </w:r>
      <w:r w:rsidR="00F73CA0">
        <w:t>”</w:t>
      </w:r>
    </w:p>
  </w:footnote>
  <w:footnote w:id="2">
    <w:p w14:paraId="3C9314FD" w14:textId="243527F6" w:rsidR="00B35B77" w:rsidRDefault="00B35B77">
      <w:pPr>
        <w:pStyle w:val="FootnoteText"/>
      </w:pPr>
      <w:r>
        <w:rPr>
          <w:rStyle w:val="FootnoteReference"/>
        </w:rPr>
        <w:footnoteRef/>
      </w:r>
      <w:r>
        <w:t xml:space="preserve"> Paragraph </w:t>
      </w:r>
      <w:r w:rsidRPr="00B35B77">
        <w:t>14</w:t>
      </w:r>
      <w:r>
        <w:t xml:space="preserve"> of decision 16/3</w:t>
      </w:r>
      <w:r w:rsidR="00404736">
        <w:t>, “</w:t>
      </w:r>
      <w:r w:rsidRPr="00B35B77">
        <w:t xml:space="preserve">Encourages the global coordination entity and the regional and subregional support </w:t>
      </w:r>
      <w:proofErr w:type="spellStart"/>
      <w:r w:rsidRPr="00B35B77">
        <w:t>centres</w:t>
      </w:r>
      <w:proofErr w:type="spellEnd"/>
      <w:r w:rsidRPr="00B35B77">
        <w:t xml:space="preserve"> to mobilize the necessary funding from various sources, including international and domestic, public and private sources, as well as the financial and in-kind contributions of the entities and organizations selected to host the </w:t>
      </w:r>
      <w:proofErr w:type="spellStart"/>
      <w:r w:rsidRPr="00B35B77">
        <w:t>centres</w:t>
      </w:r>
      <w:proofErr w:type="spellEnd"/>
      <w:r w:rsidRPr="00B35B77">
        <w:t>, to support the operationalization and activities of the technical and scientific cooperation mechanism</w:t>
      </w:r>
      <w:r w:rsidR="0040473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895C" w14:textId="2EDBE6D9" w:rsidR="006D5825" w:rsidRDefault="005509A1">
    <w:pPr>
      <w:pStyle w:val="Header"/>
    </w:pPr>
    <w:r>
      <w:rPr>
        <w:noProof/>
      </w:rPr>
      <w:pict w14:anchorId="73CD8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646094" o:spid="_x0000_s1025" type="#_x0000_t136" style="position:absolute;margin-left:0;margin-top:0;width:444.15pt;height:266.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5F81" w14:textId="71543933" w:rsidR="006D5825" w:rsidRDefault="005509A1">
    <w:pPr>
      <w:pStyle w:val="Header"/>
    </w:pPr>
    <w:r>
      <w:rPr>
        <w:noProof/>
      </w:rPr>
      <w:pict w14:anchorId="775E2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646095" o:spid="_x0000_s1026" type="#_x0000_t136" style="position:absolute;margin-left:0;margin-top:0;width:444.15pt;height:266.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F90A" w14:textId="6ADA87D0" w:rsidR="006D5825" w:rsidRDefault="005509A1">
    <w:pPr>
      <w:pStyle w:val="Header"/>
    </w:pPr>
    <w:r>
      <w:rPr>
        <w:noProof/>
      </w:rPr>
      <w:pict w14:anchorId="757D8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646093" o:spid="_x0000_s1027" type="#_x0000_t136" style="position:absolute;margin-left:0;margin-top:0;width:444.15pt;height:266.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314"/>
    <w:multiLevelType w:val="multilevel"/>
    <w:tmpl w:val="4E6E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610D7"/>
    <w:multiLevelType w:val="hybridMultilevel"/>
    <w:tmpl w:val="781C6BC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2D93911"/>
    <w:multiLevelType w:val="multilevel"/>
    <w:tmpl w:val="1D4E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D4F41"/>
    <w:multiLevelType w:val="multilevel"/>
    <w:tmpl w:val="726A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001F7"/>
    <w:multiLevelType w:val="multilevel"/>
    <w:tmpl w:val="3C16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408F7"/>
    <w:multiLevelType w:val="hybridMultilevel"/>
    <w:tmpl w:val="781C6B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2D211C4"/>
    <w:multiLevelType w:val="hybridMultilevel"/>
    <w:tmpl w:val="98A461CA"/>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3060" w:hanging="360"/>
      </w:pPr>
      <w:rPr>
        <w:rFonts w:ascii="Symbol" w:hAnsi="Symbol" w:hint="default"/>
      </w:rPr>
    </w:lvl>
    <w:lvl w:ilvl="2" w:tplc="FFFFFFFF">
      <w:start w:val="1"/>
      <w:numFmt w:val="bullet"/>
      <w:lvlText w:val=""/>
      <w:lvlJc w:val="left"/>
      <w:pPr>
        <w:ind w:left="3060" w:hanging="360"/>
      </w:pPr>
      <w:rPr>
        <w:rFonts w:ascii="Symbol" w:hAnsi="Symbol"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96A0459"/>
    <w:multiLevelType w:val="hybridMultilevel"/>
    <w:tmpl w:val="9574F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75461"/>
    <w:multiLevelType w:val="hybridMultilevel"/>
    <w:tmpl w:val="8FDEB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BA2206B"/>
    <w:multiLevelType w:val="multilevel"/>
    <w:tmpl w:val="9C5C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F5FDC"/>
    <w:multiLevelType w:val="multilevel"/>
    <w:tmpl w:val="73EE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DD1F0B"/>
    <w:multiLevelType w:val="hybridMultilevel"/>
    <w:tmpl w:val="4E7C603A"/>
    <w:lvl w:ilvl="0" w:tplc="20E687E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1415103"/>
    <w:multiLevelType w:val="hybridMultilevel"/>
    <w:tmpl w:val="A3102AE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06648BF0">
      <w:start w:val="1"/>
      <w:numFmt w:val="bullet"/>
      <w:lvlText w:val="-"/>
      <w:lvlJc w:val="left"/>
      <w:pPr>
        <w:ind w:left="3600" w:hanging="360"/>
      </w:pPr>
      <w:rPr>
        <w:rFonts w:ascii="Aptos" w:eastAsiaTheme="minorEastAsia" w:hAnsi="Aptos" w:cstheme="minorBid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4F7C58"/>
    <w:multiLevelType w:val="hybridMultilevel"/>
    <w:tmpl w:val="1474141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3B1F56D8"/>
    <w:multiLevelType w:val="hybridMultilevel"/>
    <w:tmpl w:val="79341B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D86423"/>
    <w:multiLevelType w:val="multilevel"/>
    <w:tmpl w:val="C534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B5B1C"/>
    <w:multiLevelType w:val="multilevel"/>
    <w:tmpl w:val="F598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AB0E1A"/>
    <w:multiLevelType w:val="multilevel"/>
    <w:tmpl w:val="79C2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83B9B"/>
    <w:multiLevelType w:val="multilevel"/>
    <w:tmpl w:val="BCB8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543D4"/>
    <w:multiLevelType w:val="multilevel"/>
    <w:tmpl w:val="C7C2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9F3474"/>
    <w:multiLevelType w:val="multilevel"/>
    <w:tmpl w:val="0102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C50911"/>
    <w:multiLevelType w:val="hybridMultilevel"/>
    <w:tmpl w:val="FE4401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6726C87"/>
    <w:multiLevelType w:val="multilevel"/>
    <w:tmpl w:val="94ECA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E6FE0"/>
    <w:multiLevelType w:val="multilevel"/>
    <w:tmpl w:val="8A48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1D0FF4"/>
    <w:multiLevelType w:val="multilevel"/>
    <w:tmpl w:val="5AF0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1D170C"/>
    <w:multiLevelType w:val="hybridMultilevel"/>
    <w:tmpl w:val="0C72AD82"/>
    <w:lvl w:ilvl="0" w:tplc="FFFFFFFF">
      <w:start w:val="1"/>
      <w:numFmt w:val="decimal"/>
      <w:lvlText w:val="%1."/>
      <w:lvlJc w:val="left"/>
      <w:pPr>
        <w:ind w:left="720" w:hanging="360"/>
      </w:pPr>
      <w:rPr>
        <w:rFonts w:hint="default"/>
      </w:rPr>
    </w:lvl>
    <w:lvl w:ilvl="1" w:tplc="04090001">
      <w:start w:val="1"/>
      <w:numFmt w:val="bullet"/>
      <w:lvlText w:val=""/>
      <w:lvlJc w:val="left"/>
      <w:pPr>
        <w:ind w:left="23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681B8A"/>
    <w:multiLevelType w:val="hybridMultilevel"/>
    <w:tmpl w:val="33C4371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2673404"/>
    <w:multiLevelType w:val="multilevel"/>
    <w:tmpl w:val="602A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E03078"/>
    <w:multiLevelType w:val="multilevel"/>
    <w:tmpl w:val="3F7A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11FEC"/>
    <w:multiLevelType w:val="hybridMultilevel"/>
    <w:tmpl w:val="9A621EDA"/>
    <w:lvl w:ilvl="0" w:tplc="1009000F">
      <w:start w:val="1"/>
      <w:numFmt w:val="decimal"/>
      <w:lvlText w:val="%1."/>
      <w:lvlJc w:val="left"/>
      <w:pPr>
        <w:ind w:left="501" w:hanging="360"/>
      </w:pPr>
      <w:rPr>
        <w:rFonts w:hint="default"/>
        <w:b/>
        <w:bCs/>
      </w:rPr>
    </w:lvl>
    <w:lvl w:ilvl="1" w:tplc="10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7C323F"/>
    <w:multiLevelType w:val="multilevel"/>
    <w:tmpl w:val="C9A0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F308B8"/>
    <w:multiLevelType w:val="hybridMultilevel"/>
    <w:tmpl w:val="39D2A9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C5087B"/>
    <w:multiLevelType w:val="multilevel"/>
    <w:tmpl w:val="F082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781844">
    <w:abstractNumId w:val="27"/>
  </w:num>
  <w:num w:numId="2" w16cid:durableId="1077940790">
    <w:abstractNumId w:val="6"/>
  </w:num>
  <w:num w:numId="3" w16cid:durableId="1122729256">
    <w:abstractNumId w:val="26"/>
  </w:num>
  <w:num w:numId="4" w16cid:durableId="1137647879">
    <w:abstractNumId w:val="23"/>
  </w:num>
  <w:num w:numId="5" w16cid:durableId="115493713">
    <w:abstractNumId w:val="13"/>
  </w:num>
  <w:num w:numId="6" w16cid:durableId="1434744623">
    <w:abstractNumId w:val="25"/>
  </w:num>
  <w:num w:numId="7" w16cid:durableId="1475752885">
    <w:abstractNumId w:val="21"/>
  </w:num>
  <w:num w:numId="8" w16cid:durableId="1486119184">
    <w:abstractNumId w:val="10"/>
  </w:num>
  <w:num w:numId="9" w16cid:durableId="1488203813">
    <w:abstractNumId w:val="8"/>
  </w:num>
  <w:num w:numId="10" w16cid:durableId="1491020813">
    <w:abstractNumId w:val="30"/>
  </w:num>
  <w:num w:numId="11" w16cid:durableId="1523545801">
    <w:abstractNumId w:val="14"/>
  </w:num>
  <w:num w:numId="12" w16cid:durableId="1617834258">
    <w:abstractNumId w:val="29"/>
  </w:num>
  <w:num w:numId="13" w16cid:durableId="1665084256">
    <w:abstractNumId w:val="16"/>
  </w:num>
  <w:num w:numId="14" w16cid:durableId="190270130">
    <w:abstractNumId w:val="5"/>
  </w:num>
  <w:num w:numId="15" w16cid:durableId="2020695175">
    <w:abstractNumId w:val="17"/>
  </w:num>
  <w:num w:numId="16" w16cid:durableId="2033417113">
    <w:abstractNumId w:val="3"/>
  </w:num>
  <w:num w:numId="17" w16cid:durableId="279075407">
    <w:abstractNumId w:val="4"/>
  </w:num>
  <w:num w:numId="18" w16cid:durableId="403920180">
    <w:abstractNumId w:val="18"/>
  </w:num>
  <w:num w:numId="19" w16cid:durableId="499740859">
    <w:abstractNumId w:val="1"/>
  </w:num>
  <w:num w:numId="20" w16cid:durableId="51005857">
    <w:abstractNumId w:val="15"/>
  </w:num>
  <w:num w:numId="21" w16cid:durableId="59715416">
    <w:abstractNumId w:val="11"/>
  </w:num>
  <w:num w:numId="22" w16cid:durableId="614408251">
    <w:abstractNumId w:val="28"/>
  </w:num>
  <w:num w:numId="23" w16cid:durableId="625550311">
    <w:abstractNumId w:val="31"/>
  </w:num>
  <w:num w:numId="24" w16cid:durableId="661935404">
    <w:abstractNumId w:val="24"/>
  </w:num>
  <w:num w:numId="25" w16cid:durableId="692809699">
    <w:abstractNumId w:val="19"/>
  </w:num>
  <w:num w:numId="26" w16cid:durableId="754593155">
    <w:abstractNumId w:val="22"/>
  </w:num>
  <w:num w:numId="27" w16cid:durableId="810095810">
    <w:abstractNumId w:val="20"/>
  </w:num>
  <w:num w:numId="28" w16cid:durableId="846095231">
    <w:abstractNumId w:val="32"/>
  </w:num>
  <w:num w:numId="29" w16cid:durableId="933585910">
    <w:abstractNumId w:val="12"/>
  </w:num>
  <w:num w:numId="30" w16cid:durableId="934166183">
    <w:abstractNumId w:val="2"/>
  </w:num>
  <w:num w:numId="31" w16cid:durableId="938293830">
    <w:abstractNumId w:val="0"/>
  </w:num>
  <w:num w:numId="32" w16cid:durableId="989214422">
    <w:abstractNumId w:val="9"/>
  </w:num>
  <w:num w:numId="33" w16cid:durableId="4803157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
    <w15:presenceInfo w15:providerId="None" w15:userId="An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80"/>
    <w:rsid w:val="000025A6"/>
    <w:rsid w:val="000035A6"/>
    <w:rsid w:val="000037B7"/>
    <w:rsid w:val="00004836"/>
    <w:rsid w:val="00010109"/>
    <w:rsid w:val="000103E2"/>
    <w:rsid w:val="00020B0C"/>
    <w:rsid w:val="00021788"/>
    <w:rsid w:val="00021A81"/>
    <w:rsid w:val="00024C21"/>
    <w:rsid w:val="00026435"/>
    <w:rsid w:val="000272C1"/>
    <w:rsid w:val="00035821"/>
    <w:rsid w:val="000367F2"/>
    <w:rsid w:val="00036914"/>
    <w:rsid w:val="000375E8"/>
    <w:rsid w:val="000427C8"/>
    <w:rsid w:val="000439B0"/>
    <w:rsid w:val="000439D3"/>
    <w:rsid w:val="000458B5"/>
    <w:rsid w:val="00046EA4"/>
    <w:rsid w:val="00050F43"/>
    <w:rsid w:val="00051D22"/>
    <w:rsid w:val="0005335F"/>
    <w:rsid w:val="000551C0"/>
    <w:rsid w:val="00055E63"/>
    <w:rsid w:val="00063FB5"/>
    <w:rsid w:val="00070148"/>
    <w:rsid w:val="00076A10"/>
    <w:rsid w:val="00077492"/>
    <w:rsid w:val="0008287E"/>
    <w:rsid w:val="0008418D"/>
    <w:rsid w:val="00091F95"/>
    <w:rsid w:val="00092D70"/>
    <w:rsid w:val="00095E7E"/>
    <w:rsid w:val="0009613D"/>
    <w:rsid w:val="0009784B"/>
    <w:rsid w:val="000B2A0E"/>
    <w:rsid w:val="000C01A8"/>
    <w:rsid w:val="000C0991"/>
    <w:rsid w:val="000C3770"/>
    <w:rsid w:val="000C50B0"/>
    <w:rsid w:val="000D3462"/>
    <w:rsid w:val="000D70D8"/>
    <w:rsid w:val="000E247F"/>
    <w:rsid w:val="000E3963"/>
    <w:rsid w:val="000E3B40"/>
    <w:rsid w:val="000E7372"/>
    <w:rsid w:val="000F1CAA"/>
    <w:rsid w:val="000F1ED7"/>
    <w:rsid w:val="000F201E"/>
    <w:rsid w:val="000F6084"/>
    <w:rsid w:val="00100096"/>
    <w:rsid w:val="001042C0"/>
    <w:rsid w:val="00107624"/>
    <w:rsid w:val="001125B5"/>
    <w:rsid w:val="00112CDE"/>
    <w:rsid w:val="0011380A"/>
    <w:rsid w:val="00113ED3"/>
    <w:rsid w:val="00114DBD"/>
    <w:rsid w:val="0012129A"/>
    <w:rsid w:val="00121D4C"/>
    <w:rsid w:val="00123445"/>
    <w:rsid w:val="00126585"/>
    <w:rsid w:val="00130EAE"/>
    <w:rsid w:val="00131671"/>
    <w:rsid w:val="0013238A"/>
    <w:rsid w:val="0014072C"/>
    <w:rsid w:val="00144AD8"/>
    <w:rsid w:val="00144ADA"/>
    <w:rsid w:val="00145A18"/>
    <w:rsid w:val="00145A1C"/>
    <w:rsid w:val="00151E69"/>
    <w:rsid w:val="001546FE"/>
    <w:rsid w:val="00155067"/>
    <w:rsid w:val="00155AF6"/>
    <w:rsid w:val="00156CA3"/>
    <w:rsid w:val="00162599"/>
    <w:rsid w:val="00162897"/>
    <w:rsid w:val="00163421"/>
    <w:rsid w:val="00164AAD"/>
    <w:rsid w:val="00174DA0"/>
    <w:rsid w:val="00183A76"/>
    <w:rsid w:val="001A26A3"/>
    <w:rsid w:val="001A4539"/>
    <w:rsid w:val="001A59D6"/>
    <w:rsid w:val="001B016B"/>
    <w:rsid w:val="001B1C44"/>
    <w:rsid w:val="001B3959"/>
    <w:rsid w:val="001B482B"/>
    <w:rsid w:val="001B4AB6"/>
    <w:rsid w:val="001B5B9B"/>
    <w:rsid w:val="001C01B1"/>
    <w:rsid w:val="001C0372"/>
    <w:rsid w:val="001C7E1C"/>
    <w:rsid w:val="001D22C0"/>
    <w:rsid w:val="001D3C73"/>
    <w:rsid w:val="001E0130"/>
    <w:rsid w:val="001E11A6"/>
    <w:rsid w:val="001E1501"/>
    <w:rsid w:val="001F3373"/>
    <w:rsid w:val="001F6628"/>
    <w:rsid w:val="002025D7"/>
    <w:rsid w:val="002033A0"/>
    <w:rsid w:val="00204188"/>
    <w:rsid w:val="002050BF"/>
    <w:rsid w:val="00205FB3"/>
    <w:rsid w:val="00207766"/>
    <w:rsid w:val="002079AB"/>
    <w:rsid w:val="00210695"/>
    <w:rsid w:val="00217C5D"/>
    <w:rsid w:val="00217D1C"/>
    <w:rsid w:val="00220CDC"/>
    <w:rsid w:val="002225A3"/>
    <w:rsid w:val="00224819"/>
    <w:rsid w:val="00232F30"/>
    <w:rsid w:val="00242F18"/>
    <w:rsid w:val="00251DFF"/>
    <w:rsid w:val="002526D3"/>
    <w:rsid w:val="0025305C"/>
    <w:rsid w:val="00253135"/>
    <w:rsid w:val="002548B3"/>
    <w:rsid w:val="00255A10"/>
    <w:rsid w:val="002567E1"/>
    <w:rsid w:val="0026248D"/>
    <w:rsid w:val="00262A4F"/>
    <w:rsid w:val="00263B7B"/>
    <w:rsid w:val="00265A5C"/>
    <w:rsid w:val="002705BB"/>
    <w:rsid w:val="002733B8"/>
    <w:rsid w:val="00273D01"/>
    <w:rsid w:val="00276216"/>
    <w:rsid w:val="00281B99"/>
    <w:rsid w:val="0028238D"/>
    <w:rsid w:val="00284017"/>
    <w:rsid w:val="00287AFA"/>
    <w:rsid w:val="002961E8"/>
    <w:rsid w:val="00296DE7"/>
    <w:rsid w:val="002A063A"/>
    <w:rsid w:val="002A1C79"/>
    <w:rsid w:val="002A39E4"/>
    <w:rsid w:val="002B00FA"/>
    <w:rsid w:val="002B1545"/>
    <w:rsid w:val="002B5F10"/>
    <w:rsid w:val="002C145D"/>
    <w:rsid w:val="002C50B3"/>
    <w:rsid w:val="002C7943"/>
    <w:rsid w:val="002D0B11"/>
    <w:rsid w:val="002D0BC9"/>
    <w:rsid w:val="002D60BE"/>
    <w:rsid w:val="002E1962"/>
    <w:rsid w:val="002E310A"/>
    <w:rsid w:val="002E34CF"/>
    <w:rsid w:val="002E39D4"/>
    <w:rsid w:val="002E4126"/>
    <w:rsid w:val="002E4264"/>
    <w:rsid w:val="002F1895"/>
    <w:rsid w:val="002F4E75"/>
    <w:rsid w:val="002F5A55"/>
    <w:rsid w:val="002F7E2C"/>
    <w:rsid w:val="003011E2"/>
    <w:rsid w:val="003032E1"/>
    <w:rsid w:val="00303C32"/>
    <w:rsid w:val="00305077"/>
    <w:rsid w:val="00305FFC"/>
    <w:rsid w:val="00307F0D"/>
    <w:rsid w:val="00310070"/>
    <w:rsid w:val="0031059B"/>
    <w:rsid w:val="00310686"/>
    <w:rsid w:val="003126E0"/>
    <w:rsid w:val="00313AF9"/>
    <w:rsid w:val="00316AFC"/>
    <w:rsid w:val="00320A61"/>
    <w:rsid w:val="00321C92"/>
    <w:rsid w:val="0032395F"/>
    <w:rsid w:val="003334A6"/>
    <w:rsid w:val="00340D05"/>
    <w:rsid w:val="00352483"/>
    <w:rsid w:val="003537BB"/>
    <w:rsid w:val="00356ACE"/>
    <w:rsid w:val="0035746B"/>
    <w:rsid w:val="00357566"/>
    <w:rsid w:val="00360278"/>
    <w:rsid w:val="00365666"/>
    <w:rsid w:val="00374AD6"/>
    <w:rsid w:val="00380829"/>
    <w:rsid w:val="003813D4"/>
    <w:rsid w:val="003825FC"/>
    <w:rsid w:val="0039107B"/>
    <w:rsid w:val="00395B4A"/>
    <w:rsid w:val="003974ED"/>
    <w:rsid w:val="0039775D"/>
    <w:rsid w:val="003A2FA0"/>
    <w:rsid w:val="003B0A74"/>
    <w:rsid w:val="003B1326"/>
    <w:rsid w:val="003B20FD"/>
    <w:rsid w:val="003B2C41"/>
    <w:rsid w:val="003B54AD"/>
    <w:rsid w:val="003B6415"/>
    <w:rsid w:val="003B693A"/>
    <w:rsid w:val="003C0938"/>
    <w:rsid w:val="003C5F8F"/>
    <w:rsid w:val="003C7BA1"/>
    <w:rsid w:val="003D2995"/>
    <w:rsid w:val="003E0A8B"/>
    <w:rsid w:val="003E254C"/>
    <w:rsid w:val="003E2770"/>
    <w:rsid w:val="003E330D"/>
    <w:rsid w:val="003E43B1"/>
    <w:rsid w:val="003E5C7A"/>
    <w:rsid w:val="003F05E6"/>
    <w:rsid w:val="003F5381"/>
    <w:rsid w:val="003F5A18"/>
    <w:rsid w:val="003F7BE4"/>
    <w:rsid w:val="004005EB"/>
    <w:rsid w:val="00404736"/>
    <w:rsid w:val="00405883"/>
    <w:rsid w:val="004065CA"/>
    <w:rsid w:val="00410844"/>
    <w:rsid w:val="00410A8E"/>
    <w:rsid w:val="00411DA3"/>
    <w:rsid w:val="004126C2"/>
    <w:rsid w:val="004126F1"/>
    <w:rsid w:val="00413AAD"/>
    <w:rsid w:val="004160A7"/>
    <w:rsid w:val="00420723"/>
    <w:rsid w:val="004213E8"/>
    <w:rsid w:val="00422C5A"/>
    <w:rsid w:val="00427A4E"/>
    <w:rsid w:val="00427A5B"/>
    <w:rsid w:val="00427DF8"/>
    <w:rsid w:val="00432C8A"/>
    <w:rsid w:val="004338A0"/>
    <w:rsid w:val="00436974"/>
    <w:rsid w:val="00440CDC"/>
    <w:rsid w:val="00440ECA"/>
    <w:rsid w:val="00442A97"/>
    <w:rsid w:val="004446D3"/>
    <w:rsid w:val="0045159B"/>
    <w:rsid w:val="004515C6"/>
    <w:rsid w:val="00451959"/>
    <w:rsid w:val="00460502"/>
    <w:rsid w:val="00460FB9"/>
    <w:rsid w:val="00461D47"/>
    <w:rsid w:val="0046442D"/>
    <w:rsid w:val="00467657"/>
    <w:rsid w:val="004721DF"/>
    <w:rsid w:val="004742DE"/>
    <w:rsid w:val="00476A48"/>
    <w:rsid w:val="00477C43"/>
    <w:rsid w:val="00485D84"/>
    <w:rsid w:val="0049044C"/>
    <w:rsid w:val="00490B06"/>
    <w:rsid w:val="00490E33"/>
    <w:rsid w:val="00492ED3"/>
    <w:rsid w:val="00494129"/>
    <w:rsid w:val="00494A45"/>
    <w:rsid w:val="00494EDE"/>
    <w:rsid w:val="004952C9"/>
    <w:rsid w:val="00496D00"/>
    <w:rsid w:val="00497519"/>
    <w:rsid w:val="004A0983"/>
    <w:rsid w:val="004A09C3"/>
    <w:rsid w:val="004A0B49"/>
    <w:rsid w:val="004B0FD3"/>
    <w:rsid w:val="004B13E3"/>
    <w:rsid w:val="004B2330"/>
    <w:rsid w:val="004B74A3"/>
    <w:rsid w:val="004C16C5"/>
    <w:rsid w:val="004C1F22"/>
    <w:rsid w:val="004C2E60"/>
    <w:rsid w:val="004C3EC4"/>
    <w:rsid w:val="004C5392"/>
    <w:rsid w:val="004D782E"/>
    <w:rsid w:val="004D7EC8"/>
    <w:rsid w:val="004E0108"/>
    <w:rsid w:val="004E296A"/>
    <w:rsid w:val="004E4313"/>
    <w:rsid w:val="004E6768"/>
    <w:rsid w:val="004F1300"/>
    <w:rsid w:val="004F1353"/>
    <w:rsid w:val="004F43C1"/>
    <w:rsid w:val="004F531D"/>
    <w:rsid w:val="004F6A04"/>
    <w:rsid w:val="004F796F"/>
    <w:rsid w:val="0050045C"/>
    <w:rsid w:val="00500EDB"/>
    <w:rsid w:val="0051181C"/>
    <w:rsid w:val="005119CD"/>
    <w:rsid w:val="00514129"/>
    <w:rsid w:val="00514B6D"/>
    <w:rsid w:val="00514D6E"/>
    <w:rsid w:val="00515C5D"/>
    <w:rsid w:val="00515D35"/>
    <w:rsid w:val="00515E6D"/>
    <w:rsid w:val="0052023D"/>
    <w:rsid w:val="00521343"/>
    <w:rsid w:val="005256C5"/>
    <w:rsid w:val="0052577C"/>
    <w:rsid w:val="00534A85"/>
    <w:rsid w:val="00535137"/>
    <w:rsid w:val="00535857"/>
    <w:rsid w:val="005365F3"/>
    <w:rsid w:val="00542D6E"/>
    <w:rsid w:val="00546B83"/>
    <w:rsid w:val="005470FB"/>
    <w:rsid w:val="00547700"/>
    <w:rsid w:val="00550501"/>
    <w:rsid w:val="005509A1"/>
    <w:rsid w:val="00553B94"/>
    <w:rsid w:val="00556897"/>
    <w:rsid w:val="00562906"/>
    <w:rsid w:val="005651DD"/>
    <w:rsid w:val="0056749A"/>
    <w:rsid w:val="0057166A"/>
    <w:rsid w:val="00571F7E"/>
    <w:rsid w:val="00576E4C"/>
    <w:rsid w:val="00577499"/>
    <w:rsid w:val="005821DA"/>
    <w:rsid w:val="00583356"/>
    <w:rsid w:val="0058457B"/>
    <w:rsid w:val="00585115"/>
    <w:rsid w:val="005907FE"/>
    <w:rsid w:val="00590BC5"/>
    <w:rsid w:val="0059121B"/>
    <w:rsid w:val="005913E2"/>
    <w:rsid w:val="00593398"/>
    <w:rsid w:val="00593563"/>
    <w:rsid w:val="00593783"/>
    <w:rsid w:val="00595BEE"/>
    <w:rsid w:val="005A1050"/>
    <w:rsid w:val="005A492E"/>
    <w:rsid w:val="005B0416"/>
    <w:rsid w:val="005B0D42"/>
    <w:rsid w:val="005B5F33"/>
    <w:rsid w:val="005B61E7"/>
    <w:rsid w:val="005C2229"/>
    <w:rsid w:val="005C2609"/>
    <w:rsid w:val="005C3F1A"/>
    <w:rsid w:val="005C4838"/>
    <w:rsid w:val="005C708D"/>
    <w:rsid w:val="005D1ACB"/>
    <w:rsid w:val="005D28EF"/>
    <w:rsid w:val="005D45A0"/>
    <w:rsid w:val="005D79AF"/>
    <w:rsid w:val="005D7D9F"/>
    <w:rsid w:val="005E2681"/>
    <w:rsid w:val="005E33E9"/>
    <w:rsid w:val="005E4C1C"/>
    <w:rsid w:val="005E53F4"/>
    <w:rsid w:val="005E5A3C"/>
    <w:rsid w:val="005E5D46"/>
    <w:rsid w:val="005E6397"/>
    <w:rsid w:val="005E6A2F"/>
    <w:rsid w:val="005E7A7E"/>
    <w:rsid w:val="005F17B3"/>
    <w:rsid w:val="005F29F2"/>
    <w:rsid w:val="005F43D1"/>
    <w:rsid w:val="006004C2"/>
    <w:rsid w:val="0060356C"/>
    <w:rsid w:val="006070A7"/>
    <w:rsid w:val="00610760"/>
    <w:rsid w:val="0061192B"/>
    <w:rsid w:val="006147B0"/>
    <w:rsid w:val="00616133"/>
    <w:rsid w:val="006165F1"/>
    <w:rsid w:val="00630678"/>
    <w:rsid w:val="0063229B"/>
    <w:rsid w:val="00633228"/>
    <w:rsid w:val="00634E5C"/>
    <w:rsid w:val="00637222"/>
    <w:rsid w:val="006373ED"/>
    <w:rsid w:val="006409C6"/>
    <w:rsid w:val="00643E2B"/>
    <w:rsid w:val="00650509"/>
    <w:rsid w:val="00650C55"/>
    <w:rsid w:val="006533EC"/>
    <w:rsid w:val="00655020"/>
    <w:rsid w:val="00657540"/>
    <w:rsid w:val="00663886"/>
    <w:rsid w:val="00664808"/>
    <w:rsid w:val="00664933"/>
    <w:rsid w:val="006703CA"/>
    <w:rsid w:val="00670E82"/>
    <w:rsid w:val="00673919"/>
    <w:rsid w:val="0067476D"/>
    <w:rsid w:val="00674E33"/>
    <w:rsid w:val="006832B8"/>
    <w:rsid w:val="00683CC3"/>
    <w:rsid w:val="0068651B"/>
    <w:rsid w:val="00690DEB"/>
    <w:rsid w:val="00694580"/>
    <w:rsid w:val="006A7425"/>
    <w:rsid w:val="006B3025"/>
    <w:rsid w:val="006B3D21"/>
    <w:rsid w:val="006B553C"/>
    <w:rsid w:val="006C03A2"/>
    <w:rsid w:val="006C0EBB"/>
    <w:rsid w:val="006C1509"/>
    <w:rsid w:val="006C4BB6"/>
    <w:rsid w:val="006C4C82"/>
    <w:rsid w:val="006C5AA0"/>
    <w:rsid w:val="006C6CA1"/>
    <w:rsid w:val="006C7B63"/>
    <w:rsid w:val="006D0058"/>
    <w:rsid w:val="006D5825"/>
    <w:rsid w:val="006E1C6E"/>
    <w:rsid w:val="006E27E0"/>
    <w:rsid w:val="006E36BF"/>
    <w:rsid w:val="006E5D1F"/>
    <w:rsid w:val="006E664E"/>
    <w:rsid w:val="006E7F13"/>
    <w:rsid w:val="006F19EA"/>
    <w:rsid w:val="007019C1"/>
    <w:rsid w:val="00704A4E"/>
    <w:rsid w:val="00704D2F"/>
    <w:rsid w:val="00713313"/>
    <w:rsid w:val="00713926"/>
    <w:rsid w:val="0071516D"/>
    <w:rsid w:val="00715A3B"/>
    <w:rsid w:val="00721CD2"/>
    <w:rsid w:val="00722732"/>
    <w:rsid w:val="00722947"/>
    <w:rsid w:val="00730BAA"/>
    <w:rsid w:val="00733E04"/>
    <w:rsid w:val="007367CF"/>
    <w:rsid w:val="00737441"/>
    <w:rsid w:val="007403C1"/>
    <w:rsid w:val="007422A9"/>
    <w:rsid w:val="00744C68"/>
    <w:rsid w:val="00753ADE"/>
    <w:rsid w:val="007555D6"/>
    <w:rsid w:val="0075603E"/>
    <w:rsid w:val="00765B97"/>
    <w:rsid w:val="00770709"/>
    <w:rsid w:val="0077106B"/>
    <w:rsid w:val="0077633F"/>
    <w:rsid w:val="00777D66"/>
    <w:rsid w:val="00784487"/>
    <w:rsid w:val="00785836"/>
    <w:rsid w:val="00790949"/>
    <w:rsid w:val="00794341"/>
    <w:rsid w:val="00795B4D"/>
    <w:rsid w:val="007A5C74"/>
    <w:rsid w:val="007A6B16"/>
    <w:rsid w:val="007A7A5F"/>
    <w:rsid w:val="007B29CC"/>
    <w:rsid w:val="007C1B34"/>
    <w:rsid w:val="007C45EE"/>
    <w:rsid w:val="007C4D95"/>
    <w:rsid w:val="007C603D"/>
    <w:rsid w:val="007C6F7B"/>
    <w:rsid w:val="007D1B37"/>
    <w:rsid w:val="007E2CEF"/>
    <w:rsid w:val="007E367C"/>
    <w:rsid w:val="007E3EEB"/>
    <w:rsid w:val="007E44A9"/>
    <w:rsid w:val="007E7C3F"/>
    <w:rsid w:val="007E97C0"/>
    <w:rsid w:val="007F09F7"/>
    <w:rsid w:val="007F1090"/>
    <w:rsid w:val="007F7736"/>
    <w:rsid w:val="008028D6"/>
    <w:rsid w:val="008076F6"/>
    <w:rsid w:val="008102EF"/>
    <w:rsid w:val="00823318"/>
    <w:rsid w:val="00826DFA"/>
    <w:rsid w:val="00830301"/>
    <w:rsid w:val="008341D4"/>
    <w:rsid w:val="00834BE1"/>
    <w:rsid w:val="008461C4"/>
    <w:rsid w:val="008468EE"/>
    <w:rsid w:val="008478E9"/>
    <w:rsid w:val="0085177C"/>
    <w:rsid w:val="0085276D"/>
    <w:rsid w:val="00853230"/>
    <w:rsid w:val="00857743"/>
    <w:rsid w:val="00857832"/>
    <w:rsid w:val="00860F34"/>
    <w:rsid w:val="00862DED"/>
    <w:rsid w:val="00863758"/>
    <w:rsid w:val="00864A29"/>
    <w:rsid w:val="00873483"/>
    <w:rsid w:val="00874EE3"/>
    <w:rsid w:val="0087556E"/>
    <w:rsid w:val="008764CD"/>
    <w:rsid w:val="0087661C"/>
    <w:rsid w:val="00876E17"/>
    <w:rsid w:val="0088290B"/>
    <w:rsid w:val="008844B2"/>
    <w:rsid w:val="00886807"/>
    <w:rsid w:val="0088708A"/>
    <w:rsid w:val="008928B7"/>
    <w:rsid w:val="00892CB4"/>
    <w:rsid w:val="008A0C98"/>
    <w:rsid w:val="008A10B9"/>
    <w:rsid w:val="008A7376"/>
    <w:rsid w:val="008B43AC"/>
    <w:rsid w:val="008B6885"/>
    <w:rsid w:val="008B6AA1"/>
    <w:rsid w:val="008B6C92"/>
    <w:rsid w:val="008C544F"/>
    <w:rsid w:val="008D1A4B"/>
    <w:rsid w:val="008D64C0"/>
    <w:rsid w:val="008E11B8"/>
    <w:rsid w:val="00901562"/>
    <w:rsid w:val="00901F4B"/>
    <w:rsid w:val="00904723"/>
    <w:rsid w:val="00905EA1"/>
    <w:rsid w:val="0091480A"/>
    <w:rsid w:val="00914C79"/>
    <w:rsid w:val="00915698"/>
    <w:rsid w:val="009157C0"/>
    <w:rsid w:val="00922C51"/>
    <w:rsid w:val="00924101"/>
    <w:rsid w:val="00934541"/>
    <w:rsid w:val="00941632"/>
    <w:rsid w:val="009534E9"/>
    <w:rsid w:val="009542A4"/>
    <w:rsid w:val="009545FB"/>
    <w:rsid w:val="009569E0"/>
    <w:rsid w:val="00956C87"/>
    <w:rsid w:val="0096150F"/>
    <w:rsid w:val="0096605E"/>
    <w:rsid w:val="00966F82"/>
    <w:rsid w:val="0097169D"/>
    <w:rsid w:val="009740D9"/>
    <w:rsid w:val="00974ACE"/>
    <w:rsid w:val="00975CA4"/>
    <w:rsid w:val="00975E45"/>
    <w:rsid w:val="00982607"/>
    <w:rsid w:val="00983CB6"/>
    <w:rsid w:val="0099076B"/>
    <w:rsid w:val="00995C25"/>
    <w:rsid w:val="0099611A"/>
    <w:rsid w:val="00997021"/>
    <w:rsid w:val="00997242"/>
    <w:rsid w:val="009A12F4"/>
    <w:rsid w:val="009A1E48"/>
    <w:rsid w:val="009A2D6F"/>
    <w:rsid w:val="009B121F"/>
    <w:rsid w:val="009B2CC0"/>
    <w:rsid w:val="009B576E"/>
    <w:rsid w:val="009D29D1"/>
    <w:rsid w:val="009D2D86"/>
    <w:rsid w:val="009D4ABE"/>
    <w:rsid w:val="009D5501"/>
    <w:rsid w:val="009E3B31"/>
    <w:rsid w:val="009E653E"/>
    <w:rsid w:val="009F0344"/>
    <w:rsid w:val="009F041C"/>
    <w:rsid w:val="00A03155"/>
    <w:rsid w:val="00A068BE"/>
    <w:rsid w:val="00A1283B"/>
    <w:rsid w:val="00A12A60"/>
    <w:rsid w:val="00A140C9"/>
    <w:rsid w:val="00A143EB"/>
    <w:rsid w:val="00A2089E"/>
    <w:rsid w:val="00A20BCB"/>
    <w:rsid w:val="00A2435A"/>
    <w:rsid w:val="00A24A69"/>
    <w:rsid w:val="00A261B4"/>
    <w:rsid w:val="00A27AD4"/>
    <w:rsid w:val="00A300FE"/>
    <w:rsid w:val="00A32306"/>
    <w:rsid w:val="00A428F2"/>
    <w:rsid w:val="00A4449E"/>
    <w:rsid w:val="00A466A0"/>
    <w:rsid w:val="00A475C8"/>
    <w:rsid w:val="00A50487"/>
    <w:rsid w:val="00A51691"/>
    <w:rsid w:val="00A55E22"/>
    <w:rsid w:val="00A560BE"/>
    <w:rsid w:val="00A56A26"/>
    <w:rsid w:val="00A61728"/>
    <w:rsid w:val="00A6456C"/>
    <w:rsid w:val="00A65409"/>
    <w:rsid w:val="00A70CE4"/>
    <w:rsid w:val="00A72F8D"/>
    <w:rsid w:val="00A75A88"/>
    <w:rsid w:val="00A75CBC"/>
    <w:rsid w:val="00A75F3D"/>
    <w:rsid w:val="00A7676C"/>
    <w:rsid w:val="00A800B8"/>
    <w:rsid w:val="00A83C01"/>
    <w:rsid w:val="00A8587B"/>
    <w:rsid w:val="00A85F9C"/>
    <w:rsid w:val="00A918AF"/>
    <w:rsid w:val="00A95150"/>
    <w:rsid w:val="00A955DB"/>
    <w:rsid w:val="00A976B3"/>
    <w:rsid w:val="00AA0F04"/>
    <w:rsid w:val="00AA39DC"/>
    <w:rsid w:val="00AA5BB6"/>
    <w:rsid w:val="00AA61A9"/>
    <w:rsid w:val="00AA6C8E"/>
    <w:rsid w:val="00AA71D8"/>
    <w:rsid w:val="00AB0590"/>
    <w:rsid w:val="00AB1B20"/>
    <w:rsid w:val="00AB1F36"/>
    <w:rsid w:val="00AB2148"/>
    <w:rsid w:val="00AB2B5A"/>
    <w:rsid w:val="00AB2DFD"/>
    <w:rsid w:val="00AB3527"/>
    <w:rsid w:val="00AB367B"/>
    <w:rsid w:val="00AB3903"/>
    <w:rsid w:val="00AB7FA9"/>
    <w:rsid w:val="00AC1918"/>
    <w:rsid w:val="00AC1CCC"/>
    <w:rsid w:val="00AC434D"/>
    <w:rsid w:val="00AC4ABE"/>
    <w:rsid w:val="00AC6AC7"/>
    <w:rsid w:val="00AD106B"/>
    <w:rsid w:val="00AE0617"/>
    <w:rsid w:val="00AE1101"/>
    <w:rsid w:val="00AE3289"/>
    <w:rsid w:val="00AE56BB"/>
    <w:rsid w:val="00AE570F"/>
    <w:rsid w:val="00B00C71"/>
    <w:rsid w:val="00B01152"/>
    <w:rsid w:val="00B045E7"/>
    <w:rsid w:val="00B04B38"/>
    <w:rsid w:val="00B106F2"/>
    <w:rsid w:val="00B10AAD"/>
    <w:rsid w:val="00B13B57"/>
    <w:rsid w:val="00B14B53"/>
    <w:rsid w:val="00B208DC"/>
    <w:rsid w:val="00B231D7"/>
    <w:rsid w:val="00B35B77"/>
    <w:rsid w:val="00B362DB"/>
    <w:rsid w:val="00B36515"/>
    <w:rsid w:val="00B46369"/>
    <w:rsid w:val="00B46BAD"/>
    <w:rsid w:val="00B5573C"/>
    <w:rsid w:val="00B56A72"/>
    <w:rsid w:val="00B6528F"/>
    <w:rsid w:val="00B6735F"/>
    <w:rsid w:val="00B75FDC"/>
    <w:rsid w:val="00B761EE"/>
    <w:rsid w:val="00B76F57"/>
    <w:rsid w:val="00B80406"/>
    <w:rsid w:val="00B821D0"/>
    <w:rsid w:val="00B8250D"/>
    <w:rsid w:val="00B8542B"/>
    <w:rsid w:val="00B914A1"/>
    <w:rsid w:val="00B92C6E"/>
    <w:rsid w:val="00B96278"/>
    <w:rsid w:val="00B965ED"/>
    <w:rsid w:val="00B966DD"/>
    <w:rsid w:val="00B96709"/>
    <w:rsid w:val="00B976C5"/>
    <w:rsid w:val="00BA122D"/>
    <w:rsid w:val="00BA1390"/>
    <w:rsid w:val="00BA26A6"/>
    <w:rsid w:val="00BA285D"/>
    <w:rsid w:val="00BA33C5"/>
    <w:rsid w:val="00BA3D24"/>
    <w:rsid w:val="00BA4012"/>
    <w:rsid w:val="00BA4091"/>
    <w:rsid w:val="00BA6791"/>
    <w:rsid w:val="00BA68FC"/>
    <w:rsid w:val="00BB2530"/>
    <w:rsid w:val="00BB2534"/>
    <w:rsid w:val="00BB4685"/>
    <w:rsid w:val="00BB6FA6"/>
    <w:rsid w:val="00BC3922"/>
    <w:rsid w:val="00BC463A"/>
    <w:rsid w:val="00BC570C"/>
    <w:rsid w:val="00BE0147"/>
    <w:rsid w:val="00BE3E7E"/>
    <w:rsid w:val="00BE5D82"/>
    <w:rsid w:val="00BF20BE"/>
    <w:rsid w:val="00BF357C"/>
    <w:rsid w:val="00C000B8"/>
    <w:rsid w:val="00C0665A"/>
    <w:rsid w:val="00C069D4"/>
    <w:rsid w:val="00C07FAE"/>
    <w:rsid w:val="00C1181D"/>
    <w:rsid w:val="00C14116"/>
    <w:rsid w:val="00C1678C"/>
    <w:rsid w:val="00C21E51"/>
    <w:rsid w:val="00C2207C"/>
    <w:rsid w:val="00C23B96"/>
    <w:rsid w:val="00C23D42"/>
    <w:rsid w:val="00C324EB"/>
    <w:rsid w:val="00C46711"/>
    <w:rsid w:val="00C475E8"/>
    <w:rsid w:val="00C54093"/>
    <w:rsid w:val="00C5660D"/>
    <w:rsid w:val="00C57526"/>
    <w:rsid w:val="00C63ADB"/>
    <w:rsid w:val="00C657C0"/>
    <w:rsid w:val="00C67C09"/>
    <w:rsid w:val="00C7292D"/>
    <w:rsid w:val="00C75CD6"/>
    <w:rsid w:val="00C75CFB"/>
    <w:rsid w:val="00C762B6"/>
    <w:rsid w:val="00C806C4"/>
    <w:rsid w:val="00C80FE6"/>
    <w:rsid w:val="00C81567"/>
    <w:rsid w:val="00C8295B"/>
    <w:rsid w:val="00C833DC"/>
    <w:rsid w:val="00C84DBB"/>
    <w:rsid w:val="00C84E24"/>
    <w:rsid w:val="00C91FFF"/>
    <w:rsid w:val="00C9763E"/>
    <w:rsid w:val="00C97DA4"/>
    <w:rsid w:val="00CA21D7"/>
    <w:rsid w:val="00CA2AB6"/>
    <w:rsid w:val="00CA4A74"/>
    <w:rsid w:val="00CA5608"/>
    <w:rsid w:val="00CA5FAE"/>
    <w:rsid w:val="00CB397F"/>
    <w:rsid w:val="00CB4F8B"/>
    <w:rsid w:val="00CB608C"/>
    <w:rsid w:val="00CC0DB8"/>
    <w:rsid w:val="00CC1BA9"/>
    <w:rsid w:val="00CC221E"/>
    <w:rsid w:val="00CC42A6"/>
    <w:rsid w:val="00CC7C3A"/>
    <w:rsid w:val="00CD38F9"/>
    <w:rsid w:val="00CD6FD3"/>
    <w:rsid w:val="00CD7E31"/>
    <w:rsid w:val="00CE2154"/>
    <w:rsid w:val="00CE437A"/>
    <w:rsid w:val="00CF1969"/>
    <w:rsid w:val="00D01524"/>
    <w:rsid w:val="00D06B14"/>
    <w:rsid w:val="00D12DC6"/>
    <w:rsid w:val="00D12FC5"/>
    <w:rsid w:val="00D13D8B"/>
    <w:rsid w:val="00D15E73"/>
    <w:rsid w:val="00D16FDB"/>
    <w:rsid w:val="00D17459"/>
    <w:rsid w:val="00D20D16"/>
    <w:rsid w:val="00D2352E"/>
    <w:rsid w:val="00D2784D"/>
    <w:rsid w:val="00D32878"/>
    <w:rsid w:val="00D36CD1"/>
    <w:rsid w:val="00D46609"/>
    <w:rsid w:val="00D47490"/>
    <w:rsid w:val="00D53B24"/>
    <w:rsid w:val="00D54D4C"/>
    <w:rsid w:val="00D5677A"/>
    <w:rsid w:val="00D622B2"/>
    <w:rsid w:val="00D631D1"/>
    <w:rsid w:val="00D648C0"/>
    <w:rsid w:val="00D6687B"/>
    <w:rsid w:val="00D67443"/>
    <w:rsid w:val="00D713F0"/>
    <w:rsid w:val="00D7276A"/>
    <w:rsid w:val="00D731BD"/>
    <w:rsid w:val="00D73D52"/>
    <w:rsid w:val="00D74F9F"/>
    <w:rsid w:val="00D7511D"/>
    <w:rsid w:val="00D76310"/>
    <w:rsid w:val="00D77186"/>
    <w:rsid w:val="00D77D50"/>
    <w:rsid w:val="00D80517"/>
    <w:rsid w:val="00D80FE0"/>
    <w:rsid w:val="00D90D9F"/>
    <w:rsid w:val="00D91B4D"/>
    <w:rsid w:val="00D93521"/>
    <w:rsid w:val="00D94038"/>
    <w:rsid w:val="00D94127"/>
    <w:rsid w:val="00D95C46"/>
    <w:rsid w:val="00DA03CD"/>
    <w:rsid w:val="00DA5272"/>
    <w:rsid w:val="00DA5AC4"/>
    <w:rsid w:val="00DB28D6"/>
    <w:rsid w:val="00DB2931"/>
    <w:rsid w:val="00DB2E1A"/>
    <w:rsid w:val="00DB31FE"/>
    <w:rsid w:val="00DC05A5"/>
    <w:rsid w:val="00DC06CC"/>
    <w:rsid w:val="00DC0CCE"/>
    <w:rsid w:val="00DC16F4"/>
    <w:rsid w:val="00DC2CBF"/>
    <w:rsid w:val="00DC464D"/>
    <w:rsid w:val="00DC78FA"/>
    <w:rsid w:val="00DD03AD"/>
    <w:rsid w:val="00DD1646"/>
    <w:rsid w:val="00DD27C6"/>
    <w:rsid w:val="00DD3130"/>
    <w:rsid w:val="00DE1D4F"/>
    <w:rsid w:val="00DE3EE5"/>
    <w:rsid w:val="00DE4409"/>
    <w:rsid w:val="00DF040E"/>
    <w:rsid w:val="00DF18FC"/>
    <w:rsid w:val="00DF1E37"/>
    <w:rsid w:val="00DF3073"/>
    <w:rsid w:val="00DF3D34"/>
    <w:rsid w:val="00DF715F"/>
    <w:rsid w:val="00E01C93"/>
    <w:rsid w:val="00E134BC"/>
    <w:rsid w:val="00E20972"/>
    <w:rsid w:val="00E20B29"/>
    <w:rsid w:val="00E2218D"/>
    <w:rsid w:val="00E278AB"/>
    <w:rsid w:val="00E30939"/>
    <w:rsid w:val="00E33FCA"/>
    <w:rsid w:val="00E3692C"/>
    <w:rsid w:val="00E4490F"/>
    <w:rsid w:val="00E57F13"/>
    <w:rsid w:val="00E60241"/>
    <w:rsid w:val="00E60265"/>
    <w:rsid w:val="00E626C8"/>
    <w:rsid w:val="00E63335"/>
    <w:rsid w:val="00E6387F"/>
    <w:rsid w:val="00E67F24"/>
    <w:rsid w:val="00E70092"/>
    <w:rsid w:val="00E752D1"/>
    <w:rsid w:val="00E779D1"/>
    <w:rsid w:val="00E81FFE"/>
    <w:rsid w:val="00E82A0B"/>
    <w:rsid w:val="00E865AE"/>
    <w:rsid w:val="00E90A50"/>
    <w:rsid w:val="00E93207"/>
    <w:rsid w:val="00E94363"/>
    <w:rsid w:val="00E97E14"/>
    <w:rsid w:val="00E97EA3"/>
    <w:rsid w:val="00EA0202"/>
    <w:rsid w:val="00EB12E7"/>
    <w:rsid w:val="00EB5D20"/>
    <w:rsid w:val="00EB7680"/>
    <w:rsid w:val="00EB7801"/>
    <w:rsid w:val="00EC09E2"/>
    <w:rsid w:val="00EC555F"/>
    <w:rsid w:val="00ED0F24"/>
    <w:rsid w:val="00ED36F9"/>
    <w:rsid w:val="00ED6884"/>
    <w:rsid w:val="00EE0B34"/>
    <w:rsid w:val="00EE19EC"/>
    <w:rsid w:val="00EE4E1F"/>
    <w:rsid w:val="00EE6A53"/>
    <w:rsid w:val="00EF01A1"/>
    <w:rsid w:val="00EF4471"/>
    <w:rsid w:val="00F104D9"/>
    <w:rsid w:val="00F145D4"/>
    <w:rsid w:val="00F17A61"/>
    <w:rsid w:val="00F17F9C"/>
    <w:rsid w:val="00F22AEE"/>
    <w:rsid w:val="00F24181"/>
    <w:rsid w:val="00F24FB2"/>
    <w:rsid w:val="00F27327"/>
    <w:rsid w:val="00F30137"/>
    <w:rsid w:val="00F3096A"/>
    <w:rsid w:val="00F3488E"/>
    <w:rsid w:val="00F34ACB"/>
    <w:rsid w:val="00F36844"/>
    <w:rsid w:val="00F36C59"/>
    <w:rsid w:val="00F37DFE"/>
    <w:rsid w:val="00F41E15"/>
    <w:rsid w:val="00F4612A"/>
    <w:rsid w:val="00F47C53"/>
    <w:rsid w:val="00F50782"/>
    <w:rsid w:val="00F525A3"/>
    <w:rsid w:val="00F52910"/>
    <w:rsid w:val="00F61856"/>
    <w:rsid w:val="00F638E6"/>
    <w:rsid w:val="00F648D9"/>
    <w:rsid w:val="00F67017"/>
    <w:rsid w:val="00F70E7E"/>
    <w:rsid w:val="00F73CA0"/>
    <w:rsid w:val="00F74A07"/>
    <w:rsid w:val="00F753DD"/>
    <w:rsid w:val="00F75B16"/>
    <w:rsid w:val="00F76105"/>
    <w:rsid w:val="00F81C00"/>
    <w:rsid w:val="00F8219F"/>
    <w:rsid w:val="00F84471"/>
    <w:rsid w:val="00F873D6"/>
    <w:rsid w:val="00F91BBD"/>
    <w:rsid w:val="00F9668C"/>
    <w:rsid w:val="00F96AEF"/>
    <w:rsid w:val="00FA3ACC"/>
    <w:rsid w:val="00FA4BD1"/>
    <w:rsid w:val="00FA4C92"/>
    <w:rsid w:val="00FA5033"/>
    <w:rsid w:val="00FA79DD"/>
    <w:rsid w:val="00FB2970"/>
    <w:rsid w:val="00FB61B6"/>
    <w:rsid w:val="00FC0331"/>
    <w:rsid w:val="00FC0DCD"/>
    <w:rsid w:val="00FC0E52"/>
    <w:rsid w:val="00FC1398"/>
    <w:rsid w:val="00FC1D3B"/>
    <w:rsid w:val="00FC3C5C"/>
    <w:rsid w:val="00FC4706"/>
    <w:rsid w:val="00FC7B60"/>
    <w:rsid w:val="00FD3464"/>
    <w:rsid w:val="00FD38CC"/>
    <w:rsid w:val="00FD4131"/>
    <w:rsid w:val="00FD4E56"/>
    <w:rsid w:val="00FD54E6"/>
    <w:rsid w:val="00FE2EF2"/>
    <w:rsid w:val="00FE7432"/>
    <w:rsid w:val="00FF3463"/>
    <w:rsid w:val="00FF38E6"/>
    <w:rsid w:val="00FF4FFD"/>
    <w:rsid w:val="01587B53"/>
    <w:rsid w:val="0352D9CC"/>
    <w:rsid w:val="03ED001A"/>
    <w:rsid w:val="04AF8363"/>
    <w:rsid w:val="05A770EE"/>
    <w:rsid w:val="07706A02"/>
    <w:rsid w:val="07E7EC62"/>
    <w:rsid w:val="081183E0"/>
    <w:rsid w:val="0B9A422C"/>
    <w:rsid w:val="0BDFFECB"/>
    <w:rsid w:val="0EAB5D5F"/>
    <w:rsid w:val="0EC332D0"/>
    <w:rsid w:val="0FCA09BD"/>
    <w:rsid w:val="1026A06D"/>
    <w:rsid w:val="14C50852"/>
    <w:rsid w:val="14FC82C9"/>
    <w:rsid w:val="1505C304"/>
    <w:rsid w:val="15C97F69"/>
    <w:rsid w:val="15D03008"/>
    <w:rsid w:val="16A0782C"/>
    <w:rsid w:val="16F923AD"/>
    <w:rsid w:val="17B46C7E"/>
    <w:rsid w:val="1881F3D6"/>
    <w:rsid w:val="189CFBD7"/>
    <w:rsid w:val="1AE68930"/>
    <w:rsid w:val="1B47FB05"/>
    <w:rsid w:val="1B82E661"/>
    <w:rsid w:val="1B9CD7E7"/>
    <w:rsid w:val="1C4305CC"/>
    <w:rsid w:val="1C5E6724"/>
    <w:rsid w:val="1C84BF2B"/>
    <w:rsid w:val="1CE4D49A"/>
    <w:rsid w:val="1D594B13"/>
    <w:rsid w:val="238A82B4"/>
    <w:rsid w:val="245A6D16"/>
    <w:rsid w:val="25480343"/>
    <w:rsid w:val="2578A353"/>
    <w:rsid w:val="262F5BBE"/>
    <w:rsid w:val="265FAE31"/>
    <w:rsid w:val="26DB5709"/>
    <w:rsid w:val="27C436ED"/>
    <w:rsid w:val="280286B3"/>
    <w:rsid w:val="28432337"/>
    <w:rsid w:val="2A6BB704"/>
    <w:rsid w:val="2BCED25A"/>
    <w:rsid w:val="2EB3DF50"/>
    <w:rsid w:val="2F8FFA09"/>
    <w:rsid w:val="2FC31FF8"/>
    <w:rsid w:val="3162B8EE"/>
    <w:rsid w:val="3178F14C"/>
    <w:rsid w:val="31EDF57D"/>
    <w:rsid w:val="320F3F6F"/>
    <w:rsid w:val="3384C8C0"/>
    <w:rsid w:val="361855EC"/>
    <w:rsid w:val="36B18EC4"/>
    <w:rsid w:val="3739871C"/>
    <w:rsid w:val="373B8733"/>
    <w:rsid w:val="37BE5535"/>
    <w:rsid w:val="38B7A8FD"/>
    <w:rsid w:val="3B09B2F2"/>
    <w:rsid w:val="3C1C22FE"/>
    <w:rsid w:val="3D09C335"/>
    <w:rsid w:val="3D6D134C"/>
    <w:rsid w:val="3F05530A"/>
    <w:rsid w:val="4007E5DD"/>
    <w:rsid w:val="4047D76E"/>
    <w:rsid w:val="4058E1DB"/>
    <w:rsid w:val="4088C755"/>
    <w:rsid w:val="453D518E"/>
    <w:rsid w:val="45653445"/>
    <w:rsid w:val="47BA6A4B"/>
    <w:rsid w:val="4900F2B6"/>
    <w:rsid w:val="4C29DD90"/>
    <w:rsid w:val="4C9D221B"/>
    <w:rsid w:val="4E1F5A8A"/>
    <w:rsid w:val="514782DE"/>
    <w:rsid w:val="532A5289"/>
    <w:rsid w:val="54E679BB"/>
    <w:rsid w:val="5521CE38"/>
    <w:rsid w:val="562F0B64"/>
    <w:rsid w:val="56883676"/>
    <w:rsid w:val="574D3683"/>
    <w:rsid w:val="57E44B57"/>
    <w:rsid w:val="57F05883"/>
    <w:rsid w:val="581558F4"/>
    <w:rsid w:val="593D999E"/>
    <w:rsid w:val="5BE99822"/>
    <w:rsid w:val="5BFDD091"/>
    <w:rsid w:val="5C96D6BF"/>
    <w:rsid w:val="5D35E4F8"/>
    <w:rsid w:val="6043288F"/>
    <w:rsid w:val="604F254A"/>
    <w:rsid w:val="60BEFFE4"/>
    <w:rsid w:val="61EE79EA"/>
    <w:rsid w:val="62E1A8E5"/>
    <w:rsid w:val="630547B8"/>
    <w:rsid w:val="633A771F"/>
    <w:rsid w:val="64590B74"/>
    <w:rsid w:val="654DA8D0"/>
    <w:rsid w:val="66CE1C58"/>
    <w:rsid w:val="66F588A0"/>
    <w:rsid w:val="67333046"/>
    <w:rsid w:val="6858F7F4"/>
    <w:rsid w:val="688E7A94"/>
    <w:rsid w:val="6BADB908"/>
    <w:rsid w:val="6C6A25BF"/>
    <w:rsid w:val="6F4BA789"/>
    <w:rsid w:val="70A6905C"/>
    <w:rsid w:val="72DA88EB"/>
    <w:rsid w:val="7380D48D"/>
    <w:rsid w:val="73CEA771"/>
    <w:rsid w:val="7441D1D5"/>
    <w:rsid w:val="747A23F9"/>
    <w:rsid w:val="74CDC707"/>
    <w:rsid w:val="74D6BC28"/>
    <w:rsid w:val="74DDD2BA"/>
    <w:rsid w:val="75DFA425"/>
    <w:rsid w:val="768CFEE2"/>
    <w:rsid w:val="773FC3CE"/>
    <w:rsid w:val="77C13B4D"/>
    <w:rsid w:val="77F9A82F"/>
    <w:rsid w:val="79A9DC7B"/>
    <w:rsid w:val="7ADC6346"/>
    <w:rsid w:val="7B4E1CCB"/>
    <w:rsid w:val="7B7629D5"/>
    <w:rsid w:val="7B8EA86F"/>
    <w:rsid w:val="7C19E617"/>
    <w:rsid w:val="7EECFC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AFFEC"/>
  <w15:chartTrackingRefBased/>
  <w15:docId w15:val="{85646893-347B-4592-909C-3F4FE4B9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7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B7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680"/>
    <w:rPr>
      <w:rFonts w:eastAsiaTheme="majorEastAsia" w:cstheme="majorBidi"/>
      <w:color w:val="272727" w:themeColor="text1" w:themeTint="D8"/>
    </w:rPr>
  </w:style>
  <w:style w:type="paragraph" w:styleId="Title">
    <w:name w:val="Title"/>
    <w:basedOn w:val="Normal"/>
    <w:next w:val="Normal"/>
    <w:link w:val="TitleChar"/>
    <w:uiPriority w:val="10"/>
    <w:qFormat/>
    <w:rsid w:val="00EB7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680"/>
    <w:pPr>
      <w:spacing w:before="160"/>
      <w:jc w:val="center"/>
    </w:pPr>
    <w:rPr>
      <w:i/>
      <w:iCs/>
      <w:color w:val="404040" w:themeColor="text1" w:themeTint="BF"/>
    </w:rPr>
  </w:style>
  <w:style w:type="character" w:customStyle="1" w:styleId="QuoteChar">
    <w:name w:val="Quote Char"/>
    <w:basedOn w:val="DefaultParagraphFont"/>
    <w:link w:val="Quote"/>
    <w:uiPriority w:val="29"/>
    <w:rsid w:val="00EB7680"/>
    <w:rPr>
      <w:i/>
      <w:iCs/>
      <w:color w:val="404040" w:themeColor="text1" w:themeTint="BF"/>
    </w:rPr>
  </w:style>
  <w:style w:type="paragraph" w:styleId="ListParagraph">
    <w:name w:val="List Paragraph"/>
    <w:basedOn w:val="Normal"/>
    <w:uiPriority w:val="34"/>
    <w:qFormat/>
    <w:rsid w:val="00EB7680"/>
    <w:pPr>
      <w:ind w:left="720"/>
      <w:contextualSpacing/>
    </w:pPr>
  </w:style>
  <w:style w:type="character" w:styleId="IntenseEmphasis">
    <w:name w:val="Intense Emphasis"/>
    <w:basedOn w:val="DefaultParagraphFont"/>
    <w:uiPriority w:val="21"/>
    <w:qFormat/>
    <w:rsid w:val="00EB7680"/>
    <w:rPr>
      <w:i/>
      <w:iCs/>
      <w:color w:val="0F4761" w:themeColor="accent1" w:themeShade="BF"/>
    </w:rPr>
  </w:style>
  <w:style w:type="paragraph" w:styleId="IntenseQuote">
    <w:name w:val="Intense Quote"/>
    <w:basedOn w:val="Normal"/>
    <w:next w:val="Normal"/>
    <w:link w:val="IntenseQuoteChar"/>
    <w:uiPriority w:val="30"/>
    <w:qFormat/>
    <w:rsid w:val="00EB7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680"/>
    <w:rPr>
      <w:i/>
      <w:iCs/>
      <w:color w:val="0F4761" w:themeColor="accent1" w:themeShade="BF"/>
    </w:rPr>
  </w:style>
  <w:style w:type="character" w:styleId="IntenseReference">
    <w:name w:val="Intense Reference"/>
    <w:basedOn w:val="DefaultParagraphFont"/>
    <w:uiPriority w:val="32"/>
    <w:qFormat/>
    <w:rsid w:val="00EB7680"/>
    <w:rPr>
      <w:b/>
      <w:bCs/>
      <w:smallCaps/>
      <w:color w:val="0F4761" w:themeColor="accent1" w:themeShade="BF"/>
      <w:spacing w:val="5"/>
    </w:rPr>
  </w:style>
  <w:style w:type="character" w:customStyle="1" w:styleId="ng-star-inserted">
    <w:name w:val="ng-star-inserted"/>
    <w:basedOn w:val="DefaultParagraphFont"/>
    <w:rsid w:val="007C1B34"/>
  </w:style>
  <w:style w:type="character" w:styleId="CommentReference">
    <w:name w:val="annotation reference"/>
    <w:basedOn w:val="DefaultParagraphFont"/>
    <w:uiPriority w:val="99"/>
    <w:semiHidden/>
    <w:unhideWhenUsed/>
    <w:rsid w:val="0013238A"/>
    <w:rPr>
      <w:sz w:val="16"/>
      <w:szCs w:val="16"/>
    </w:rPr>
  </w:style>
  <w:style w:type="paragraph" w:styleId="CommentText">
    <w:name w:val="annotation text"/>
    <w:basedOn w:val="Normal"/>
    <w:link w:val="CommentTextChar"/>
    <w:uiPriority w:val="99"/>
    <w:unhideWhenUsed/>
    <w:rsid w:val="0013238A"/>
    <w:pPr>
      <w:spacing w:line="240" w:lineRule="auto"/>
    </w:pPr>
    <w:rPr>
      <w:sz w:val="20"/>
      <w:szCs w:val="20"/>
    </w:rPr>
  </w:style>
  <w:style w:type="character" w:customStyle="1" w:styleId="CommentTextChar">
    <w:name w:val="Comment Text Char"/>
    <w:basedOn w:val="DefaultParagraphFont"/>
    <w:link w:val="CommentText"/>
    <w:uiPriority w:val="99"/>
    <w:rsid w:val="0013238A"/>
    <w:rPr>
      <w:sz w:val="20"/>
      <w:szCs w:val="20"/>
    </w:rPr>
  </w:style>
  <w:style w:type="paragraph" w:styleId="CommentSubject">
    <w:name w:val="annotation subject"/>
    <w:basedOn w:val="CommentText"/>
    <w:next w:val="CommentText"/>
    <w:link w:val="CommentSubjectChar"/>
    <w:uiPriority w:val="99"/>
    <w:semiHidden/>
    <w:unhideWhenUsed/>
    <w:rsid w:val="0013238A"/>
    <w:rPr>
      <w:b/>
      <w:bCs/>
    </w:rPr>
  </w:style>
  <w:style w:type="character" w:customStyle="1" w:styleId="CommentSubjectChar">
    <w:name w:val="Comment Subject Char"/>
    <w:basedOn w:val="CommentTextChar"/>
    <w:link w:val="CommentSubject"/>
    <w:uiPriority w:val="99"/>
    <w:semiHidden/>
    <w:rsid w:val="0013238A"/>
    <w:rPr>
      <w:b/>
      <w:bCs/>
      <w:sz w:val="20"/>
      <w:szCs w:val="20"/>
    </w:rPr>
  </w:style>
  <w:style w:type="paragraph" w:customStyle="1" w:styleId="paragraph">
    <w:name w:val="paragraph"/>
    <w:basedOn w:val="Normal"/>
    <w:rsid w:val="00217C5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D5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825"/>
  </w:style>
  <w:style w:type="paragraph" w:styleId="Footer">
    <w:name w:val="footer"/>
    <w:basedOn w:val="Normal"/>
    <w:link w:val="FooterChar"/>
    <w:uiPriority w:val="99"/>
    <w:unhideWhenUsed/>
    <w:rsid w:val="006D5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825"/>
  </w:style>
  <w:style w:type="paragraph" w:styleId="Revision">
    <w:name w:val="Revision"/>
    <w:hidden/>
    <w:uiPriority w:val="99"/>
    <w:semiHidden/>
    <w:rsid w:val="006D5825"/>
    <w:pPr>
      <w:spacing w:after="0" w:line="240" w:lineRule="auto"/>
    </w:pPr>
  </w:style>
  <w:style w:type="paragraph" w:styleId="FootnoteText">
    <w:name w:val="footnote text"/>
    <w:basedOn w:val="Normal"/>
    <w:link w:val="FootnoteTextChar"/>
    <w:uiPriority w:val="99"/>
    <w:semiHidden/>
    <w:unhideWhenUsed/>
    <w:rsid w:val="00B35B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B77"/>
    <w:rPr>
      <w:sz w:val="20"/>
      <w:szCs w:val="20"/>
    </w:rPr>
  </w:style>
  <w:style w:type="character" w:styleId="FootnoteReference">
    <w:name w:val="footnote reference"/>
    <w:basedOn w:val="DefaultParagraphFont"/>
    <w:uiPriority w:val="99"/>
    <w:semiHidden/>
    <w:unhideWhenUsed/>
    <w:rsid w:val="00B35B77"/>
    <w:rPr>
      <w:vertAlign w:val="superscript"/>
    </w:rPr>
  </w:style>
  <w:style w:type="character" w:styleId="Hyperlink">
    <w:name w:val="Hyperlink"/>
    <w:basedOn w:val="DefaultParagraphFont"/>
    <w:uiPriority w:val="99"/>
    <w:unhideWhenUsed/>
    <w:rsid w:val="005F43D1"/>
    <w:rPr>
      <w:color w:val="467886" w:themeColor="hyperlink"/>
      <w:u w:val="single"/>
    </w:rPr>
  </w:style>
  <w:style w:type="character" w:styleId="UnresolvedMention">
    <w:name w:val="Unresolved Mention"/>
    <w:basedOn w:val="DefaultParagraphFont"/>
    <w:uiPriority w:val="99"/>
    <w:semiHidden/>
    <w:unhideWhenUsed/>
    <w:rsid w:val="005F4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bd.int/tsc/tscm/subregionalcentr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5adec92-1659-4e4a-b9ea-4e64a3d6f1f3" xsi:nil="true"/>
    <lcf76f155ced4ddcb4097134ff3c332f xmlns="79a36849-66a8-47ed-b9c5-290121872f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88AFC9CC32BB4F826916F0082A100E" ma:contentTypeVersion="11" ma:contentTypeDescription="Create a new document." ma:contentTypeScope="" ma:versionID="6b0b10498fad95f911e5549dfedebec9">
  <xsd:schema xmlns:xsd="http://www.w3.org/2001/XMLSchema" xmlns:xs="http://www.w3.org/2001/XMLSchema" xmlns:p="http://schemas.microsoft.com/office/2006/metadata/properties" xmlns:ns2="79a36849-66a8-47ed-b9c5-290121872f0b" xmlns:ns3="15adec92-1659-4e4a-b9ea-4e64a3d6f1f3" targetNamespace="http://schemas.microsoft.com/office/2006/metadata/properties" ma:root="true" ma:fieldsID="6ee59a7760305824d658d3d8e981480d" ns2:_="" ns3:_="">
    <xsd:import namespace="79a36849-66a8-47ed-b9c5-290121872f0b"/>
    <xsd:import namespace="15adec92-1659-4e4a-b9ea-4e64a3d6f1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36849-66a8-47ed-b9c5-290121872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adec92-1659-4e4a-b9ea-4e64a3d6f1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2ac89e-22ad-412d-85ef-6790dc942060}" ma:internalName="TaxCatchAll" ma:showField="CatchAllData" ma:web="15adec92-1659-4e4a-b9ea-4e64a3d6f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78C7C-7842-4CE2-BD32-8C9BA8145E47}">
  <ds:schemaRefs>
    <ds:schemaRef ds:uri="http://schemas.openxmlformats.org/officeDocument/2006/bibliography"/>
  </ds:schemaRefs>
</ds:datastoreItem>
</file>

<file path=customXml/itemProps2.xml><?xml version="1.0" encoding="utf-8"?>
<ds:datastoreItem xmlns:ds="http://schemas.openxmlformats.org/officeDocument/2006/customXml" ds:itemID="{03E6629E-A1AB-4871-B0F8-EDCF6201E9F7}">
  <ds:schemaRefs>
    <ds:schemaRef ds:uri="http://schemas.microsoft.com/office/2006/metadata/properties"/>
    <ds:schemaRef ds:uri="http://schemas.microsoft.com/office/infopath/2007/PartnerControls"/>
    <ds:schemaRef ds:uri="15adec92-1659-4e4a-b9ea-4e64a3d6f1f3"/>
    <ds:schemaRef ds:uri="79a36849-66a8-47ed-b9c5-290121872f0b"/>
  </ds:schemaRefs>
</ds:datastoreItem>
</file>

<file path=customXml/itemProps3.xml><?xml version="1.0" encoding="utf-8"?>
<ds:datastoreItem xmlns:ds="http://schemas.openxmlformats.org/officeDocument/2006/customXml" ds:itemID="{27B6C521-2345-466E-A0AA-27B8E1DB713C}">
  <ds:schemaRefs>
    <ds:schemaRef ds:uri="http://schemas.microsoft.com/sharepoint/v3/contenttype/forms"/>
  </ds:schemaRefs>
</ds:datastoreItem>
</file>

<file path=customXml/itemProps4.xml><?xml version="1.0" encoding="utf-8"?>
<ds:datastoreItem xmlns:ds="http://schemas.openxmlformats.org/officeDocument/2006/customXml" ds:itemID="{16D98189-9AEB-4AAE-84C3-7267F3FD3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36849-66a8-47ed-b9c5-290121872f0b"/>
    <ds:schemaRef ds:uri="15adec92-1659-4e4a-b9ea-4e64a3d6f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159</TotalTime>
  <Pages>7</Pages>
  <Words>1994</Words>
  <Characters>12384</Characters>
  <Application>Microsoft Office Word</Application>
  <DocSecurity>0</DocSecurity>
  <Lines>229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Sojung Kang</dc:creator>
  <cp:keywords/>
  <dc:description/>
  <cp:lastModifiedBy>Anon</cp:lastModifiedBy>
  <cp:revision>3</cp:revision>
  <dcterms:created xsi:type="dcterms:W3CDTF">2026-05-08T13:26:00Z</dcterms:created>
  <dcterms:modified xsi:type="dcterms:W3CDTF">2026-05-08T16:04:00Z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0x0101002D88AFC9CC32BB4F826916F0082A100E</vt:lpwstr>
  </property>
  <property fmtid="{D5CDD505-2E9C-101B-9397-08002B2CF9AE}" pid="3" name="MediaServiceImageTags">
    <vt:lpwstr/>
  </property>
</Properties>
</file>