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A47CC6" w:rsidRPr="00F00843" w14:paraId="114198A1" w14:textId="77777777">
        <w:trPr>
          <w:trHeight w:val="850"/>
        </w:trPr>
        <w:tc>
          <w:tcPr>
            <w:tcW w:w="975" w:type="dxa"/>
            <w:vAlign w:val="bottom"/>
          </w:tcPr>
          <w:p w14:paraId="5A8208E4" w14:textId="77777777" w:rsidR="00A47CC6" w:rsidRPr="00F00843" w:rsidRDefault="001643AF">
            <w:pPr>
              <w:pStyle w:val="AASmallLogo"/>
              <w:rPr>
                <w:lang w:val="es-ES"/>
              </w:rPr>
            </w:pPr>
            <w:r w:rsidRPr="00F00843">
              <w:rPr>
                <w:noProof/>
                <w:lang w:val="es-ES"/>
              </w:rPr>
              <w:drawing>
                <wp:inline distT="0" distB="0" distL="0" distR="0" wp14:anchorId="517BCF76" wp14:editId="15D2C29A">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727" cy="402337"/>
                          </a:xfrm>
                          <a:prstGeom prst="rect">
                            <a:avLst/>
                          </a:prstGeom>
                        </pic:spPr>
                      </pic:pic>
                    </a:graphicData>
                  </a:graphic>
                </wp:inline>
              </w:drawing>
            </w:r>
            <w:r w:rsidRPr="00F00843">
              <w:rPr>
                <w:lang w:val="es-ES"/>
              </w:rPr>
              <w:t xml:space="preserve"> </w:t>
            </w:r>
          </w:p>
          <w:p w14:paraId="499BFE80" w14:textId="77777777" w:rsidR="00A47CC6" w:rsidRPr="00F00843" w:rsidRDefault="00A47CC6">
            <w:pPr>
              <w:pStyle w:val="AASmallLogo"/>
              <w:rPr>
                <w:lang w:val="es-ES"/>
              </w:rPr>
            </w:pPr>
          </w:p>
        </w:tc>
        <w:tc>
          <w:tcPr>
            <w:tcW w:w="1434" w:type="dxa"/>
            <w:noWrap/>
            <w:vAlign w:val="bottom"/>
          </w:tcPr>
          <w:p w14:paraId="007F4F05" w14:textId="2C204730" w:rsidR="00A47CC6" w:rsidRPr="00F00843" w:rsidRDefault="007A7E35">
            <w:pPr>
              <w:pStyle w:val="AASmallLogo"/>
              <w:rPr>
                <w:lang w:val="es-ES"/>
              </w:rPr>
            </w:pPr>
            <w:r w:rsidRPr="00F00843">
              <w:rPr>
                <w:noProof/>
                <w:lang w:val="es-ES"/>
              </w:rPr>
              <w:drawing>
                <wp:inline distT="0" distB="0" distL="0" distR="0" wp14:anchorId="6D57B9F4" wp14:editId="5985A459">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1643AF" w:rsidRPr="00F00843">
              <w:rPr>
                <w:lang w:val="es-ES"/>
              </w:rPr>
              <w:t xml:space="preserve"> </w:t>
            </w:r>
          </w:p>
          <w:p w14:paraId="5845ADD1" w14:textId="77777777" w:rsidR="007A7E35" w:rsidRPr="00F00843" w:rsidRDefault="007A7E35">
            <w:pPr>
              <w:pStyle w:val="AASmallLogo"/>
              <w:rPr>
                <w:lang w:val="es-ES"/>
              </w:rPr>
            </w:pPr>
          </w:p>
          <w:p w14:paraId="2F07101D" w14:textId="77777777" w:rsidR="00A47CC6" w:rsidRPr="00F00843" w:rsidRDefault="00A47CC6">
            <w:pPr>
              <w:pStyle w:val="AASmallLogo"/>
              <w:rPr>
                <w:lang w:val="es-ES"/>
              </w:rPr>
            </w:pPr>
          </w:p>
        </w:tc>
        <w:tc>
          <w:tcPr>
            <w:tcW w:w="8073" w:type="dxa"/>
            <w:vAlign w:val="bottom"/>
          </w:tcPr>
          <w:p w14:paraId="3D020333" w14:textId="40F3F629" w:rsidR="00A47CC6" w:rsidRPr="00F00843" w:rsidRDefault="001643AF">
            <w:pPr>
              <w:pStyle w:val="ABSymbol"/>
              <w:rPr>
                <w:lang w:val="es-ES"/>
              </w:rPr>
            </w:pPr>
            <w:r w:rsidRPr="00F00843">
              <w:rPr>
                <w:sz w:val="40"/>
                <w:lang w:val="es-ES"/>
              </w:rPr>
              <w:t>CBD</w:t>
            </w:r>
            <w:r w:rsidRPr="00F00843">
              <w:rPr>
                <w:lang w:val="es-ES"/>
              </w:rPr>
              <w:t>/CP/MOP/12/3</w:t>
            </w:r>
          </w:p>
        </w:tc>
      </w:tr>
    </w:tbl>
    <w:p w14:paraId="1C89133C" w14:textId="77777777" w:rsidR="00A47CC6" w:rsidRPr="00F00843" w:rsidRDefault="00A47CC6">
      <w:pPr>
        <w:pStyle w:val="AISpacer"/>
        <w:rPr>
          <w:lang w:val="es-ES"/>
        </w:rPr>
      </w:pPr>
    </w:p>
    <w:tbl>
      <w:tblPr>
        <w:tblW w:w="10482" w:type="dxa"/>
        <w:tblInd w:w="-283" w:type="dxa"/>
        <w:tblBorders>
          <w:top w:val="single" w:sz="8" w:space="0" w:color="auto"/>
          <w:bottom w:val="single" w:sz="12" w:space="0" w:color="auto"/>
        </w:tblBorders>
        <w:tblLayout w:type="fixed"/>
        <w:tblLook w:val="04A0" w:firstRow="1" w:lastRow="0" w:firstColumn="1" w:lastColumn="0" w:noHBand="0" w:noVBand="1"/>
      </w:tblPr>
      <w:tblGrid>
        <w:gridCol w:w="7370"/>
        <w:gridCol w:w="3112"/>
      </w:tblGrid>
      <w:tr w:rsidR="00A47CC6" w:rsidRPr="00F00843" w14:paraId="7A9C3768" w14:textId="77777777">
        <w:trPr>
          <w:trHeight w:val="1814"/>
        </w:trPr>
        <w:tc>
          <w:tcPr>
            <w:tcW w:w="7370" w:type="dxa"/>
          </w:tcPr>
          <w:p w14:paraId="00CC9662" w14:textId="77777777" w:rsidR="007A7E35" w:rsidRPr="00F00843" w:rsidRDefault="007A7E35">
            <w:pPr>
              <w:pStyle w:val="ACLargeLogo"/>
              <w:rPr>
                <w:lang w:val="es-ES"/>
              </w:rPr>
            </w:pPr>
            <w:r w:rsidRPr="00F00843">
              <w:rPr>
                <w:noProof/>
                <w:lang w:val="es-ES"/>
              </w:rPr>
              <w:drawing>
                <wp:inline distT="0" distB="0" distL="0" distR="0" wp14:anchorId="38148E60" wp14:editId="07A6C84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51B3A7DB" w14:textId="1A17094D" w:rsidR="00A47CC6" w:rsidRPr="00F00843" w:rsidRDefault="001643AF">
            <w:pPr>
              <w:pStyle w:val="ACLargeLogo"/>
              <w:rPr>
                <w:lang w:val="es-ES"/>
              </w:rPr>
            </w:pPr>
            <w:r w:rsidRPr="00F00843">
              <w:rPr>
                <w:lang w:val="es-ES"/>
              </w:rPr>
              <w:t xml:space="preserve"> </w:t>
            </w:r>
          </w:p>
          <w:p w14:paraId="743B6C33" w14:textId="77777777" w:rsidR="00A47CC6" w:rsidRPr="00F00843" w:rsidRDefault="00A47CC6">
            <w:pPr>
              <w:pStyle w:val="ACLargeLogo"/>
              <w:rPr>
                <w:lang w:val="es-ES"/>
              </w:rPr>
            </w:pPr>
          </w:p>
        </w:tc>
        <w:tc>
          <w:tcPr>
            <w:tcW w:w="3112" w:type="dxa"/>
          </w:tcPr>
          <w:p w14:paraId="26B2D318" w14:textId="0E99B1F9" w:rsidR="00A47CC6" w:rsidRPr="00F00843" w:rsidRDefault="001643AF">
            <w:pPr>
              <w:pStyle w:val="AEDistrNormal"/>
              <w:rPr>
                <w:lang w:val="es-ES"/>
              </w:rPr>
            </w:pPr>
            <w:proofErr w:type="spellStart"/>
            <w:r w:rsidRPr="00F00843">
              <w:rPr>
                <w:lang w:val="es-ES"/>
              </w:rPr>
              <w:t>Distr</w:t>
            </w:r>
            <w:proofErr w:type="spellEnd"/>
            <w:r w:rsidRPr="00F00843">
              <w:rPr>
                <w:lang w:val="es-ES"/>
              </w:rPr>
              <w:t xml:space="preserve">.: </w:t>
            </w:r>
            <w:r w:rsidR="007A7E35" w:rsidRPr="00F00843">
              <w:rPr>
                <w:lang w:val="es-ES"/>
              </w:rPr>
              <w:t>general</w:t>
            </w:r>
            <w:r w:rsidRPr="00F00843">
              <w:rPr>
                <w:lang w:val="es-ES"/>
              </w:rPr>
              <w:t xml:space="preserve"> </w:t>
            </w:r>
          </w:p>
          <w:p w14:paraId="34A9A678" w14:textId="001DC3D4" w:rsidR="00A47CC6" w:rsidRPr="00F00843" w:rsidRDefault="001643AF" w:rsidP="007A7E35">
            <w:pPr>
              <w:pStyle w:val="AEDistrNormal"/>
              <w:rPr>
                <w:lang w:val="es-ES"/>
              </w:rPr>
            </w:pPr>
            <w:r w:rsidRPr="00F00843">
              <w:rPr>
                <w:lang w:val="es-ES"/>
              </w:rPr>
              <w:t>12</w:t>
            </w:r>
            <w:r w:rsidR="007A7E35" w:rsidRPr="00F00843">
              <w:rPr>
                <w:lang w:val="es-ES"/>
              </w:rPr>
              <w:t xml:space="preserve"> de junio de </w:t>
            </w:r>
            <w:r w:rsidRPr="00F00843">
              <w:rPr>
                <w:lang w:val="es-ES"/>
              </w:rPr>
              <w:t>2026</w:t>
            </w:r>
            <w:r w:rsidR="007A7E35" w:rsidRPr="00F00843">
              <w:rPr>
                <w:lang w:val="es-ES"/>
              </w:rPr>
              <w:br/>
            </w:r>
            <w:proofErr w:type="gramStart"/>
            <w:r w:rsidR="007A7E35" w:rsidRPr="00F00843">
              <w:rPr>
                <w:lang w:val="es-ES"/>
              </w:rPr>
              <w:t>Español</w:t>
            </w:r>
            <w:proofErr w:type="gramEnd"/>
            <w:r w:rsidR="007A7E35" w:rsidRPr="00F00843">
              <w:rPr>
                <w:lang w:val="es-ES"/>
              </w:rPr>
              <w:br/>
            </w:r>
            <w:r w:rsidRPr="00F00843">
              <w:rPr>
                <w:lang w:val="es-ES"/>
              </w:rPr>
              <w:t xml:space="preserve">Original: </w:t>
            </w:r>
            <w:r w:rsidR="007A7E35" w:rsidRPr="00F00843">
              <w:rPr>
                <w:lang w:val="es-ES"/>
              </w:rPr>
              <w:t>inglés</w:t>
            </w:r>
            <w:r w:rsidRPr="00F00843">
              <w:rPr>
                <w:lang w:val="es-ES"/>
              </w:rPr>
              <w:t xml:space="preserve"> </w:t>
            </w:r>
          </w:p>
          <w:p w14:paraId="6B641C3D" w14:textId="77777777" w:rsidR="00A47CC6" w:rsidRPr="00F00843" w:rsidRDefault="00A47CC6">
            <w:pPr>
              <w:pStyle w:val="AEDistrNormal6pt"/>
              <w:rPr>
                <w:lang w:val="es-ES"/>
              </w:rPr>
            </w:pPr>
          </w:p>
        </w:tc>
      </w:tr>
    </w:tbl>
    <w:p w14:paraId="56069CAC" w14:textId="77777777" w:rsidR="00A47CC6" w:rsidRPr="00F00843" w:rsidRDefault="00A47CC6">
      <w:pPr>
        <w:pStyle w:val="AISpacer"/>
        <w:rPr>
          <w:lang w:val="es-ES"/>
        </w:rPr>
      </w:pPr>
    </w:p>
    <w:tbl>
      <w:tblPr>
        <w:tblW w:w="10482" w:type="dxa"/>
        <w:tblInd w:w="-283" w:type="dxa"/>
        <w:tblLayout w:type="fixed"/>
        <w:tblCellMar>
          <w:left w:w="283" w:type="dxa"/>
        </w:tblCellMar>
        <w:tblLook w:val="04A0" w:firstRow="1" w:lastRow="0" w:firstColumn="1" w:lastColumn="0" w:noHBand="0" w:noVBand="1"/>
      </w:tblPr>
      <w:tblGrid>
        <w:gridCol w:w="6094"/>
        <w:gridCol w:w="4388"/>
      </w:tblGrid>
      <w:tr w:rsidR="00A47CC6" w:rsidRPr="00D12392" w14:paraId="01D9F63E" w14:textId="77777777">
        <w:trPr>
          <w:trHeight w:val="57"/>
        </w:trPr>
        <w:tc>
          <w:tcPr>
            <w:tcW w:w="6094" w:type="dxa"/>
          </w:tcPr>
          <w:p w14:paraId="7ECF0E58" w14:textId="77777777" w:rsidR="00950E70" w:rsidRPr="00F00843" w:rsidRDefault="00950E70" w:rsidP="00950E70">
            <w:pPr>
              <w:pStyle w:val="AFCorN12Bold"/>
              <w:rPr>
                <w:bCs/>
                <w:lang w:val="es-ES"/>
              </w:rPr>
            </w:pPr>
            <w:r w:rsidRPr="00F00843">
              <w:rPr>
                <w:bCs/>
                <w:lang w:val="es-ES"/>
              </w:rPr>
              <w:t xml:space="preserve">Conferencia de las Partes en el Convenio sobre la Diversidad Biológica que actúa como reunión de las Partes en el Protocolo de Cartagena sobre Seguridad de la Biotecnología </w:t>
            </w:r>
          </w:p>
          <w:p w14:paraId="46E48751" w14:textId="77777777" w:rsidR="00950E70" w:rsidRPr="00F00843" w:rsidRDefault="00950E70">
            <w:pPr>
              <w:pStyle w:val="Venuedate"/>
              <w:ind w:right="2280"/>
              <w:rPr>
                <w:b/>
                <w:bCs w:val="0"/>
                <w:sz w:val="24"/>
                <w:lang w:val="es-ES"/>
              </w:rPr>
            </w:pPr>
            <w:r w:rsidRPr="00F00843">
              <w:rPr>
                <w:b/>
                <w:bCs w:val="0"/>
                <w:sz w:val="24"/>
                <w:lang w:val="es-ES"/>
              </w:rPr>
              <w:t xml:space="preserve">12ª reunión </w:t>
            </w:r>
          </w:p>
          <w:p w14:paraId="0A8F23C7" w14:textId="4CF6E315" w:rsidR="00A47CC6" w:rsidRPr="00F00843" w:rsidRDefault="00D65645" w:rsidP="00D65645">
            <w:pPr>
              <w:pStyle w:val="Venuedate"/>
              <w:ind w:right="1595"/>
              <w:rPr>
                <w:lang w:val="es-ES"/>
              </w:rPr>
            </w:pPr>
            <w:r w:rsidRPr="00F00843">
              <w:rPr>
                <w:lang w:val="es-ES"/>
              </w:rPr>
              <w:t xml:space="preserve">Ereván (Armenia), </w:t>
            </w:r>
            <w:r w:rsidRPr="00F00843">
              <w:rPr>
                <w:snapToGrid w:val="0"/>
                <w:kern w:val="22"/>
                <w:lang w:val="es-ES"/>
              </w:rPr>
              <w:t>19 a 30 de octubre de 2026</w:t>
            </w:r>
          </w:p>
          <w:p w14:paraId="553D1824" w14:textId="3D6E8EDA" w:rsidR="00A47CC6" w:rsidRPr="00F00843" w:rsidRDefault="00D65645">
            <w:pPr>
              <w:pStyle w:val="AFCorNNormal"/>
              <w:rPr>
                <w:lang w:val="es-ES"/>
              </w:rPr>
            </w:pPr>
            <w:r w:rsidRPr="00F00843">
              <w:rPr>
                <w:lang w:val="es-ES"/>
              </w:rPr>
              <w:t xml:space="preserve">Tema </w:t>
            </w:r>
            <w:r w:rsidR="001643AF" w:rsidRPr="00F00843">
              <w:rPr>
                <w:lang w:val="es-ES"/>
              </w:rPr>
              <w:t xml:space="preserve">5 </w:t>
            </w:r>
            <w:r w:rsidRPr="00F00843">
              <w:rPr>
                <w:lang w:val="es-ES"/>
              </w:rPr>
              <w:t xml:space="preserve">del programa </w:t>
            </w:r>
            <w:r w:rsidR="001643AF" w:rsidRPr="00F00843">
              <w:rPr>
                <w:lang w:val="es-ES"/>
              </w:rPr>
              <w:t>provisional</w:t>
            </w:r>
            <w:r w:rsidR="008453C9" w:rsidRPr="00F00843">
              <w:rPr>
                <w:rStyle w:val="FootnoteReference"/>
                <w:lang w:val="es-ES"/>
              </w:rPr>
              <w:footnoteReference w:customMarkFollows="1" w:id="1"/>
              <w:t>*</w:t>
            </w:r>
          </w:p>
          <w:p w14:paraId="0022DB14" w14:textId="7B803B98" w:rsidR="00A47CC6" w:rsidRPr="00F00843" w:rsidRDefault="00903398">
            <w:pPr>
              <w:pStyle w:val="AFCorNBold"/>
              <w:rPr>
                <w:lang w:val="es-ES"/>
              </w:rPr>
            </w:pPr>
            <w:r w:rsidRPr="00F00843">
              <w:rPr>
                <w:lang w:val="es-ES"/>
              </w:rPr>
              <w:t>Informe del Comité de Cumplimiento</w:t>
            </w:r>
          </w:p>
        </w:tc>
        <w:tc>
          <w:tcPr>
            <w:tcW w:w="4388" w:type="dxa"/>
          </w:tcPr>
          <w:p w14:paraId="543B4BDB" w14:textId="77777777" w:rsidR="00A47CC6" w:rsidRPr="00F00843" w:rsidRDefault="00A47CC6">
            <w:pPr>
              <w:pStyle w:val="CBDNormal"/>
              <w:jc w:val="left"/>
              <w:rPr>
                <w:lang w:val="es-ES"/>
              </w:rPr>
            </w:pPr>
          </w:p>
        </w:tc>
      </w:tr>
    </w:tbl>
    <w:bookmarkStart w:id="0" w:name="_Hlk238546207"/>
    <w:p w14:paraId="21C856AE" w14:textId="7B80FC0B" w:rsidR="00A47CC6" w:rsidRPr="00F00843" w:rsidRDefault="00000000" w:rsidP="00903398">
      <w:pPr>
        <w:pStyle w:val="CBDTitle"/>
        <w:rPr>
          <w:caps/>
          <w:lang w:val="es-ES"/>
        </w:rPr>
      </w:pPr>
      <w:sdt>
        <w:sdtPr>
          <w:rPr>
            <w:lang w:val="es-ES"/>
          </w:rPr>
          <w:alias w:val="Title"/>
          <w:id w:val="772832786"/>
          <w:placeholder>
            <w:docPart w:val="50D39685AEA345639560464042483489"/>
          </w:placeholder>
          <w:dataBinding w:prefixMappings="xmlns:ns0='http://purl.org/dc/elements/1.1/' xmlns:ns1='http://schemas.openxmlformats.org/package/2006/metadata/core-properties' " w:xpath="/ns1:coreProperties[1]/ns0:title[1]" w:storeItemID="{6C3C8BC8-F283-45AE-878A-BAB7291924A1}"/>
          <w:text/>
        </w:sdtPr>
        <w:sdtContent>
          <w:bookmarkEnd w:id="0"/>
          <w:r w:rsidR="007202E8" w:rsidRPr="00F00843">
            <w:rPr>
              <w:lang w:val="es-ES"/>
            </w:rPr>
            <w:t>Informe del Comité de Cumplimiento establecido en virtud del Protocolo de Cartagena sobre Seguridad de la Biotecnología sobre sus reuniones 20ª y 21ª</w:t>
          </w:r>
        </w:sdtContent>
      </w:sdt>
      <w:r w:rsidR="001643AF" w:rsidRPr="00F00843">
        <w:rPr>
          <w:caps/>
          <w:lang w:val="es-ES"/>
        </w:rPr>
        <w:t xml:space="preserve"> </w:t>
      </w:r>
    </w:p>
    <w:p w14:paraId="031E9888" w14:textId="73CEEF2F" w:rsidR="00950471" w:rsidRPr="00F00843" w:rsidRDefault="00950471" w:rsidP="00F95C52">
      <w:pPr>
        <w:pStyle w:val="CBDH1"/>
        <w:numPr>
          <w:ilvl w:val="0"/>
          <w:numId w:val="12"/>
        </w:numPr>
        <w:rPr>
          <w:lang w:val="es-ES"/>
        </w:rPr>
      </w:pPr>
      <w:r w:rsidRPr="00F00843">
        <w:rPr>
          <w:lang w:val="es-ES"/>
        </w:rPr>
        <w:t>Introdu</w:t>
      </w:r>
      <w:r w:rsidR="00950E70" w:rsidRPr="00F00843">
        <w:rPr>
          <w:lang w:val="es-ES"/>
        </w:rPr>
        <w:t>cción</w:t>
      </w:r>
    </w:p>
    <w:p w14:paraId="0CB3A791" w14:textId="0F236666" w:rsidR="00B52DE1" w:rsidRPr="00F00843" w:rsidRDefault="00CB10B8"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w:t>
      </w:r>
      <w:r w:rsidR="00B52DE1" w:rsidRPr="00F00843">
        <w:rPr>
          <w:lang w:val="es-ES"/>
        </w:rPr>
        <w:t xml:space="preserve">el período entre sesiones </w:t>
      </w:r>
      <w:r w:rsidRPr="00F00843">
        <w:rPr>
          <w:lang w:val="es-ES"/>
        </w:rPr>
        <w:t xml:space="preserve">posterior </w:t>
      </w:r>
      <w:r w:rsidR="00B52DE1" w:rsidRPr="00F00843">
        <w:rPr>
          <w:lang w:val="es-ES"/>
        </w:rPr>
        <w:t xml:space="preserve">a la </w:t>
      </w:r>
      <w:r w:rsidR="00CE1636" w:rsidRPr="00F00843">
        <w:rPr>
          <w:lang w:val="es-ES"/>
        </w:rPr>
        <w:t>11ª reunión</w:t>
      </w:r>
      <w:r w:rsidR="00B52DE1" w:rsidRPr="00F00843">
        <w:rPr>
          <w:lang w:val="es-ES"/>
        </w:rPr>
        <w:t xml:space="preserve"> de la Conferencia de las Partes en el Convenio sobre la Diversidad Biológica que </w:t>
      </w:r>
      <w:r w:rsidR="0037507A" w:rsidRPr="00F00843">
        <w:rPr>
          <w:lang w:val="es-ES"/>
        </w:rPr>
        <w:t xml:space="preserve">actúa como </w:t>
      </w:r>
      <w:r w:rsidR="00B52DE1" w:rsidRPr="00F00843">
        <w:rPr>
          <w:lang w:val="es-ES"/>
        </w:rPr>
        <w:t xml:space="preserve">reunión de las Partes en el Protocolo de Cartagena sobre Seguridad de la Biotecnología, el Comité de Cumplimiento </w:t>
      </w:r>
      <w:r w:rsidR="004668CE" w:rsidRPr="00F00843">
        <w:rPr>
          <w:lang w:val="es-ES"/>
        </w:rPr>
        <w:t xml:space="preserve">establecido en virtud del Protocolo de Cartagena </w:t>
      </w:r>
      <w:r w:rsidR="00B52DE1" w:rsidRPr="00F00843">
        <w:rPr>
          <w:lang w:val="es-ES"/>
        </w:rPr>
        <w:t xml:space="preserve">celebró dos reuniones: su </w:t>
      </w:r>
      <w:r w:rsidR="00CE1636" w:rsidRPr="00F00843">
        <w:rPr>
          <w:lang w:val="es-ES"/>
        </w:rPr>
        <w:t xml:space="preserve">20ª </w:t>
      </w:r>
      <w:r w:rsidR="00B52DE1" w:rsidRPr="00F00843">
        <w:rPr>
          <w:lang w:val="es-ES"/>
        </w:rPr>
        <w:t xml:space="preserve">reunión, del 27 al 29 de mayo de 2025, y su </w:t>
      </w:r>
      <w:r w:rsidR="00CE1636" w:rsidRPr="00F00843">
        <w:rPr>
          <w:lang w:val="es-ES"/>
        </w:rPr>
        <w:t>21ª</w:t>
      </w:r>
      <w:r w:rsidR="00B52DE1" w:rsidRPr="00F00843">
        <w:rPr>
          <w:lang w:val="es-ES"/>
        </w:rPr>
        <w:t xml:space="preserve"> reunión, del 10 al 12 de junio de 2026. Ambas reuniones se celebraron en las oficinas de la Secretaría, en Montreal (Canadá).</w:t>
      </w:r>
    </w:p>
    <w:p w14:paraId="66E8F4B4" w14:textId="472C4357"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presente documento contiene un resumen consolidado de los debates y resultados de las dos reuniones. Las recomendaciones del Comité a la </w:t>
      </w:r>
      <w:r w:rsidR="008320BF" w:rsidRPr="00F00843">
        <w:rPr>
          <w:lang w:val="es-ES"/>
        </w:rPr>
        <w:t>Conferencia de las Partes que actúa como reunión de las Partes en el Protocolo</w:t>
      </w:r>
      <w:r w:rsidRPr="00F00843">
        <w:rPr>
          <w:lang w:val="es-ES"/>
        </w:rPr>
        <w:t xml:space="preserve"> figuran en el anexo I del presente informe.</w:t>
      </w:r>
    </w:p>
    <w:p w14:paraId="162C990B" w14:textId="072BFEB3" w:rsidR="00B52DE1" w:rsidRPr="00F00843" w:rsidRDefault="004012CF"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el sitio web de la Secretaría pueden consultarse los </w:t>
      </w:r>
      <w:r w:rsidR="00B52DE1" w:rsidRPr="00F00843">
        <w:rPr>
          <w:lang w:val="es-ES"/>
        </w:rPr>
        <w:t xml:space="preserve">informes completos del Comité sobre </w:t>
      </w:r>
      <w:r w:rsidRPr="00F00843">
        <w:rPr>
          <w:lang w:val="es-ES"/>
        </w:rPr>
        <w:t xml:space="preserve">la labor realizada en </w:t>
      </w:r>
      <w:r w:rsidR="00B52DE1" w:rsidRPr="00F00843">
        <w:rPr>
          <w:lang w:val="es-ES"/>
        </w:rPr>
        <w:t>sus reuniones</w:t>
      </w:r>
      <w:r w:rsidR="00734158" w:rsidRPr="00F00843">
        <w:rPr>
          <w:lang w:val="es-ES"/>
        </w:rPr>
        <w:t xml:space="preserve"> 20ª y 21ª</w:t>
      </w:r>
      <w:r w:rsidR="00B52DE1" w:rsidRPr="00F00843">
        <w:rPr>
          <w:rStyle w:val="FootnoteReference"/>
          <w:lang w:val="es-ES"/>
        </w:rPr>
        <w:footnoteReference w:id="2"/>
      </w:r>
      <w:r w:rsidR="00B52DE1" w:rsidRPr="00F00843">
        <w:rPr>
          <w:lang w:val="es-ES"/>
        </w:rPr>
        <w:t>, así como los documentos de trabajo de cada reunión.</w:t>
      </w:r>
    </w:p>
    <w:p w14:paraId="426F756F" w14:textId="3A4D034A" w:rsidR="00F15B15" w:rsidRPr="00F00843" w:rsidRDefault="00B52DE1" w:rsidP="00F95C52">
      <w:pPr>
        <w:pStyle w:val="CBDH1"/>
        <w:numPr>
          <w:ilvl w:val="0"/>
          <w:numId w:val="12"/>
        </w:numPr>
        <w:rPr>
          <w:rFonts w:asciiTheme="majorBidi" w:eastAsia="Times New Roman" w:hAnsiTheme="majorBidi" w:cstheme="majorBidi"/>
          <w:sz w:val="24"/>
          <w:szCs w:val="24"/>
          <w:lang w:val="es-ES"/>
        </w:rPr>
      </w:pPr>
      <w:r w:rsidRPr="00F00843">
        <w:rPr>
          <w:lang w:val="es-ES"/>
        </w:rPr>
        <w:t>Resumen consolidado de los debates y resultados</w:t>
      </w:r>
    </w:p>
    <w:p w14:paraId="0EACBB62" w14:textId="27FCF4C2"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su </w:t>
      </w:r>
      <w:r w:rsidR="00CE1636" w:rsidRPr="00F00843">
        <w:rPr>
          <w:lang w:val="es-ES"/>
        </w:rPr>
        <w:t>20ª reunión</w:t>
      </w:r>
      <w:r w:rsidRPr="00F00843">
        <w:rPr>
          <w:lang w:val="es-ES"/>
        </w:rPr>
        <w:t>, el Comité eligió a Yan Liu como president</w:t>
      </w:r>
      <w:r w:rsidR="00197F7B" w:rsidRPr="00F00843">
        <w:rPr>
          <w:lang w:val="es-ES"/>
        </w:rPr>
        <w:t>a</w:t>
      </w:r>
      <w:r w:rsidRPr="00F00843">
        <w:rPr>
          <w:lang w:val="es-ES"/>
        </w:rPr>
        <w:t xml:space="preserve"> y a Casper Linnestad como vicepresidente, de conformidad con el artículo 12.1 del reglamento de las reuniones del Comité de Cumplimiento.</w:t>
      </w:r>
    </w:p>
    <w:p w14:paraId="4CAD1F7C" w14:textId="178294A1"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la misma sesión, el Comité examinó los resultados de la </w:t>
      </w:r>
      <w:r w:rsidR="00CE1636" w:rsidRPr="00F00843">
        <w:rPr>
          <w:lang w:val="es-ES"/>
        </w:rPr>
        <w:t>11ª reunión</w:t>
      </w:r>
      <w:r w:rsidRPr="00F00843">
        <w:rPr>
          <w:lang w:val="es-ES"/>
        </w:rPr>
        <w:t xml:space="preserve"> de la Conferencia de las Partes </w:t>
      </w:r>
      <w:r w:rsidR="0037507A" w:rsidRPr="00F00843">
        <w:rPr>
          <w:lang w:val="es-ES"/>
        </w:rPr>
        <w:t>que actúa como reunión</w:t>
      </w:r>
      <w:r w:rsidRPr="00F00843">
        <w:rPr>
          <w:lang w:val="es-ES"/>
        </w:rPr>
        <w:t xml:space="preserve"> de las Partes en el Protocolo en lo que respecta a los </w:t>
      </w:r>
      <w:r w:rsidR="00A81C19" w:rsidRPr="00F00843">
        <w:rPr>
          <w:lang w:val="es-ES"/>
        </w:rPr>
        <w:t>tema</w:t>
      </w:r>
      <w:r w:rsidRPr="00F00843">
        <w:rPr>
          <w:lang w:val="es-ES"/>
        </w:rPr>
        <w:t xml:space="preserve">s relacionados con el cumplimiento, y acogió con satisfacción la </w:t>
      </w:r>
      <w:r w:rsidR="004E0575" w:rsidRPr="00F00843">
        <w:rPr>
          <w:lang w:val="es-ES"/>
        </w:rPr>
        <w:t xml:space="preserve">valoración </w:t>
      </w:r>
      <w:r w:rsidRPr="00F00843">
        <w:rPr>
          <w:lang w:val="es-ES"/>
        </w:rPr>
        <w:t xml:space="preserve">positiva </w:t>
      </w:r>
      <w:r w:rsidR="008075B2" w:rsidRPr="00F00843">
        <w:rPr>
          <w:lang w:val="es-ES"/>
        </w:rPr>
        <w:t xml:space="preserve">y las pocas modificaciones a </w:t>
      </w:r>
      <w:r w:rsidR="003C5BDD" w:rsidRPr="00F00843">
        <w:rPr>
          <w:lang w:val="es-ES"/>
        </w:rPr>
        <w:t xml:space="preserve">las </w:t>
      </w:r>
      <w:r w:rsidR="004E0575" w:rsidRPr="00F00843">
        <w:rPr>
          <w:lang w:val="es-ES"/>
        </w:rPr>
        <w:t xml:space="preserve">recomendaciones </w:t>
      </w:r>
      <w:r w:rsidR="003C5BDD" w:rsidRPr="00F00843">
        <w:rPr>
          <w:lang w:val="es-ES"/>
        </w:rPr>
        <w:t>de la Conferencia de las Partes que actúa como reunión de las Partes en el Protocolo</w:t>
      </w:r>
      <w:r w:rsidRPr="00F00843">
        <w:rPr>
          <w:lang w:val="es-ES"/>
        </w:rPr>
        <w:t xml:space="preserve">. En sus debates sobre la decisión </w:t>
      </w:r>
      <w:hyperlink r:id="rId15" w:history="1">
        <w:r w:rsidRPr="00F00843">
          <w:rPr>
            <w:rStyle w:val="Hyperlink"/>
            <w:lang w:val="es-ES"/>
          </w:rPr>
          <w:t>CP-11/1 B</w:t>
        </w:r>
      </w:hyperlink>
      <w:r w:rsidRPr="00F00843">
        <w:rPr>
          <w:lang w:val="es-ES"/>
        </w:rPr>
        <w:t xml:space="preserve">, el Comité señaló que su recomendación de </w:t>
      </w:r>
      <w:r w:rsidR="00CE3C01" w:rsidRPr="00F00843">
        <w:rPr>
          <w:lang w:val="es-ES"/>
        </w:rPr>
        <w:t xml:space="preserve">emitir una advertencia </w:t>
      </w:r>
      <w:r w:rsidRPr="00F00843">
        <w:rPr>
          <w:lang w:val="es-ES"/>
        </w:rPr>
        <w:t xml:space="preserve">a siete Partes probablemente había contribuido a que, antes </w:t>
      </w:r>
      <w:r w:rsidRPr="00F00843">
        <w:rPr>
          <w:lang w:val="es-ES"/>
        </w:rPr>
        <w:lastRenderedPageBreak/>
        <w:t xml:space="preserve">de la </w:t>
      </w:r>
      <w:r w:rsidR="00CE1636" w:rsidRPr="00F00843">
        <w:rPr>
          <w:lang w:val="es-ES"/>
        </w:rPr>
        <w:t>11ª reunión</w:t>
      </w:r>
      <w:r w:rsidRPr="00F00843">
        <w:rPr>
          <w:lang w:val="es-ES"/>
        </w:rPr>
        <w:t xml:space="preserve"> de la Conferencia de las Partes </w:t>
      </w:r>
      <w:r w:rsidR="0037507A" w:rsidRPr="00F00843">
        <w:rPr>
          <w:lang w:val="es-ES"/>
        </w:rPr>
        <w:t>que actúa como reunión</w:t>
      </w:r>
      <w:r w:rsidRPr="00F00843">
        <w:rPr>
          <w:lang w:val="es-ES"/>
        </w:rPr>
        <w:t xml:space="preserve"> de las Partes en el Protocolo, cuatro de esas Partes presentaran sus cuartos informes nacionales.</w:t>
      </w:r>
    </w:p>
    <w:p w14:paraId="5744980B" w14:textId="4765EE68"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acogió con satisfacción los debates que la </w:t>
      </w:r>
      <w:r w:rsidR="008320BF" w:rsidRPr="00F00843">
        <w:rPr>
          <w:lang w:val="es-ES"/>
        </w:rPr>
        <w:t>Conferencia de las Partes que actúa como reunión de las Partes en el Protocolo</w:t>
      </w:r>
      <w:r w:rsidRPr="00F00843">
        <w:rPr>
          <w:lang w:val="es-ES"/>
        </w:rPr>
        <w:t xml:space="preserve"> había mantenido sobre su recomendación relativa a las implicaciones de las </w:t>
      </w:r>
      <w:r w:rsidR="009530F1" w:rsidRPr="00F00843">
        <w:rPr>
          <w:lang w:val="es-ES"/>
        </w:rPr>
        <w:t xml:space="preserve">distintas </w:t>
      </w:r>
      <w:r w:rsidRPr="00F00843">
        <w:rPr>
          <w:lang w:val="es-ES"/>
        </w:rPr>
        <w:t xml:space="preserve">interpretaciones de la definición de </w:t>
      </w:r>
      <w:r w:rsidR="008320BF" w:rsidRPr="00F00843">
        <w:rPr>
          <w:lang w:val="es-ES"/>
        </w:rPr>
        <w:t>“</w:t>
      </w:r>
      <w:r w:rsidRPr="00F00843">
        <w:rPr>
          <w:lang w:val="es-ES"/>
        </w:rPr>
        <w:t>organismo vivo modificado</w:t>
      </w:r>
      <w:r w:rsidR="008320BF" w:rsidRPr="00F00843">
        <w:rPr>
          <w:lang w:val="es-ES"/>
        </w:rPr>
        <w:t>”</w:t>
      </w:r>
      <w:r w:rsidRPr="00F00843">
        <w:rPr>
          <w:lang w:val="es-ES"/>
        </w:rPr>
        <w:t xml:space="preserve"> y los distintos enfoques legislativos, así como la consiguiente adopción de la decisión </w:t>
      </w:r>
      <w:hyperlink r:id="rId16" w:history="1">
        <w:r w:rsidRPr="00F00843">
          <w:rPr>
            <w:rStyle w:val="Hyperlink"/>
            <w:rFonts w:asciiTheme="majorBidi" w:hAnsiTheme="majorBidi" w:cstheme="majorBidi"/>
            <w:shd w:val="clear" w:color="auto" w:fill="FFFFFF"/>
            <w:lang w:val="es-ES"/>
          </w:rPr>
          <w:t>CP-11/1</w:t>
        </w:r>
        <w:r w:rsidRPr="00F00843">
          <w:rPr>
            <w:rStyle w:val="Hyperlink"/>
            <w:lang w:val="es-ES"/>
          </w:rPr>
          <w:t> C</w:t>
        </w:r>
      </w:hyperlink>
      <w:r w:rsidRPr="00F00843">
        <w:rPr>
          <w:lang w:val="es-ES"/>
        </w:rPr>
        <w:t>.</w:t>
      </w:r>
    </w:p>
    <w:p w14:paraId="21B83F17" w14:textId="4386D713"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A</w:t>
      </w:r>
      <w:r w:rsidR="00ED514F" w:rsidRPr="00F00843">
        <w:rPr>
          <w:lang w:val="es-ES"/>
        </w:rPr>
        <w:t>demás</w:t>
      </w:r>
      <w:r w:rsidRPr="00F00843">
        <w:rPr>
          <w:lang w:val="es-ES"/>
        </w:rPr>
        <w:t xml:space="preserve">, en su </w:t>
      </w:r>
      <w:r w:rsidR="00CE1636" w:rsidRPr="00F00843">
        <w:rPr>
          <w:lang w:val="es-ES"/>
        </w:rPr>
        <w:t>20ª reunión</w:t>
      </w:r>
      <w:r w:rsidRPr="00F00843">
        <w:rPr>
          <w:lang w:val="es-ES"/>
        </w:rPr>
        <w:t xml:space="preserve">, el Comité examinó el cumplimiento por las Partes sobre la base de la información </w:t>
      </w:r>
      <w:r w:rsidR="00256029" w:rsidRPr="00F00843">
        <w:rPr>
          <w:lang w:val="es-ES"/>
        </w:rPr>
        <w:t xml:space="preserve">que figura </w:t>
      </w:r>
      <w:r w:rsidRPr="00F00843">
        <w:rPr>
          <w:lang w:val="es-ES"/>
        </w:rPr>
        <w:t>en el Centro de Intercambio de Información sobre Seguridad de la Biotecnología. Acogió con satisfacción l</w:t>
      </w:r>
      <w:r w:rsidR="00256029" w:rsidRPr="00F00843">
        <w:rPr>
          <w:lang w:val="es-ES"/>
        </w:rPr>
        <w:t xml:space="preserve">as gestiones </w:t>
      </w:r>
      <w:r w:rsidRPr="00F00843">
        <w:rPr>
          <w:lang w:val="es-ES"/>
        </w:rPr>
        <w:t xml:space="preserve">que las Partes están </w:t>
      </w:r>
      <w:r w:rsidR="00256029" w:rsidRPr="00F00843">
        <w:rPr>
          <w:lang w:val="es-ES"/>
        </w:rPr>
        <w:t xml:space="preserve">llevando a cabo </w:t>
      </w:r>
      <w:r w:rsidRPr="00F00843">
        <w:rPr>
          <w:lang w:val="es-ES"/>
        </w:rPr>
        <w:t>para mantener información precisa y completa en el Centro de Intercambio de Información sobre Seguridad de la Biotecnología</w:t>
      </w:r>
      <w:r w:rsidR="00256029" w:rsidRPr="00F00843">
        <w:rPr>
          <w:lang w:val="es-ES"/>
        </w:rPr>
        <w:t>,</w:t>
      </w:r>
      <w:r w:rsidRPr="00F00843">
        <w:rPr>
          <w:lang w:val="es-ES"/>
        </w:rPr>
        <w:t xml:space="preserve"> y solicitó </w:t>
      </w:r>
      <w:r w:rsidR="00734158" w:rsidRPr="00F00843">
        <w:rPr>
          <w:lang w:val="es-ES"/>
        </w:rPr>
        <w:t xml:space="preserve">a la </w:t>
      </w:r>
      <w:proofErr w:type="gramStart"/>
      <w:r w:rsidR="00734158" w:rsidRPr="00F00843">
        <w:rPr>
          <w:lang w:val="es-ES"/>
        </w:rPr>
        <w:t>Secretaria Ejecutiva</w:t>
      </w:r>
      <w:proofErr w:type="gramEnd"/>
      <w:r w:rsidRPr="00F00843">
        <w:rPr>
          <w:lang w:val="es-ES"/>
        </w:rPr>
        <w:t xml:space="preserve"> que </w:t>
      </w:r>
      <w:r w:rsidR="00256029" w:rsidRPr="00F00843">
        <w:rPr>
          <w:lang w:val="es-ES"/>
        </w:rPr>
        <w:t xml:space="preserve">siguiera realizando </w:t>
      </w:r>
      <w:r w:rsidRPr="00F00843">
        <w:rPr>
          <w:lang w:val="es-ES"/>
        </w:rPr>
        <w:t xml:space="preserve">un seguimiento y colaborando con las Partes a ese respecto. Asimismo, formuló varias recomendaciones al respecto para que las examinara la Conferencia de las Partes </w:t>
      </w:r>
      <w:r w:rsidR="0037507A" w:rsidRPr="00F00843">
        <w:rPr>
          <w:lang w:val="es-ES"/>
        </w:rPr>
        <w:t>que actúa como reunión</w:t>
      </w:r>
      <w:r w:rsidRPr="00F00843">
        <w:rPr>
          <w:lang w:val="es-ES"/>
        </w:rPr>
        <w:t xml:space="preserve"> de las Partes en el Protocolo</w:t>
      </w:r>
      <w:r w:rsidR="00ED514F" w:rsidRPr="00F00843">
        <w:rPr>
          <w:lang w:val="es-ES"/>
        </w:rPr>
        <w:t xml:space="preserve"> </w:t>
      </w:r>
      <w:r w:rsidRPr="00F00843">
        <w:rPr>
          <w:lang w:val="es-ES"/>
        </w:rPr>
        <w:t xml:space="preserve">en su </w:t>
      </w:r>
      <w:r w:rsidR="00CE1636" w:rsidRPr="00F00843">
        <w:rPr>
          <w:lang w:val="es-ES"/>
        </w:rPr>
        <w:t>12ª</w:t>
      </w:r>
      <w:r w:rsidRPr="00F00843">
        <w:rPr>
          <w:lang w:val="es-ES"/>
        </w:rPr>
        <w:t xml:space="preserve"> reunión, como se recoge en el anexo I </w:t>
      </w:r>
      <w:r w:rsidR="00F63C62" w:rsidRPr="00F00843">
        <w:rPr>
          <w:lang w:val="es-ES"/>
        </w:rPr>
        <w:t>que figura a continuación</w:t>
      </w:r>
      <w:r w:rsidRPr="00F00843">
        <w:rPr>
          <w:lang w:val="es-ES"/>
        </w:rPr>
        <w:t>.</w:t>
      </w:r>
    </w:p>
    <w:p w14:paraId="025A045F" w14:textId="7371CFC0"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En la misma reunión, el Comité examinó cuestiones generales relativas al cumplimiento y decidió varias medidas de seguimiento en relación con el cumplimiento por las Partes, centrándose en particular en la obligación de adoptar las medidas necesarias para aplicar el Protocolo y en la obligación de presentar informes nacionales.</w:t>
      </w:r>
    </w:p>
    <w:p w14:paraId="752FD75A" w14:textId="624CBC10"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Asimismo, en su </w:t>
      </w:r>
      <w:r w:rsidR="00CE1636" w:rsidRPr="00F00843">
        <w:rPr>
          <w:lang w:val="es-ES"/>
        </w:rPr>
        <w:t>20ª reunión</w:t>
      </w:r>
      <w:r w:rsidRPr="00F00843">
        <w:rPr>
          <w:lang w:val="es-ES"/>
        </w:rPr>
        <w:t xml:space="preserve">, el Comité acogió con satisfacción los cuartos informes nacionales que se habían publicado desde su </w:t>
      </w:r>
      <w:r w:rsidR="00CE1636" w:rsidRPr="00F00843">
        <w:rPr>
          <w:lang w:val="es-ES"/>
        </w:rPr>
        <w:t>19ª</w:t>
      </w:r>
      <w:r w:rsidRPr="00F00843">
        <w:rPr>
          <w:lang w:val="es-ES"/>
        </w:rPr>
        <w:t xml:space="preserve"> reunión. Sin embargo, expresó su preocupación por el hecho de que 12 Partes aún no hubieran presentado su cuarto informe nacional y acordó examinar esos casos en su </w:t>
      </w:r>
      <w:r w:rsidR="00CE1636" w:rsidRPr="00F00843">
        <w:rPr>
          <w:lang w:val="es-ES"/>
        </w:rPr>
        <w:t>21ª reunión</w:t>
      </w:r>
      <w:r w:rsidRPr="00F00843">
        <w:rPr>
          <w:lang w:val="es-ES"/>
        </w:rPr>
        <w:t>, en el marco de su revisión del cumplimiento de la obligación de presentar los quintos informes nacionales.</w:t>
      </w:r>
    </w:p>
    <w:p w14:paraId="1CE56A3B" w14:textId="461ED875"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Dado que en la quinta evaluación y revisión de la eficacia del Protocolo y en la </w:t>
      </w:r>
      <w:r w:rsidR="00E67299" w:rsidRPr="00F00843">
        <w:rPr>
          <w:snapToGrid w:val="0"/>
          <w:lang w:val="es-ES"/>
        </w:rPr>
        <w:t>evaluación a mitad de período del plan de aplicación</w:t>
      </w:r>
      <w:r w:rsidR="00E67299" w:rsidRPr="00F00843">
        <w:rPr>
          <w:lang w:val="es-ES"/>
        </w:rPr>
        <w:t xml:space="preserve"> </w:t>
      </w:r>
      <w:r w:rsidRPr="00F00843">
        <w:rPr>
          <w:lang w:val="es-ES"/>
        </w:rPr>
        <w:t xml:space="preserve">del Protocolo solo se tendrían en cuenta los quintos informes nacionales presentados por las Partes que hubieran publicado sus cuartos informes nacionales a través del Centro de Intercambio de Información sobre Bioseguridad, el Comité decidió centrar sus </w:t>
      </w:r>
      <w:r w:rsidR="00D94577" w:rsidRPr="00F00843">
        <w:rPr>
          <w:lang w:val="es-ES"/>
        </w:rPr>
        <w:t xml:space="preserve">gestiones </w:t>
      </w:r>
      <w:r w:rsidRPr="00F00843">
        <w:rPr>
          <w:lang w:val="es-ES"/>
        </w:rPr>
        <w:t xml:space="preserve">de seguimiento en las ocho Partes que habían presentado sus cuartos informes nacionales únicamente fuera de línea. El Comité solicitó </w:t>
      </w:r>
      <w:r w:rsidR="00734158" w:rsidRPr="00F00843">
        <w:rPr>
          <w:lang w:val="es-ES"/>
        </w:rPr>
        <w:t xml:space="preserve">a la </w:t>
      </w:r>
      <w:proofErr w:type="gramStart"/>
      <w:r w:rsidR="00734158" w:rsidRPr="00F00843">
        <w:rPr>
          <w:lang w:val="es-ES"/>
        </w:rPr>
        <w:t>Secretaria Ejecutiva</w:t>
      </w:r>
      <w:proofErr w:type="gramEnd"/>
      <w:r w:rsidRPr="00F00843">
        <w:rPr>
          <w:lang w:val="es-ES"/>
        </w:rPr>
        <w:t xml:space="preserve"> que se dirigiera por escrito a los puntos focales nacionales de las Partes en cuestión para pedirles que publicaran sus informes nacionales a través del Centro de Intercambio de Información sobre Seguridad de la Biotecnología.</w:t>
      </w:r>
    </w:p>
    <w:p w14:paraId="78356B16" w14:textId="10CBE7D0" w:rsidR="00B52DE1" w:rsidRPr="00F00843" w:rsidRDefault="00823B10"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sus reuniones 20ª y 21ª, en el marco del </w:t>
      </w:r>
      <w:r w:rsidR="00B52DE1" w:rsidRPr="00F00843">
        <w:rPr>
          <w:lang w:val="es-ES"/>
        </w:rPr>
        <w:t xml:space="preserve">examen de las cuestiones generales relativas al cumplimiento, el Comité analizó el resultado de las comunicaciones entre la Secretaría y las Partes que habían informado de que las medidas nacionales estaban total o parcialmente en vigor, pero que o bien no habían publicado ninguna medida a través del Centro de Intercambio de Información, o bien solo habían publicado un marco nacional de bioseguridad </w:t>
      </w:r>
      <w:r w:rsidR="00337BB6" w:rsidRPr="00F00843">
        <w:rPr>
          <w:lang w:val="es-ES"/>
        </w:rPr>
        <w:t xml:space="preserve">preparado </w:t>
      </w:r>
      <w:r w:rsidR="00B52DE1" w:rsidRPr="00F00843">
        <w:rPr>
          <w:lang w:val="es-ES"/>
        </w:rPr>
        <w:t xml:space="preserve">en </w:t>
      </w:r>
      <w:r w:rsidR="004E0CA4" w:rsidRPr="00F00843">
        <w:rPr>
          <w:lang w:val="es-ES"/>
        </w:rPr>
        <w:t xml:space="preserve">virtud del </w:t>
      </w:r>
      <w:r w:rsidR="00B52DE1" w:rsidRPr="00F00843">
        <w:rPr>
          <w:lang w:val="es-ES"/>
        </w:rPr>
        <w:t xml:space="preserve">proyecto del Programa de las Naciones Unidas para el Medio Ambiente, financiado por el Fondo para el Medio Ambiente Mundial, </w:t>
      </w:r>
      <w:r w:rsidR="00337BB6" w:rsidRPr="00F00843">
        <w:rPr>
          <w:lang w:val="es-ES"/>
        </w:rPr>
        <w:t xml:space="preserve">relativo a </w:t>
      </w:r>
      <w:r w:rsidR="00B52DE1" w:rsidRPr="00F00843">
        <w:rPr>
          <w:lang w:val="es-ES"/>
        </w:rPr>
        <w:t xml:space="preserve">la elaboración de marcos nacionales de bioseguridad. Acogió con </w:t>
      </w:r>
      <w:r w:rsidR="004E0CA4" w:rsidRPr="00F00843">
        <w:rPr>
          <w:lang w:val="es-ES"/>
        </w:rPr>
        <w:t xml:space="preserve">agrado </w:t>
      </w:r>
      <w:r w:rsidR="00B52DE1" w:rsidRPr="00F00843">
        <w:rPr>
          <w:lang w:val="es-ES"/>
        </w:rPr>
        <w:t xml:space="preserve">la publicación de dichas medidas a través del Centro de Intercambio de Información por varias de las Partes en cuestión. En su </w:t>
      </w:r>
      <w:r w:rsidR="008320BF" w:rsidRPr="00F00843">
        <w:rPr>
          <w:lang w:val="es-ES"/>
        </w:rPr>
        <w:t>21ª</w:t>
      </w:r>
      <w:r w:rsidR="00734158" w:rsidRPr="00F00843">
        <w:rPr>
          <w:lang w:val="es-ES"/>
        </w:rPr>
        <w:t xml:space="preserve"> </w:t>
      </w:r>
      <w:r w:rsidR="00B52DE1" w:rsidRPr="00F00843">
        <w:rPr>
          <w:lang w:val="es-ES"/>
        </w:rPr>
        <w:t xml:space="preserve">reunión, el Comité solicitó a la Secretaría que </w:t>
      </w:r>
      <w:r w:rsidR="00227C1E" w:rsidRPr="00F00843">
        <w:rPr>
          <w:lang w:val="es-ES"/>
        </w:rPr>
        <w:t xml:space="preserve">continuara </w:t>
      </w:r>
      <w:r w:rsidR="00B52DE1" w:rsidRPr="00F00843">
        <w:rPr>
          <w:lang w:val="es-ES"/>
        </w:rPr>
        <w:t xml:space="preserve">realizando un seguimiento </w:t>
      </w:r>
      <w:r w:rsidR="004C6CB4" w:rsidRPr="00F00843">
        <w:rPr>
          <w:lang w:val="es-ES"/>
        </w:rPr>
        <w:t xml:space="preserve">con </w:t>
      </w:r>
      <w:r w:rsidR="00B52DE1" w:rsidRPr="00F00843">
        <w:rPr>
          <w:lang w:val="es-ES"/>
        </w:rPr>
        <w:t xml:space="preserve">las Partes restantes para pedirles que </w:t>
      </w:r>
      <w:r w:rsidR="00D6509D" w:rsidRPr="00F00843">
        <w:rPr>
          <w:lang w:val="es-ES"/>
        </w:rPr>
        <w:t xml:space="preserve">publicaran </w:t>
      </w:r>
      <w:r w:rsidR="00B52DE1" w:rsidRPr="00F00843">
        <w:rPr>
          <w:lang w:val="es-ES"/>
        </w:rPr>
        <w:t>las medidas pertinentes con carácter de urgencia.</w:t>
      </w:r>
    </w:p>
    <w:p w14:paraId="2430BFB3" w14:textId="35685D27"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su </w:t>
      </w:r>
      <w:r w:rsidR="00823B10" w:rsidRPr="00F00843">
        <w:rPr>
          <w:lang w:val="es-ES"/>
        </w:rPr>
        <w:t xml:space="preserve">21ª reunión, durante el </w:t>
      </w:r>
      <w:r w:rsidRPr="00F00843">
        <w:rPr>
          <w:lang w:val="es-ES"/>
        </w:rPr>
        <w:t>examen de las cuestiones generales relativas al cumplimiento, el Comité examinó una actualización sobre la situación de la designación de puntos focales y la presentación de los informes nacionales cuarto y quinto.</w:t>
      </w:r>
    </w:p>
    <w:p w14:paraId="1C17AD60" w14:textId="420877AC"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acogió con satisfacción que todas las Partes que estaban en condiciones de hacerlo hubieran designado sus puntos focales nacionales para el Centro de Intercambio de </w:t>
      </w:r>
      <w:r w:rsidRPr="00F00843">
        <w:rPr>
          <w:lang w:val="es-ES"/>
        </w:rPr>
        <w:lastRenderedPageBreak/>
        <w:t xml:space="preserve">Información sobre Seguridad de la Biotecnología, pero observó con preocupación que una Parte aún no había designado un punto focal nacional para el Protocolo. Asimismo, expresó su preocupación por el hecho de que numerosas Partes aún no hubieran facilitado la información sobre sus autoridades nacionales competentes o sus puntos de contacto, como exige el artículo 17, para su publicación a través del Centro de Intercambio de Información sobre Seguridad de la Biotecnología. El Comité solicitó </w:t>
      </w:r>
      <w:r w:rsidR="00734158" w:rsidRPr="00F00843">
        <w:rPr>
          <w:lang w:val="es-ES"/>
        </w:rPr>
        <w:t xml:space="preserve">a la </w:t>
      </w:r>
      <w:proofErr w:type="gramStart"/>
      <w:r w:rsidR="00734158" w:rsidRPr="00F00843">
        <w:rPr>
          <w:lang w:val="es-ES"/>
        </w:rPr>
        <w:t>Secretaria Ejecutiva</w:t>
      </w:r>
      <w:proofErr w:type="gramEnd"/>
      <w:r w:rsidRPr="00F00843">
        <w:rPr>
          <w:lang w:val="es-ES"/>
        </w:rPr>
        <w:t xml:space="preserve"> que realizara un seguimiento </w:t>
      </w:r>
      <w:r w:rsidR="004C6CB4" w:rsidRPr="00F00843">
        <w:rPr>
          <w:lang w:val="es-ES"/>
        </w:rPr>
        <w:t xml:space="preserve">con </w:t>
      </w:r>
      <w:r w:rsidRPr="00F00843">
        <w:rPr>
          <w:lang w:val="es-ES"/>
        </w:rPr>
        <w:t>las Partes en cuestión.</w:t>
      </w:r>
    </w:p>
    <w:p w14:paraId="3BADFDBC" w14:textId="4D3A631C"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En la misma reunión, el Comité tomó nota con satisfacción de que 119 Partes habían presentado sus quintos informes nacionales antes de</w:t>
      </w:r>
      <w:r w:rsidR="00372917" w:rsidRPr="00F00843">
        <w:rPr>
          <w:lang w:val="es-ES"/>
        </w:rPr>
        <w:t xml:space="preserve">l vencimiento del plazo </w:t>
      </w:r>
      <w:r w:rsidRPr="00F00843">
        <w:rPr>
          <w:lang w:val="es-ES"/>
        </w:rPr>
        <w:t>de presentación, el 28 de febrero de 2026. Acogió con satisfacción l</w:t>
      </w:r>
      <w:r w:rsidR="00DD6BCE" w:rsidRPr="00F00843">
        <w:rPr>
          <w:lang w:val="es-ES"/>
        </w:rPr>
        <w:t>as</w:t>
      </w:r>
      <w:r w:rsidRPr="00F00843">
        <w:rPr>
          <w:lang w:val="es-ES"/>
        </w:rPr>
        <w:t xml:space="preserve"> </w:t>
      </w:r>
      <w:r w:rsidR="00DD6BCE" w:rsidRPr="00F00843">
        <w:rPr>
          <w:lang w:val="es-ES"/>
        </w:rPr>
        <w:t>gestiones realizadas</w:t>
      </w:r>
      <w:r w:rsidRPr="00F00843">
        <w:rPr>
          <w:lang w:val="es-ES"/>
        </w:rPr>
        <w:t xml:space="preserve"> por la Secretaría, el Programa de las Naciones Unidas para el Medio Ambiente y el Fondo para el Medio Ambiente Mundial para prestar apoyo técnico y financiero a las Partes en la preparación y publicación de sus informes nacionales.</w:t>
      </w:r>
    </w:p>
    <w:p w14:paraId="30BBDF6A" w14:textId="51F06A84"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w:t>
      </w:r>
      <w:r w:rsidR="00DE12AD" w:rsidRPr="00F00843">
        <w:rPr>
          <w:lang w:val="es-ES"/>
        </w:rPr>
        <w:t>analizó</w:t>
      </w:r>
      <w:r w:rsidRPr="00F00843">
        <w:rPr>
          <w:lang w:val="es-ES"/>
        </w:rPr>
        <w:t xml:space="preserve"> las experiencias relacionadas con la </w:t>
      </w:r>
      <w:r w:rsidR="00DD6BCE" w:rsidRPr="00F00843">
        <w:rPr>
          <w:lang w:val="es-ES"/>
        </w:rPr>
        <w:t xml:space="preserve">preparación </w:t>
      </w:r>
      <w:r w:rsidRPr="00F00843">
        <w:rPr>
          <w:lang w:val="es-ES"/>
        </w:rPr>
        <w:t>del quinto informe nacional. Reconoció las ventajas de la presentación sincronizada de informes para el intercambio de información en el marco de</w:t>
      </w:r>
      <w:r w:rsidR="00DE12AD" w:rsidRPr="00F00843">
        <w:rPr>
          <w:lang w:val="es-ES"/>
        </w:rPr>
        <w:t xml:space="preserve">l Convenio </w:t>
      </w:r>
      <w:r w:rsidRPr="00F00843">
        <w:rPr>
          <w:lang w:val="es-ES"/>
        </w:rPr>
        <w:t xml:space="preserve">y sus Protocolos, al tiempo que admitió que la presentación de los distintos informes en la misma fecha planteaba dificultades a muchas Partes, en particular a </w:t>
      </w:r>
      <w:r w:rsidR="00DE12AD" w:rsidRPr="00F00843">
        <w:rPr>
          <w:lang w:val="es-ES"/>
        </w:rPr>
        <w:t xml:space="preserve">las que no cuentan </w:t>
      </w:r>
      <w:r w:rsidRPr="00F00843">
        <w:rPr>
          <w:lang w:val="es-ES"/>
        </w:rPr>
        <w:t xml:space="preserve">con </w:t>
      </w:r>
      <w:r w:rsidR="00DE12AD" w:rsidRPr="00F00843">
        <w:rPr>
          <w:lang w:val="es-ES"/>
        </w:rPr>
        <w:t xml:space="preserve">suficientes </w:t>
      </w:r>
      <w:r w:rsidRPr="00F00843">
        <w:rPr>
          <w:lang w:val="es-ES"/>
        </w:rPr>
        <w:t>recursos humanos.</w:t>
      </w:r>
    </w:p>
    <w:p w14:paraId="5530B49D" w14:textId="5B87BCA8" w:rsidR="00B52DE1" w:rsidRPr="00F00843" w:rsidRDefault="00B52DE1" w:rsidP="00B52DE1">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w:t>
      </w:r>
      <w:r w:rsidR="00227C1E" w:rsidRPr="00F00843">
        <w:rPr>
          <w:lang w:val="es-ES"/>
        </w:rPr>
        <w:t xml:space="preserve">estudió maneras de </w:t>
      </w:r>
      <w:r w:rsidRPr="00F00843">
        <w:rPr>
          <w:lang w:val="es-ES"/>
        </w:rPr>
        <w:t xml:space="preserve">reforzar el apoyo a la presentación de informes en el futuro, entre otras cosas facilitando dicho apoyo con mayor antelación respecto </w:t>
      </w:r>
      <w:r w:rsidR="004E4947" w:rsidRPr="00F00843">
        <w:rPr>
          <w:lang w:val="es-ES"/>
        </w:rPr>
        <w:t xml:space="preserve">del vencimiento del plazo de </w:t>
      </w:r>
      <w:r w:rsidRPr="00F00843">
        <w:rPr>
          <w:lang w:val="es-ES"/>
        </w:rPr>
        <w:t>presentación.</w:t>
      </w:r>
    </w:p>
    <w:p w14:paraId="76914A72" w14:textId="5CB89028" w:rsidR="00C4195E" w:rsidRPr="00F00843" w:rsidRDefault="00B52DE1"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acordó medidas de seguimiento </w:t>
      </w:r>
      <w:r w:rsidR="004C6CB4" w:rsidRPr="00F00843">
        <w:rPr>
          <w:lang w:val="es-ES"/>
        </w:rPr>
        <w:t xml:space="preserve">con </w:t>
      </w:r>
      <w:r w:rsidRPr="00F00843">
        <w:rPr>
          <w:lang w:val="es-ES"/>
        </w:rPr>
        <w:t>las Partes que no habían presentado un quinto informe nacional.</w:t>
      </w:r>
      <w:r w:rsidR="000C26A2" w:rsidRPr="00F00843">
        <w:rPr>
          <w:lang w:val="es-ES"/>
        </w:rPr>
        <w:t xml:space="preserve"> </w:t>
      </w:r>
    </w:p>
    <w:p w14:paraId="38C4BECA" w14:textId="3FDE4647" w:rsidR="00C4195E" w:rsidRPr="00F00843" w:rsidRDefault="00B52DE1"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El Comité acogió con</w:t>
      </w:r>
      <w:r w:rsidR="00987C72" w:rsidRPr="00F00843">
        <w:rPr>
          <w:lang w:val="es-ES"/>
        </w:rPr>
        <w:t xml:space="preserve"> agrado</w:t>
      </w:r>
      <w:r w:rsidRPr="00F00843">
        <w:rPr>
          <w:lang w:val="es-ES"/>
        </w:rPr>
        <w:t xml:space="preserve"> los cuartos informes nacionales adicionales presentados y publicados a través del Centro de Intercambio de Información sobre Bioseguridad desde su </w:t>
      </w:r>
      <w:r w:rsidR="00CE1636" w:rsidRPr="00F00843">
        <w:rPr>
          <w:lang w:val="es-ES"/>
        </w:rPr>
        <w:t>20ª</w:t>
      </w:r>
      <w:r w:rsidR="00987C72" w:rsidRPr="00F00843">
        <w:rPr>
          <w:lang w:val="es-ES"/>
        </w:rPr>
        <w:t> </w:t>
      </w:r>
      <w:r w:rsidR="00CE1636" w:rsidRPr="00F00843">
        <w:rPr>
          <w:lang w:val="es-ES"/>
        </w:rPr>
        <w:t>reunión</w:t>
      </w:r>
      <w:r w:rsidRPr="00F00843">
        <w:rPr>
          <w:lang w:val="es-ES"/>
        </w:rPr>
        <w:t xml:space="preserve">, </w:t>
      </w:r>
      <w:r w:rsidR="00987C72" w:rsidRPr="00F00843">
        <w:rPr>
          <w:lang w:val="es-ES"/>
        </w:rPr>
        <w:t xml:space="preserve">entre ellos </w:t>
      </w:r>
      <w:r w:rsidRPr="00F00843">
        <w:rPr>
          <w:lang w:val="es-ES"/>
        </w:rPr>
        <w:t xml:space="preserve">varios informes que anteriormente solo se habían presentado de forma no digital, </w:t>
      </w:r>
      <w:r w:rsidR="00987C72" w:rsidRPr="00F00843">
        <w:rPr>
          <w:lang w:val="es-ES"/>
        </w:rPr>
        <w:t xml:space="preserve">aunque </w:t>
      </w:r>
      <w:r w:rsidRPr="00F00843">
        <w:rPr>
          <w:lang w:val="es-ES"/>
        </w:rPr>
        <w:t xml:space="preserve">expresó su preocupación por el hecho de que cinco Partes aún no hubieran presentado ni su cuarto ni su quinto informe nacional. Decidió hacer un seguimiento </w:t>
      </w:r>
      <w:r w:rsidR="004C6CB4" w:rsidRPr="00F00843">
        <w:rPr>
          <w:lang w:val="es-ES"/>
        </w:rPr>
        <w:t xml:space="preserve">con </w:t>
      </w:r>
      <w:r w:rsidRPr="00F00843">
        <w:rPr>
          <w:lang w:val="es-ES"/>
        </w:rPr>
        <w:t xml:space="preserve">las Partes en cuestión y </w:t>
      </w:r>
      <w:r w:rsidR="00987C72" w:rsidRPr="00F00843">
        <w:rPr>
          <w:lang w:val="es-ES"/>
        </w:rPr>
        <w:t xml:space="preserve">acordó </w:t>
      </w:r>
      <w:r w:rsidRPr="00F00843">
        <w:rPr>
          <w:lang w:val="es-ES"/>
        </w:rPr>
        <w:t xml:space="preserve">examinar la cuestión en su </w:t>
      </w:r>
      <w:r w:rsidR="00734158" w:rsidRPr="00F00843">
        <w:rPr>
          <w:lang w:val="es-ES"/>
        </w:rPr>
        <w:t>22ª reunión</w:t>
      </w:r>
      <w:r w:rsidRPr="00F00843">
        <w:rPr>
          <w:lang w:val="es-ES"/>
        </w:rPr>
        <w:t xml:space="preserve"> </w:t>
      </w:r>
      <w:r w:rsidR="000C26A2" w:rsidRPr="00F00843">
        <w:rPr>
          <w:lang w:val="es-ES"/>
        </w:rPr>
        <w:t xml:space="preserve">con respecto a </w:t>
      </w:r>
      <w:r w:rsidRPr="00F00843">
        <w:rPr>
          <w:lang w:val="es-ES"/>
        </w:rPr>
        <w:t>los casos de incumplimiento.</w:t>
      </w:r>
    </w:p>
    <w:p w14:paraId="7A6837FF" w14:textId="68E7F531" w:rsidR="00B52DE1" w:rsidRPr="00F00843" w:rsidRDefault="00B52DE1"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sus </w:t>
      </w:r>
      <w:r w:rsidR="00734158" w:rsidRPr="00F00843">
        <w:rPr>
          <w:lang w:val="es-ES"/>
        </w:rPr>
        <w:t>reuniones 20ª y 21ª</w:t>
      </w:r>
      <w:r w:rsidRPr="00F00843">
        <w:rPr>
          <w:lang w:val="es-ES"/>
        </w:rPr>
        <w:t>, en el marco del examen de los</w:t>
      </w:r>
      <w:r w:rsidR="00811290" w:rsidRPr="00F00843">
        <w:rPr>
          <w:lang w:val="es-ES"/>
        </w:rPr>
        <w:t xml:space="preserve"> </w:t>
      </w:r>
      <w:r w:rsidRPr="00F00843">
        <w:rPr>
          <w:lang w:val="es-ES"/>
        </w:rPr>
        <w:t>casos de incumplimiento, el Comité prosiguió con el análisis del incumplimiento de</w:t>
      </w:r>
      <w:r w:rsidR="00995C66" w:rsidRPr="00F00843">
        <w:rPr>
          <w:lang w:val="es-ES"/>
        </w:rPr>
        <w:t xml:space="preserve"> </w:t>
      </w:r>
      <w:r w:rsidR="009375AE" w:rsidRPr="00F00843">
        <w:rPr>
          <w:lang w:val="es-ES"/>
        </w:rPr>
        <w:t xml:space="preserve">las </w:t>
      </w:r>
      <w:r w:rsidRPr="00F00843">
        <w:rPr>
          <w:lang w:val="es-ES"/>
        </w:rPr>
        <w:t xml:space="preserve">Partes </w:t>
      </w:r>
      <w:r w:rsidR="0052328B" w:rsidRPr="00F00843">
        <w:rPr>
          <w:lang w:val="es-ES"/>
        </w:rPr>
        <w:t xml:space="preserve">respecto a </w:t>
      </w:r>
      <w:r w:rsidRPr="00F00843">
        <w:rPr>
          <w:lang w:val="es-ES"/>
        </w:rPr>
        <w:t xml:space="preserve">la obligación de presentar informes (artículo 33) y del incumplimiento de la obligación de adoptar las medidas jurídicas, administrativas y de otro tipo necesarias y adecuadas para cumplir las obligaciones </w:t>
      </w:r>
      <w:r w:rsidR="00995C66" w:rsidRPr="00F00843">
        <w:rPr>
          <w:lang w:val="es-ES"/>
        </w:rPr>
        <w:t xml:space="preserve">con arreglo al </w:t>
      </w:r>
      <w:r w:rsidRPr="00F00843">
        <w:rPr>
          <w:lang w:val="es-ES"/>
        </w:rPr>
        <w:t xml:space="preserve">Protocolo (artículo 2, </w:t>
      </w:r>
      <w:r w:rsidR="00995C66" w:rsidRPr="00F00843">
        <w:rPr>
          <w:lang w:val="es-ES"/>
        </w:rPr>
        <w:t xml:space="preserve">párrafo </w:t>
      </w:r>
      <w:r w:rsidRPr="00F00843">
        <w:rPr>
          <w:lang w:val="es-ES"/>
        </w:rPr>
        <w:t>1).</w:t>
      </w:r>
    </w:p>
    <w:p w14:paraId="548417B4" w14:textId="76CE5B8E"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De conformidad con la decisión </w:t>
      </w:r>
      <w:hyperlink r:id="rId17" w:history="1">
        <w:r w:rsidRPr="00F00843">
          <w:rPr>
            <w:rStyle w:val="Hyperlink"/>
            <w:lang w:val="es-ES"/>
          </w:rPr>
          <w:t>CP-11/1 B</w:t>
        </w:r>
      </w:hyperlink>
      <w:r w:rsidRPr="00F00843">
        <w:rPr>
          <w:lang w:val="es-ES"/>
        </w:rPr>
        <w:t xml:space="preserve">, en la que se había </w:t>
      </w:r>
      <w:r w:rsidR="00CC283D" w:rsidRPr="00F00843">
        <w:rPr>
          <w:lang w:val="es-ES"/>
        </w:rPr>
        <w:t xml:space="preserve">advertido </w:t>
      </w:r>
      <w:r w:rsidRPr="00F00843">
        <w:rPr>
          <w:lang w:val="es-ES"/>
        </w:rPr>
        <w:t>a tres Partes por no haber presentado sus terceros o cuartos informes nacionales y se les había solicitado que presentaran sus cuartos informes nacionales con carácter de urgencia, el Comité prosiguió con sus</w:t>
      </w:r>
      <w:r w:rsidR="0052328B" w:rsidRPr="00F00843">
        <w:rPr>
          <w:lang w:val="es-ES"/>
        </w:rPr>
        <w:t xml:space="preserve"> gestiones </w:t>
      </w:r>
      <w:r w:rsidRPr="00F00843">
        <w:rPr>
          <w:lang w:val="es-ES"/>
        </w:rPr>
        <w:t xml:space="preserve">para prestar apoyo a las tres Partes. En su </w:t>
      </w:r>
      <w:r w:rsidR="00CE1636" w:rsidRPr="00F00843">
        <w:rPr>
          <w:lang w:val="es-ES"/>
        </w:rPr>
        <w:t>20ª reunión</w:t>
      </w:r>
      <w:r w:rsidRPr="00F00843">
        <w:rPr>
          <w:lang w:val="es-ES"/>
        </w:rPr>
        <w:t xml:space="preserve">, el Comité expresó su agradecimiento al Fondo para el Medio Ambiente Mundial por el apoyo adicional que había ofrecido a las tres Partes para facilitar la preparación de sus cuartos informes nacionales. En su </w:t>
      </w:r>
      <w:r w:rsidR="00CE1636" w:rsidRPr="00F00843">
        <w:rPr>
          <w:lang w:val="es-ES"/>
        </w:rPr>
        <w:t>21ª reunión</w:t>
      </w:r>
      <w:r w:rsidRPr="00F00843">
        <w:rPr>
          <w:lang w:val="es-ES"/>
        </w:rPr>
        <w:t xml:space="preserve">, el Comité acogió con satisfacción la publicación, a través del Centro de Intercambio de Información sobre Seguridad de la Biotecnología, de los informes nacionales cuarto y quinto de dos de las tres Partes. Asimismo, acogió con satisfacción el hecho de que esas dos Partes hubieran hecho uso del apoyo financiero ofrecido por el Fondo para el Medio Ambiente Mundial para la elaboración de sus informes. El Comité formuló varias recomendaciones en ese </w:t>
      </w:r>
      <w:r w:rsidR="009102F2" w:rsidRPr="00F00843">
        <w:rPr>
          <w:lang w:val="es-ES"/>
        </w:rPr>
        <w:t xml:space="preserve">sentido </w:t>
      </w:r>
      <w:r w:rsidRPr="00F00843">
        <w:rPr>
          <w:lang w:val="es-ES"/>
        </w:rPr>
        <w:t xml:space="preserve">para que las examinara la Conferencia de las Partes </w:t>
      </w:r>
      <w:r w:rsidR="0037507A" w:rsidRPr="00F00843">
        <w:rPr>
          <w:lang w:val="es-ES"/>
        </w:rPr>
        <w:t>que actúa como reunión</w:t>
      </w:r>
      <w:r w:rsidRPr="00F00843">
        <w:rPr>
          <w:lang w:val="es-ES"/>
        </w:rPr>
        <w:t xml:space="preserve"> de las Partes en el Protocolo en su </w:t>
      </w:r>
      <w:r w:rsidR="00CE1636" w:rsidRPr="00F00843">
        <w:rPr>
          <w:lang w:val="es-ES"/>
        </w:rPr>
        <w:t>12ª reunión</w:t>
      </w:r>
      <w:r w:rsidRPr="00F00843">
        <w:rPr>
          <w:lang w:val="es-ES"/>
        </w:rPr>
        <w:t>.</w:t>
      </w:r>
    </w:p>
    <w:p w14:paraId="6443CF56" w14:textId="58278686"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la misma sesión, el Comité acogió con </w:t>
      </w:r>
      <w:r w:rsidR="009102F2" w:rsidRPr="00F00843">
        <w:rPr>
          <w:lang w:val="es-ES"/>
        </w:rPr>
        <w:t xml:space="preserve">agrado </w:t>
      </w:r>
      <w:r w:rsidRPr="00F00843">
        <w:rPr>
          <w:lang w:val="es-ES"/>
        </w:rPr>
        <w:t xml:space="preserve">las recientes comunicaciones entre la Secretaría y la única Parte restante a la que se había </w:t>
      </w:r>
      <w:r w:rsidR="00F159BD" w:rsidRPr="00F00843">
        <w:rPr>
          <w:lang w:val="es-ES"/>
        </w:rPr>
        <w:t xml:space="preserve">advertido </w:t>
      </w:r>
      <w:r w:rsidRPr="00F00843">
        <w:rPr>
          <w:lang w:val="es-ES"/>
        </w:rPr>
        <w:t xml:space="preserve">en la decisión </w:t>
      </w:r>
      <w:hyperlink r:id="rId18" w:history="1">
        <w:r w:rsidRPr="00F00843">
          <w:rPr>
            <w:rStyle w:val="Hyperlink"/>
            <w:lang w:val="es-ES"/>
          </w:rPr>
          <w:t>CP</w:t>
        </w:r>
        <w:r w:rsidR="00F159BD" w:rsidRPr="00F00843">
          <w:rPr>
            <w:rStyle w:val="Hyperlink"/>
            <w:lang w:val="es-ES"/>
          </w:rPr>
          <w:noBreakHyphen/>
        </w:r>
        <w:r w:rsidRPr="00F00843">
          <w:rPr>
            <w:rStyle w:val="Hyperlink"/>
            <w:lang w:val="es-ES"/>
          </w:rPr>
          <w:t>11/1 B</w:t>
        </w:r>
      </w:hyperlink>
      <w:r w:rsidRPr="00F00843">
        <w:rPr>
          <w:lang w:val="es-ES"/>
        </w:rPr>
        <w:t xml:space="preserve">. </w:t>
      </w:r>
      <w:r w:rsidR="00F159BD" w:rsidRPr="00F00843">
        <w:rPr>
          <w:lang w:val="es-ES"/>
        </w:rPr>
        <w:t xml:space="preserve">Convino en </w:t>
      </w:r>
      <w:r w:rsidRPr="00F00843">
        <w:rPr>
          <w:lang w:val="es-ES"/>
        </w:rPr>
        <w:t xml:space="preserve">formular recomendaciones en caso de que dicha Parte no presentara su quinto informe nacional antes </w:t>
      </w:r>
      <w:r w:rsidRPr="00F00843">
        <w:rPr>
          <w:lang w:val="es-ES"/>
        </w:rPr>
        <w:lastRenderedPageBreak/>
        <w:t xml:space="preserve">de la </w:t>
      </w:r>
      <w:r w:rsidR="00CE1636" w:rsidRPr="00F00843">
        <w:rPr>
          <w:lang w:val="es-ES"/>
        </w:rPr>
        <w:t>12ª reunión</w:t>
      </w:r>
      <w:r w:rsidRPr="00F00843">
        <w:rPr>
          <w:lang w:val="es-ES"/>
        </w:rPr>
        <w:t xml:space="preserve"> de la Conferencia de las Partes </w:t>
      </w:r>
      <w:r w:rsidR="0037507A" w:rsidRPr="00F00843">
        <w:rPr>
          <w:lang w:val="es-ES"/>
        </w:rPr>
        <w:t>que actúa como reunión</w:t>
      </w:r>
      <w:r w:rsidRPr="00F00843">
        <w:rPr>
          <w:lang w:val="es-ES"/>
        </w:rPr>
        <w:t xml:space="preserve"> de las Partes en el Protocolo.</w:t>
      </w:r>
    </w:p>
    <w:p w14:paraId="27E0457C" w14:textId="7A91EDAF" w:rsidR="00C4195E" w:rsidRPr="00F00843" w:rsidRDefault="006674D8"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w:t>
      </w:r>
      <w:r w:rsidR="00C4195E" w:rsidRPr="00F00843">
        <w:rPr>
          <w:lang w:val="es-ES"/>
        </w:rPr>
        <w:t xml:space="preserve">sus </w:t>
      </w:r>
      <w:r w:rsidR="00734158" w:rsidRPr="00F00843">
        <w:rPr>
          <w:lang w:val="es-ES"/>
        </w:rPr>
        <w:t>reuniones 20ª y 21ª</w:t>
      </w:r>
      <w:r w:rsidR="00C4195E" w:rsidRPr="00F00843">
        <w:rPr>
          <w:lang w:val="es-ES"/>
        </w:rPr>
        <w:t>, el Comité examinó siete nuevos planes de acción</w:t>
      </w:r>
      <w:r w:rsidRPr="00F00843">
        <w:rPr>
          <w:lang w:val="es-ES"/>
        </w:rPr>
        <w:t xml:space="preserve"> en materia de </w:t>
      </w:r>
      <w:r w:rsidR="00C4195E" w:rsidRPr="00F00843">
        <w:rPr>
          <w:lang w:val="es-ES"/>
        </w:rPr>
        <w:t xml:space="preserve">cumplimiento, con lo que el número total de planes que </w:t>
      </w:r>
      <w:r w:rsidRPr="00F00843">
        <w:rPr>
          <w:lang w:val="es-ES"/>
        </w:rPr>
        <w:t xml:space="preserve">está considerando activamente </w:t>
      </w:r>
      <w:r w:rsidR="00C4195E" w:rsidRPr="00F00843">
        <w:rPr>
          <w:lang w:val="es-ES"/>
        </w:rPr>
        <w:t xml:space="preserve">ascendió a 18. El Comité </w:t>
      </w:r>
      <w:r w:rsidR="00F0745F" w:rsidRPr="00F00843">
        <w:rPr>
          <w:lang w:val="es-ES"/>
        </w:rPr>
        <w:t xml:space="preserve">analizó </w:t>
      </w:r>
      <w:r w:rsidR="00C4195E" w:rsidRPr="00F00843">
        <w:rPr>
          <w:lang w:val="es-ES"/>
        </w:rPr>
        <w:t>los avances de cada plan y decidió las medidas de seguimiento específicas para cada caso concreto.</w:t>
      </w:r>
    </w:p>
    <w:p w14:paraId="2382035A" w14:textId="1BAE1129"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su </w:t>
      </w:r>
      <w:r w:rsidR="008320BF" w:rsidRPr="00F00843">
        <w:rPr>
          <w:lang w:val="es-ES"/>
        </w:rPr>
        <w:t>21ª</w:t>
      </w:r>
      <w:r w:rsidR="00734158" w:rsidRPr="00F00843">
        <w:rPr>
          <w:lang w:val="es-ES"/>
        </w:rPr>
        <w:t xml:space="preserve"> </w:t>
      </w:r>
      <w:r w:rsidRPr="00F00843">
        <w:rPr>
          <w:lang w:val="es-ES"/>
        </w:rPr>
        <w:t xml:space="preserve">reunión, el Comité mantuvo intercambios </w:t>
      </w:r>
      <w:r w:rsidR="00F0745F" w:rsidRPr="00F00843">
        <w:rPr>
          <w:lang w:val="es-ES"/>
        </w:rPr>
        <w:t xml:space="preserve">oficiosos </w:t>
      </w:r>
      <w:r w:rsidRPr="00F00843">
        <w:rPr>
          <w:lang w:val="es-ES"/>
        </w:rPr>
        <w:t>en línea con tres Partes cuyos planes de acción</w:t>
      </w:r>
      <w:r w:rsidR="006674D8" w:rsidRPr="00F00843">
        <w:rPr>
          <w:lang w:val="es-ES"/>
        </w:rPr>
        <w:t xml:space="preserve"> en materia de </w:t>
      </w:r>
      <w:r w:rsidRPr="00F00843">
        <w:rPr>
          <w:lang w:val="es-ES"/>
        </w:rPr>
        <w:t xml:space="preserve">cumplimiento se </w:t>
      </w:r>
      <w:r w:rsidR="00F0745F" w:rsidRPr="00F00843">
        <w:rPr>
          <w:lang w:val="es-ES"/>
        </w:rPr>
        <w:t>estaban examinando activamente</w:t>
      </w:r>
      <w:r w:rsidRPr="00F00843">
        <w:rPr>
          <w:lang w:val="es-ES"/>
        </w:rPr>
        <w:t xml:space="preserve">, </w:t>
      </w:r>
      <w:r w:rsidR="00F0745F" w:rsidRPr="00F00843">
        <w:rPr>
          <w:lang w:val="es-ES"/>
        </w:rPr>
        <w:t xml:space="preserve">para </w:t>
      </w:r>
      <w:r w:rsidRPr="00F00843">
        <w:rPr>
          <w:lang w:val="es-ES"/>
        </w:rPr>
        <w:t xml:space="preserve">analizar los avances logrados y las dificultades surgidas en relación con la aplicación de dichos planes. El Comité consideró que dichos intercambios habían resultado útiles, como complemento al seguimiento periódico realizado en nombre del Comité, y que </w:t>
      </w:r>
      <w:r w:rsidR="00F0745F" w:rsidRPr="00F00843">
        <w:rPr>
          <w:lang w:val="es-ES"/>
        </w:rPr>
        <w:t xml:space="preserve">representaban </w:t>
      </w:r>
      <w:r w:rsidRPr="00F00843">
        <w:rPr>
          <w:lang w:val="es-ES"/>
        </w:rPr>
        <w:t xml:space="preserve">un medio eficiente y eficaz para comunicarse con las Partes sobre los avances logrados y las dificultades </w:t>
      </w:r>
      <w:r w:rsidR="00411264" w:rsidRPr="00F00843">
        <w:rPr>
          <w:lang w:val="es-ES"/>
        </w:rPr>
        <w:t>que enfrentan en ese sentido</w:t>
      </w:r>
      <w:r w:rsidRPr="00F00843">
        <w:rPr>
          <w:lang w:val="es-ES"/>
        </w:rPr>
        <w:t>.</w:t>
      </w:r>
    </w:p>
    <w:p w14:paraId="12A27773" w14:textId="01B5DAB5"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lamentó que otras tres Partes no hubieran respondido a la invitación del </w:t>
      </w:r>
      <w:proofErr w:type="gramStart"/>
      <w:r w:rsidRPr="00F00843">
        <w:rPr>
          <w:lang w:val="es-ES"/>
        </w:rPr>
        <w:t>Presidente</w:t>
      </w:r>
      <w:proofErr w:type="gramEnd"/>
      <w:r w:rsidRPr="00F00843">
        <w:rPr>
          <w:lang w:val="es-ES"/>
        </w:rPr>
        <w:t xml:space="preserve"> del Comité</w:t>
      </w:r>
      <w:r w:rsidR="00571962" w:rsidRPr="00F00843">
        <w:rPr>
          <w:lang w:val="es-ES"/>
        </w:rPr>
        <w:t xml:space="preserve"> de </w:t>
      </w:r>
      <w:r w:rsidRPr="00F00843">
        <w:rPr>
          <w:lang w:val="es-ES"/>
        </w:rPr>
        <w:t xml:space="preserve">participar en un intercambio </w:t>
      </w:r>
      <w:r w:rsidR="00571962" w:rsidRPr="00F00843">
        <w:rPr>
          <w:lang w:val="es-ES"/>
        </w:rPr>
        <w:t xml:space="preserve">oficioso </w:t>
      </w:r>
      <w:r w:rsidRPr="00F00843">
        <w:rPr>
          <w:lang w:val="es-ES"/>
        </w:rPr>
        <w:t xml:space="preserve">durante su </w:t>
      </w:r>
      <w:r w:rsidR="008320BF" w:rsidRPr="00F00843">
        <w:rPr>
          <w:lang w:val="es-ES"/>
        </w:rPr>
        <w:t>21ª</w:t>
      </w:r>
      <w:r w:rsidR="00734158" w:rsidRPr="00F00843">
        <w:rPr>
          <w:lang w:val="es-ES"/>
        </w:rPr>
        <w:t xml:space="preserve"> </w:t>
      </w:r>
      <w:r w:rsidRPr="00F00843">
        <w:rPr>
          <w:lang w:val="es-ES"/>
        </w:rPr>
        <w:t>reunión y acordó invitar a dichas Partes a un intercambio en línea con el Comité que se celebraría tras la 12</w:t>
      </w:r>
      <w:r w:rsidR="008320BF" w:rsidRPr="00F00843">
        <w:rPr>
          <w:lang w:val="es-ES"/>
        </w:rPr>
        <w:t>ª</w:t>
      </w:r>
      <w:r w:rsidR="00734158" w:rsidRPr="00F00843">
        <w:rPr>
          <w:lang w:val="es-ES"/>
        </w:rPr>
        <w:t xml:space="preserve"> </w:t>
      </w:r>
      <w:r w:rsidRPr="00F00843">
        <w:rPr>
          <w:lang w:val="es-ES"/>
        </w:rPr>
        <w:t xml:space="preserve">reunión de la Conferencia de las Partes </w:t>
      </w:r>
      <w:r w:rsidR="0037507A" w:rsidRPr="00F00843">
        <w:rPr>
          <w:lang w:val="es-ES"/>
        </w:rPr>
        <w:t>que actúa como reunión</w:t>
      </w:r>
      <w:r w:rsidRPr="00F00843">
        <w:rPr>
          <w:lang w:val="es-ES"/>
        </w:rPr>
        <w:t xml:space="preserve"> de las Partes en el Protocolo.</w:t>
      </w:r>
    </w:p>
    <w:p w14:paraId="54195E41" w14:textId="51A76F65"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En la misma reunión, el Comité expresó su preocupación por el hecho de que, en </w:t>
      </w:r>
      <w:r w:rsidR="00571962" w:rsidRPr="00F00843">
        <w:rPr>
          <w:lang w:val="es-ES"/>
        </w:rPr>
        <w:t xml:space="preserve">diversas </w:t>
      </w:r>
      <w:r w:rsidRPr="00F00843">
        <w:rPr>
          <w:lang w:val="es-ES"/>
        </w:rPr>
        <w:t xml:space="preserve">ocasiones, seis Partes no hubieran respondido a las solicitudes del Comité de </w:t>
      </w:r>
      <w:r w:rsidR="00571962" w:rsidRPr="00F00843">
        <w:rPr>
          <w:lang w:val="es-ES"/>
        </w:rPr>
        <w:t xml:space="preserve">preparar </w:t>
      </w:r>
      <w:r w:rsidRPr="00F00843">
        <w:rPr>
          <w:lang w:val="es-ES"/>
        </w:rPr>
        <w:t xml:space="preserve">planes de </w:t>
      </w:r>
      <w:r w:rsidR="006674D8" w:rsidRPr="00F00843">
        <w:rPr>
          <w:lang w:val="es-ES"/>
        </w:rPr>
        <w:t>acción en materia de cumplimiento</w:t>
      </w:r>
      <w:r w:rsidRPr="00F00843">
        <w:rPr>
          <w:lang w:val="es-ES"/>
        </w:rPr>
        <w:t xml:space="preserve">. El Comité decidió invitar a los puntos focales nacionales de las Partes a participar en intercambios en línea durante su </w:t>
      </w:r>
      <w:r w:rsidR="00734158" w:rsidRPr="00F00843">
        <w:rPr>
          <w:lang w:val="es-ES"/>
        </w:rPr>
        <w:t>22ª reunión</w:t>
      </w:r>
      <w:r w:rsidRPr="00F00843">
        <w:rPr>
          <w:lang w:val="es-ES"/>
        </w:rPr>
        <w:t xml:space="preserve">, como </w:t>
      </w:r>
      <w:r w:rsidR="004166CB" w:rsidRPr="00F00843">
        <w:rPr>
          <w:lang w:val="es-ES"/>
        </w:rPr>
        <w:t xml:space="preserve">forma </w:t>
      </w:r>
      <w:r w:rsidRPr="00F00843">
        <w:rPr>
          <w:lang w:val="es-ES"/>
        </w:rPr>
        <w:t>alternativ</w:t>
      </w:r>
      <w:r w:rsidR="004166CB" w:rsidRPr="00F00843">
        <w:rPr>
          <w:lang w:val="es-ES"/>
        </w:rPr>
        <w:t xml:space="preserve">a </w:t>
      </w:r>
      <w:r w:rsidRPr="00F00843">
        <w:rPr>
          <w:lang w:val="es-ES"/>
        </w:rPr>
        <w:t xml:space="preserve">para </w:t>
      </w:r>
      <w:r w:rsidR="008320BF" w:rsidRPr="00F00843">
        <w:rPr>
          <w:lang w:val="es-ES"/>
        </w:rPr>
        <w:t xml:space="preserve">alentarlos </w:t>
      </w:r>
      <w:r w:rsidRPr="00F00843">
        <w:rPr>
          <w:lang w:val="es-ES"/>
        </w:rPr>
        <w:t xml:space="preserve">a elaborar sus planes de </w:t>
      </w:r>
      <w:r w:rsidR="006674D8" w:rsidRPr="00F00843">
        <w:rPr>
          <w:lang w:val="es-ES"/>
        </w:rPr>
        <w:t>acción en materia de cumplimiento</w:t>
      </w:r>
      <w:r w:rsidRPr="00F00843">
        <w:rPr>
          <w:lang w:val="es-ES"/>
        </w:rPr>
        <w:t>.</w:t>
      </w:r>
    </w:p>
    <w:p w14:paraId="7E2409DF" w14:textId="4A92872C" w:rsidR="004166CB"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Asimismo, en su </w:t>
      </w:r>
      <w:r w:rsidR="00CE1636" w:rsidRPr="00F00843">
        <w:rPr>
          <w:lang w:val="es-ES"/>
        </w:rPr>
        <w:t>21ª reunión</w:t>
      </w:r>
      <w:r w:rsidRPr="00F00843">
        <w:rPr>
          <w:lang w:val="es-ES"/>
        </w:rPr>
        <w:t xml:space="preserve">, el Comité aportó contribuciones a la quinta evaluación y revisión del Protocolo y </w:t>
      </w:r>
      <w:r w:rsidR="00E67299" w:rsidRPr="00F00843">
        <w:rPr>
          <w:lang w:val="es-ES"/>
        </w:rPr>
        <w:t xml:space="preserve">a </w:t>
      </w:r>
      <w:r w:rsidRPr="00F00843">
        <w:rPr>
          <w:lang w:val="es-ES"/>
        </w:rPr>
        <w:t xml:space="preserve">la </w:t>
      </w:r>
      <w:r w:rsidR="00E67299" w:rsidRPr="00F00843">
        <w:rPr>
          <w:snapToGrid w:val="0"/>
          <w:lang w:val="es-ES"/>
        </w:rPr>
        <w:t>evaluación a mitad de período del plan de aplicación</w:t>
      </w:r>
      <w:r w:rsidR="00E67299" w:rsidRPr="00F00843">
        <w:rPr>
          <w:lang w:val="es-ES"/>
        </w:rPr>
        <w:t xml:space="preserve"> </w:t>
      </w:r>
      <w:r w:rsidRPr="00F00843">
        <w:rPr>
          <w:lang w:val="es-ES"/>
        </w:rPr>
        <w:t>y</w:t>
      </w:r>
      <w:r w:rsidR="000453CC" w:rsidRPr="00F00843">
        <w:rPr>
          <w:lang w:val="es-ES"/>
        </w:rPr>
        <w:t xml:space="preserve"> el plan de acción para la</w:t>
      </w:r>
      <w:r w:rsidRPr="00F00843">
        <w:rPr>
          <w:lang w:val="es-ES"/>
        </w:rPr>
        <w:t xml:space="preserve"> </w:t>
      </w:r>
      <w:r w:rsidR="004166CB" w:rsidRPr="00F00843">
        <w:rPr>
          <w:lang w:val="es-ES"/>
        </w:rPr>
        <w:t xml:space="preserve">creación de capacidad del Protocolo de Cartagena. El Comité examinó </w:t>
      </w:r>
      <w:r w:rsidR="00F00843" w:rsidRPr="00F00843">
        <w:rPr>
          <w:lang w:val="es-ES"/>
        </w:rPr>
        <w:t xml:space="preserve">la meta </w:t>
      </w:r>
      <w:r w:rsidR="004166CB" w:rsidRPr="00F00843">
        <w:rPr>
          <w:lang w:val="es-ES"/>
        </w:rPr>
        <w:t xml:space="preserve">A.4, así como la información facilitada en relación con los objetivos conexos, </w:t>
      </w:r>
      <w:proofErr w:type="gramStart"/>
      <w:r w:rsidR="004166CB" w:rsidRPr="00F00843">
        <w:rPr>
          <w:lang w:val="es-ES"/>
        </w:rPr>
        <w:t>haciendo especial hincapié</w:t>
      </w:r>
      <w:proofErr w:type="gramEnd"/>
      <w:r w:rsidR="004166CB" w:rsidRPr="00F00843">
        <w:rPr>
          <w:lang w:val="es-ES"/>
        </w:rPr>
        <w:t xml:space="preserve"> en los aspectos relacionados con el cumplimiento y en su labor al respecto.</w:t>
      </w:r>
      <w:r w:rsidR="00BD485D" w:rsidRPr="00F00843">
        <w:rPr>
          <w:lang w:val="es-ES"/>
        </w:rPr>
        <w:t xml:space="preserve"> </w:t>
      </w:r>
    </w:p>
    <w:p w14:paraId="4663B966" w14:textId="039023CF" w:rsidR="00C4195E" w:rsidRPr="00F00843" w:rsidRDefault="00C4195E" w:rsidP="00C4195E">
      <w:pPr>
        <w:pStyle w:val="CBDNormalNumber"/>
        <w:numPr>
          <w:ilvl w:val="0"/>
          <w:numId w:val="6"/>
        </w:numPr>
        <w:tabs>
          <w:tab w:val="clear" w:pos="567"/>
          <w:tab w:val="clear" w:pos="1134"/>
          <w:tab w:val="left" w:pos="1350"/>
          <w:tab w:val="left" w:pos="1620"/>
        </w:tabs>
        <w:ind w:left="630" w:firstLine="0"/>
        <w:rPr>
          <w:lang w:val="es-ES"/>
        </w:rPr>
      </w:pPr>
      <w:r w:rsidRPr="00F00843">
        <w:rPr>
          <w:lang w:val="es-ES"/>
        </w:rPr>
        <w:t xml:space="preserve">El Comité acordó su contribución a la quinta evaluación y revisión del Protocolo, así como a </w:t>
      </w:r>
      <w:r w:rsidR="00E67299" w:rsidRPr="00F00843">
        <w:rPr>
          <w:lang w:val="es-ES"/>
        </w:rPr>
        <w:t xml:space="preserve">la </w:t>
      </w:r>
      <w:r w:rsidR="00E67299" w:rsidRPr="00F00843">
        <w:rPr>
          <w:snapToGrid w:val="0"/>
          <w:lang w:val="es-ES"/>
        </w:rPr>
        <w:t>evaluación a mitad de período del plan de aplicación</w:t>
      </w:r>
      <w:r w:rsidR="00E67299" w:rsidRPr="00F00843">
        <w:rPr>
          <w:lang w:val="es-ES"/>
        </w:rPr>
        <w:t xml:space="preserve"> </w:t>
      </w:r>
      <w:r w:rsidRPr="00F00843">
        <w:rPr>
          <w:lang w:val="es-ES"/>
        </w:rPr>
        <w:t>y el plan de acción para</w:t>
      </w:r>
      <w:r w:rsidR="00070022" w:rsidRPr="00F00843">
        <w:rPr>
          <w:lang w:val="es-ES"/>
        </w:rPr>
        <w:t xml:space="preserve"> la creación de </w:t>
      </w:r>
      <w:r w:rsidRPr="00F00843">
        <w:rPr>
          <w:lang w:val="es-ES"/>
        </w:rPr>
        <w:t>capacidad</w:t>
      </w:r>
      <w:r w:rsidR="00070022" w:rsidRPr="00F00843">
        <w:rPr>
          <w:lang w:val="es-ES"/>
        </w:rPr>
        <w:t xml:space="preserve"> </w:t>
      </w:r>
      <w:r w:rsidRPr="00F00843">
        <w:rPr>
          <w:lang w:val="es-ES"/>
        </w:rPr>
        <w:t>del Protocolo</w:t>
      </w:r>
      <w:r w:rsidR="00B64BB9" w:rsidRPr="00F00843">
        <w:rPr>
          <w:lang w:val="es-ES"/>
        </w:rPr>
        <w:t>,</w:t>
      </w:r>
      <w:r w:rsidRPr="00F00843">
        <w:rPr>
          <w:lang w:val="es-ES"/>
        </w:rPr>
        <w:t xml:space="preserve"> </w:t>
      </w:r>
      <w:r w:rsidR="00B64BB9" w:rsidRPr="00F00843">
        <w:rPr>
          <w:lang w:val="es-ES"/>
        </w:rPr>
        <w:t xml:space="preserve">que </w:t>
      </w:r>
      <w:r w:rsidRPr="00F00843">
        <w:rPr>
          <w:lang w:val="es-ES"/>
        </w:rPr>
        <w:t>figuran en el anexo II.</w:t>
      </w:r>
    </w:p>
    <w:p w14:paraId="44AA14D7" w14:textId="77777777" w:rsidR="00A47CC6" w:rsidRPr="00F00843" w:rsidRDefault="00A47CC6">
      <w:pPr>
        <w:tabs>
          <w:tab w:val="clear" w:pos="567"/>
          <w:tab w:val="clear" w:pos="1134"/>
          <w:tab w:val="clear" w:pos="1701"/>
          <w:tab w:val="clear" w:pos="2268"/>
        </w:tabs>
        <w:ind w:left="540"/>
        <w:jc w:val="left"/>
        <w:rPr>
          <w:snapToGrid w:val="0"/>
          <w:szCs w:val="18"/>
          <w:lang w:val="es-ES"/>
        </w:rPr>
      </w:pPr>
    </w:p>
    <w:p w14:paraId="656ADBEC" w14:textId="77777777" w:rsidR="00A47CC6" w:rsidRPr="00F00843" w:rsidRDefault="00A47CC6">
      <w:pPr>
        <w:tabs>
          <w:tab w:val="clear" w:pos="567"/>
          <w:tab w:val="clear" w:pos="1134"/>
          <w:tab w:val="clear" w:pos="1701"/>
          <w:tab w:val="clear" w:pos="2268"/>
        </w:tabs>
        <w:jc w:val="left"/>
        <w:rPr>
          <w:snapToGrid w:val="0"/>
          <w:szCs w:val="18"/>
          <w:lang w:val="es-ES"/>
        </w:rPr>
        <w:sectPr w:rsidR="00A47CC6" w:rsidRPr="00F00843">
          <w:headerReference w:type="even" r:id="rId19"/>
          <w:headerReference w:type="default" r:id="rId20"/>
          <w:footerReference w:type="even" r:id="rId21"/>
          <w:footerReference w:type="default" r:id="rId22"/>
          <w:headerReference w:type="first" r:id="rId23"/>
          <w:pgSz w:w="12240" w:h="15840"/>
          <w:pgMar w:top="567" w:right="1440" w:bottom="1134" w:left="1440" w:header="709" w:footer="709" w:gutter="0"/>
          <w:cols w:space="708"/>
          <w:titlePg/>
          <w:docGrid w:linePitch="360"/>
        </w:sectPr>
      </w:pPr>
    </w:p>
    <w:p w14:paraId="1FC03438" w14:textId="0F84E640" w:rsidR="00A47CC6" w:rsidRPr="00F00843" w:rsidRDefault="001643AF" w:rsidP="00E76CF9">
      <w:pPr>
        <w:pStyle w:val="CBDAnnex"/>
        <w:rPr>
          <w:lang w:val="es-ES"/>
        </w:rPr>
      </w:pPr>
      <w:r w:rsidRPr="00F00843">
        <w:rPr>
          <w:lang w:val="es-ES"/>
        </w:rPr>
        <w:lastRenderedPageBreak/>
        <w:t>Anex</w:t>
      </w:r>
      <w:r w:rsidR="004A087F" w:rsidRPr="00F00843">
        <w:rPr>
          <w:lang w:val="es-ES"/>
        </w:rPr>
        <w:t>o</w:t>
      </w:r>
      <w:r w:rsidRPr="00F00843">
        <w:rPr>
          <w:lang w:val="es-ES"/>
        </w:rPr>
        <w:t xml:space="preserve"> I</w:t>
      </w:r>
      <w:r w:rsidR="00CB10EC" w:rsidRPr="00F00843">
        <w:rPr>
          <w:lang w:val="es-ES"/>
        </w:rPr>
        <w:t xml:space="preserve"> </w:t>
      </w:r>
    </w:p>
    <w:p w14:paraId="26172907" w14:textId="2A3D2276" w:rsidR="00A47CC6" w:rsidRPr="00F00843" w:rsidRDefault="00D94577">
      <w:pPr>
        <w:pStyle w:val="CBDTitle"/>
        <w:rPr>
          <w:lang w:val="es-ES" w:bidi="ar-SY"/>
        </w:rPr>
      </w:pPr>
      <w:r w:rsidRPr="00F00843">
        <w:rPr>
          <w:lang w:val="es-ES" w:bidi="ar-SY"/>
        </w:rPr>
        <w:t xml:space="preserve">Recomendaciones del Comité de Cumplimiento del Protocolo de Cartagena sobre Seguridad de la Biotecnología a la Conferencia de las Partes que actúa como reunión de las Partes en el Protocolo de Cartagena en su </w:t>
      </w:r>
      <w:r w:rsidR="00CE1636" w:rsidRPr="00F00843">
        <w:rPr>
          <w:lang w:val="es-ES" w:bidi="ar-SY"/>
        </w:rPr>
        <w:t>12ª reunión</w:t>
      </w:r>
      <w:r w:rsidR="001643AF" w:rsidRPr="00F00843">
        <w:rPr>
          <w:rStyle w:val="FootnoteReference"/>
          <w:lang w:val="es-ES" w:bidi="ar-SY"/>
        </w:rPr>
        <w:footnoteReference w:customMarkFollows="1" w:id="3"/>
        <w:sym w:font="Symbol" w:char="F02A"/>
      </w:r>
      <w:r w:rsidR="001643AF" w:rsidRPr="00F00843">
        <w:rPr>
          <w:lang w:val="es-ES" w:bidi="ar-SY"/>
        </w:rPr>
        <w:t xml:space="preserve"> </w:t>
      </w:r>
    </w:p>
    <w:p w14:paraId="6924EA4E" w14:textId="62F3CACA" w:rsidR="00A47CC6" w:rsidRPr="00F00843" w:rsidRDefault="001643AF">
      <w:pPr>
        <w:pStyle w:val="CBDH1"/>
        <w:rPr>
          <w:lang w:val="es-ES"/>
        </w:rPr>
      </w:pPr>
      <w:r w:rsidRPr="00F00843">
        <w:rPr>
          <w:lang w:val="es-ES"/>
        </w:rPr>
        <w:t>I.</w:t>
      </w:r>
      <w:r w:rsidRPr="00F00843">
        <w:rPr>
          <w:lang w:val="es-ES"/>
        </w:rPr>
        <w:tab/>
        <w:t>C</w:t>
      </w:r>
      <w:r w:rsidR="008E52F1" w:rsidRPr="00F00843">
        <w:rPr>
          <w:lang w:val="es-ES"/>
        </w:rPr>
        <w:t>umplimiento</w:t>
      </w:r>
    </w:p>
    <w:p w14:paraId="252D855E" w14:textId="125A8D00" w:rsidR="00A47CC6" w:rsidRPr="00F00843" w:rsidRDefault="001643AF">
      <w:pPr>
        <w:pStyle w:val="CBDRecommendText"/>
        <w:tabs>
          <w:tab w:val="clear" w:pos="567"/>
        </w:tabs>
        <w:rPr>
          <w:lang w:val="es-ES"/>
        </w:rPr>
      </w:pPr>
      <w:r w:rsidRPr="00F00843">
        <w:rPr>
          <w:lang w:val="es-ES"/>
        </w:rPr>
        <w:t>1.</w:t>
      </w:r>
      <w:r w:rsidRPr="00F00843">
        <w:rPr>
          <w:lang w:val="es-ES"/>
        </w:rPr>
        <w:tab/>
      </w:r>
      <w:r w:rsidR="00BF4885" w:rsidRPr="00F00843">
        <w:rPr>
          <w:lang w:val="es-ES"/>
        </w:rPr>
        <w:t xml:space="preserve">El Comité de Cumplimiento del Protocolo de Cartagena sobre Seguridad de la Biotecnología recomienda que, en su </w:t>
      </w:r>
      <w:r w:rsidR="00CE1636" w:rsidRPr="00F00843">
        <w:rPr>
          <w:lang w:val="es-ES"/>
        </w:rPr>
        <w:t>12ª reunión</w:t>
      </w:r>
      <w:r w:rsidR="00BF4885" w:rsidRPr="00F00843">
        <w:rPr>
          <w:lang w:val="es-ES"/>
        </w:rPr>
        <w:t>, la Conferencia de las Partes que actúa como reunión de las Partes en el Protocolo adopte una decisión del siguiente tenor:</w:t>
      </w:r>
    </w:p>
    <w:p w14:paraId="4F9C000B" w14:textId="49FBD51B" w:rsidR="00A47CC6" w:rsidRPr="00F00843" w:rsidRDefault="00BF4885">
      <w:pPr>
        <w:pStyle w:val="CBDRecommendText"/>
        <w:ind w:left="576" w:firstLine="603"/>
        <w:rPr>
          <w:i/>
          <w:iCs/>
          <w:lang w:val="es-ES" w:bidi="ar-SY"/>
        </w:rPr>
      </w:pPr>
      <w:r w:rsidRPr="00F00843">
        <w:rPr>
          <w:i/>
          <w:iCs/>
          <w:lang w:val="es-ES" w:bidi="ar-SY"/>
        </w:rPr>
        <w:t>La Conferencia de las Partes que actúa como reunión de las Partes en el Protocolo de Cartagena</w:t>
      </w:r>
    </w:p>
    <w:p w14:paraId="580219DD" w14:textId="67FE9E71" w:rsidR="00F3243C" w:rsidRPr="00F00843" w:rsidRDefault="00F3243C" w:rsidP="00F3243C">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Toma nota</w:t>
      </w:r>
      <w:r w:rsidRPr="00F00843">
        <w:rPr>
          <w:lang w:val="es-ES"/>
        </w:rPr>
        <w:t xml:space="preserve"> de que varias Partes no han designado los puntos focales nacionales, las autoridades nacionales competentes ni los puntos de contacto </w:t>
      </w:r>
      <w:r w:rsidR="00E24DC9" w:rsidRPr="00F00843">
        <w:rPr>
          <w:lang w:val="es-ES"/>
        </w:rPr>
        <w:t xml:space="preserve">que exige </w:t>
      </w:r>
      <w:r w:rsidRPr="00F00843">
        <w:rPr>
          <w:lang w:val="es-ES"/>
        </w:rPr>
        <w:t>el Protocolo de Cartagena sobre Seguridad de la Biotecnología</w:t>
      </w:r>
      <w:r w:rsidRPr="00F00843">
        <w:rPr>
          <w:rStyle w:val="FootnoteReference"/>
          <w:lang w:val="es-ES"/>
        </w:rPr>
        <w:footnoteReference w:id="4"/>
      </w:r>
      <w:r w:rsidRPr="00F00843">
        <w:rPr>
          <w:lang w:val="es-ES"/>
        </w:rPr>
        <w:t>;</w:t>
      </w:r>
    </w:p>
    <w:p w14:paraId="4EA50C40" w14:textId="3FC99EA9" w:rsidR="00F3243C" w:rsidRPr="00F00843" w:rsidRDefault="00F3243C">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Recuerda</w:t>
      </w:r>
      <w:r w:rsidRPr="00F00843">
        <w:rPr>
          <w:lang w:val="es-ES"/>
        </w:rPr>
        <w:t xml:space="preserve"> a las Partes su obligación de designar sus puntos focales nacionales para el Protocolo de Cartagena, de conformidad con el artículo 19 del Protocolo, así como la necesidad de designar sus puntos focales nacionales para el Centro de Intercambio de Información sobre Seguridad de la Biotecnología, de acuerdo con las modalidades de funcionamiento de dicho Centro, y de mantener la información actualizada</w:t>
      </w:r>
      <w:r w:rsidRPr="00F00843">
        <w:rPr>
          <w:rStyle w:val="FootnoteReference"/>
          <w:lang w:val="es-ES"/>
        </w:rPr>
        <w:footnoteReference w:id="5"/>
      </w:r>
      <w:r w:rsidRPr="00F00843">
        <w:rPr>
          <w:lang w:val="es-ES"/>
        </w:rPr>
        <w:t>;</w:t>
      </w:r>
    </w:p>
    <w:p w14:paraId="36605A26" w14:textId="05EA13FB" w:rsidR="00F3243C" w:rsidRPr="00F00843" w:rsidRDefault="00F3243C" w:rsidP="00F3243C">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 xml:space="preserve">Recuerda también </w:t>
      </w:r>
      <w:r w:rsidRPr="00F00843">
        <w:rPr>
          <w:lang w:val="es-ES"/>
        </w:rPr>
        <w:t xml:space="preserve">a las Partes su obligación de facilitar, a través del Centro de Intercambio de Información sobre Seguridad de la Biotecnología, los datos de contacto de una o varias autoridades nacionales competentes, de conformidad con el artículo 19 del Protocolo de Cartagena, e insta a </w:t>
      </w:r>
      <w:r w:rsidR="006A6D4B" w:rsidRPr="00F00843">
        <w:rPr>
          <w:lang w:val="es-ES"/>
        </w:rPr>
        <w:t xml:space="preserve">las </w:t>
      </w:r>
      <w:r w:rsidRPr="00F00843">
        <w:rPr>
          <w:lang w:val="es-ES"/>
        </w:rPr>
        <w:t>Partes que aún no lo hayan hecho a que faciliten dicha información con carácter prioritario;</w:t>
      </w:r>
    </w:p>
    <w:p w14:paraId="3956D214" w14:textId="4A180399" w:rsidR="00A47CC6" w:rsidRPr="00F00843" w:rsidRDefault="00F3243C">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Recuerda además</w:t>
      </w:r>
      <w:r w:rsidRPr="00F00843">
        <w:rPr>
          <w:lang w:val="es-ES"/>
        </w:rPr>
        <w:t xml:space="preserve"> a las Partes su obligación de designar un punto de contacto a efectos de recibir las notificaciones previstas en el artículo 17 del Protocolo de Cartagena, e insta a aquellas que aún no lo hayan hecho a que procedan a dicha designación lo antes posible;</w:t>
      </w:r>
    </w:p>
    <w:p w14:paraId="2C2C7D19" w14:textId="19F98936" w:rsidR="00F3243C" w:rsidRPr="00F00843" w:rsidRDefault="00F3243C" w:rsidP="00FA3684">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Insta</w:t>
      </w:r>
      <w:r w:rsidRPr="00F00843">
        <w:rPr>
          <w:lang w:val="es-ES"/>
        </w:rPr>
        <w:t xml:space="preserve"> a las Partes que estén </w:t>
      </w:r>
      <w:r w:rsidR="006A6D4B" w:rsidRPr="00F00843">
        <w:rPr>
          <w:lang w:val="es-ES"/>
        </w:rPr>
        <w:t>preparando</w:t>
      </w:r>
      <w:r w:rsidRPr="00F00843">
        <w:rPr>
          <w:lang w:val="es-ES"/>
        </w:rPr>
        <w:t xml:space="preserve"> sus marcos normativos en materia de bioseguridad a que agilicen su labor, reconociendo que el Protocolo de Cartagena exige a las Partes que adopten medidas para su aplicación y que dichas medidas contribuirán a alcanzar la Meta 17 del Marco Mundial de Biodiversidad de Kunming-Montreal</w:t>
      </w:r>
      <w:r w:rsidRPr="00F00843">
        <w:rPr>
          <w:rStyle w:val="FootnoteReference"/>
          <w:lang w:val="es-ES"/>
        </w:rPr>
        <w:footnoteReference w:id="6"/>
      </w:r>
      <w:r w:rsidRPr="00F00843">
        <w:rPr>
          <w:lang w:val="es-ES"/>
        </w:rPr>
        <w:t>,</w:t>
      </w:r>
      <w:r w:rsidR="00734158" w:rsidRPr="00F00843">
        <w:rPr>
          <w:lang w:val="es-ES"/>
        </w:rPr>
        <w:t xml:space="preserve"> </w:t>
      </w:r>
      <w:r w:rsidRPr="00F00843">
        <w:rPr>
          <w:lang w:val="es-ES"/>
        </w:rPr>
        <w:t xml:space="preserve">y acoge con satisfacción el apoyo prestado a este respecto a varias Partes por el Programa de las Naciones Unidas para el Medio Ambiente, a través de su </w:t>
      </w:r>
      <w:r w:rsidR="006C06BE" w:rsidRPr="00F00843">
        <w:rPr>
          <w:lang w:val="es-ES"/>
        </w:rPr>
        <w:t>Plataforma de Asistencia Jurídica y Ambiental</w:t>
      </w:r>
      <w:r w:rsidRPr="00F00843">
        <w:rPr>
          <w:lang w:val="es-ES"/>
        </w:rPr>
        <w:t>, y por Japón, a través del Fondo de Biodiversidad de Japón;</w:t>
      </w:r>
    </w:p>
    <w:p w14:paraId="2D34B704" w14:textId="2CAD0572" w:rsidR="00F3243C" w:rsidRPr="00F00843" w:rsidRDefault="00F3243C" w:rsidP="00E55728">
      <w:pPr>
        <w:pStyle w:val="CBDDesicionText"/>
        <w:numPr>
          <w:ilvl w:val="0"/>
          <w:numId w:val="7"/>
        </w:numPr>
        <w:tabs>
          <w:tab w:val="clear" w:pos="567"/>
          <w:tab w:val="clear" w:pos="1701"/>
          <w:tab w:val="clear" w:pos="2268"/>
          <w:tab w:val="left" w:pos="630"/>
          <w:tab w:val="left" w:pos="1800"/>
        </w:tabs>
        <w:ind w:left="630" w:firstLine="540"/>
        <w:rPr>
          <w:lang w:val="es-ES"/>
        </w:rPr>
      </w:pPr>
      <w:r w:rsidRPr="00F00843">
        <w:rPr>
          <w:i/>
          <w:iCs/>
          <w:lang w:val="es-ES"/>
        </w:rPr>
        <w:t>Recuerda</w:t>
      </w:r>
      <w:r w:rsidRPr="00F00843">
        <w:rPr>
          <w:lang w:val="es-ES"/>
        </w:rPr>
        <w:t xml:space="preserve"> a las Partes su obligación de publicar sus medidas jurídicas para la aplicación del Protocolo de Cartagena a través del Centro de Intercambio de Información sobre Bioseguridad;</w:t>
      </w:r>
    </w:p>
    <w:p w14:paraId="63A1525D" w14:textId="27481240" w:rsidR="00A47CC6" w:rsidRPr="00F00843" w:rsidRDefault="00E55728">
      <w:pPr>
        <w:pStyle w:val="CBDDesicionText"/>
        <w:numPr>
          <w:ilvl w:val="0"/>
          <w:numId w:val="7"/>
        </w:numPr>
        <w:tabs>
          <w:tab w:val="clear" w:pos="567"/>
          <w:tab w:val="clear" w:pos="1134"/>
          <w:tab w:val="clear" w:pos="1701"/>
          <w:tab w:val="clear" w:pos="2268"/>
          <w:tab w:val="left" w:pos="630"/>
          <w:tab w:val="left" w:pos="1800"/>
        </w:tabs>
        <w:ind w:left="630" w:firstLine="540"/>
        <w:rPr>
          <w:lang w:val="es-ES"/>
        </w:rPr>
      </w:pPr>
      <w:r w:rsidRPr="00F00843">
        <w:rPr>
          <w:i/>
          <w:iCs/>
          <w:lang w:val="es-ES"/>
        </w:rPr>
        <w:t>Recuerda</w:t>
      </w:r>
      <w:r w:rsidRPr="00F00843">
        <w:rPr>
          <w:lang w:val="es-ES"/>
        </w:rPr>
        <w:t xml:space="preserve"> la advertencia </w:t>
      </w:r>
      <w:r w:rsidR="006C06BE" w:rsidRPr="00F00843">
        <w:rPr>
          <w:lang w:val="es-ES"/>
        </w:rPr>
        <w:t xml:space="preserve">que figura </w:t>
      </w:r>
      <w:r w:rsidRPr="00F00843">
        <w:rPr>
          <w:lang w:val="es-ES"/>
        </w:rPr>
        <w:t xml:space="preserve">en la decisión </w:t>
      </w:r>
      <w:hyperlink r:id="rId24" w:history="1">
        <w:r w:rsidRPr="00F00843">
          <w:rPr>
            <w:rStyle w:val="Hyperlink"/>
            <w:lang w:val="es-ES"/>
          </w:rPr>
          <w:t>CP-11/1 B</w:t>
        </w:r>
      </w:hyperlink>
      <w:r w:rsidRPr="00F00843">
        <w:rPr>
          <w:lang w:val="es-ES"/>
        </w:rPr>
        <w:t>, de 30 de octubre de 2024, y acoge con satisfacción la financiación concedida por el Fondo para el Medio Ambiente Mundial a las Partes objeto de dicha advertencia para que elaboren sus informes nacionales cuarto y quinto;</w:t>
      </w:r>
    </w:p>
    <w:p w14:paraId="0EF070BB" w14:textId="77777777" w:rsidR="00E55728" w:rsidRPr="00F00843" w:rsidRDefault="00E55728" w:rsidP="00E55728">
      <w:pPr>
        <w:pStyle w:val="CBDDesicionText"/>
        <w:numPr>
          <w:ilvl w:val="0"/>
          <w:numId w:val="7"/>
        </w:numPr>
        <w:tabs>
          <w:tab w:val="clear" w:pos="567"/>
          <w:tab w:val="clear" w:pos="1134"/>
          <w:tab w:val="clear" w:pos="1701"/>
          <w:tab w:val="clear" w:pos="2268"/>
          <w:tab w:val="left" w:pos="630"/>
          <w:tab w:val="left" w:pos="1800"/>
        </w:tabs>
        <w:ind w:left="630" w:firstLine="324"/>
        <w:rPr>
          <w:lang w:val="es-ES"/>
        </w:rPr>
      </w:pPr>
      <w:r w:rsidRPr="00F00843">
        <w:rPr>
          <w:i/>
          <w:iCs/>
          <w:lang w:val="es-ES"/>
        </w:rPr>
        <w:lastRenderedPageBreak/>
        <w:t>Acoge con satisfacción</w:t>
      </w:r>
      <w:r w:rsidRPr="00F00843">
        <w:rPr>
          <w:lang w:val="es-ES"/>
        </w:rPr>
        <w:t xml:space="preserve"> la presentación de los informes nacionales cuarto y quinto por parte de Belice y Libia, lo que pone fin al incumplimiento de su obligación de presentar informes;</w:t>
      </w:r>
    </w:p>
    <w:p w14:paraId="12725EB1" w14:textId="3DA78386" w:rsidR="00E55728" w:rsidRPr="00F00843" w:rsidRDefault="00E55728" w:rsidP="00E55728">
      <w:pPr>
        <w:pStyle w:val="CBDDesicionText"/>
        <w:numPr>
          <w:ilvl w:val="0"/>
          <w:numId w:val="7"/>
        </w:numPr>
        <w:tabs>
          <w:tab w:val="clear" w:pos="567"/>
          <w:tab w:val="clear" w:pos="1134"/>
          <w:tab w:val="clear" w:pos="1701"/>
          <w:tab w:val="clear" w:pos="2268"/>
          <w:tab w:val="left" w:pos="630"/>
          <w:tab w:val="left" w:pos="1800"/>
        </w:tabs>
        <w:ind w:left="630" w:firstLine="324"/>
        <w:rPr>
          <w:lang w:val="es-ES"/>
        </w:rPr>
      </w:pPr>
      <w:r w:rsidRPr="00F00843">
        <w:rPr>
          <w:i/>
          <w:iCs/>
          <w:lang w:val="es-ES"/>
        </w:rPr>
        <w:t>Expresa su profunda preocupación</w:t>
      </w:r>
      <w:r w:rsidRPr="00F00843">
        <w:rPr>
          <w:lang w:val="es-ES"/>
        </w:rPr>
        <w:t xml:space="preserve"> por el hecho de que </w:t>
      </w:r>
      <w:proofErr w:type="spellStart"/>
      <w:r w:rsidRPr="00F00843">
        <w:rPr>
          <w:lang w:val="es-ES"/>
        </w:rPr>
        <w:t>Pap</w:t>
      </w:r>
      <w:r w:rsidR="006C06BE" w:rsidRPr="00F00843">
        <w:rPr>
          <w:lang w:val="es-ES"/>
        </w:rPr>
        <w:t>u</w:t>
      </w:r>
      <w:r w:rsidRPr="00F00843">
        <w:rPr>
          <w:lang w:val="es-ES"/>
        </w:rPr>
        <w:t>a</w:t>
      </w:r>
      <w:proofErr w:type="spellEnd"/>
      <w:r w:rsidRPr="00F00843">
        <w:rPr>
          <w:lang w:val="es-ES"/>
        </w:rPr>
        <w:t xml:space="preserve"> Nueva Guinea no haya presentado su tercer, cuarto ni quinto informe nacional;</w:t>
      </w:r>
    </w:p>
    <w:p w14:paraId="5BD158C1" w14:textId="1FBAA62E" w:rsidR="00E55728" w:rsidRPr="00F00843" w:rsidRDefault="00E55728" w:rsidP="00E55728">
      <w:pPr>
        <w:pStyle w:val="CBDDesicionText"/>
        <w:numPr>
          <w:ilvl w:val="0"/>
          <w:numId w:val="7"/>
        </w:numPr>
        <w:tabs>
          <w:tab w:val="clear" w:pos="567"/>
          <w:tab w:val="clear" w:pos="1134"/>
          <w:tab w:val="clear" w:pos="1701"/>
          <w:tab w:val="clear" w:pos="2268"/>
          <w:tab w:val="left" w:pos="630"/>
          <w:tab w:val="left" w:pos="1800"/>
        </w:tabs>
        <w:ind w:left="630" w:firstLine="324"/>
        <w:rPr>
          <w:lang w:val="es-ES"/>
        </w:rPr>
      </w:pPr>
      <w:r w:rsidRPr="00F00843">
        <w:rPr>
          <w:i/>
          <w:iCs/>
          <w:lang w:val="es-ES"/>
        </w:rPr>
        <w:t>Solicita</w:t>
      </w:r>
      <w:r w:rsidRPr="00F00843">
        <w:rPr>
          <w:lang w:val="es-ES"/>
        </w:rPr>
        <w:t xml:space="preserve"> al Comité que examine posibles medidas para hacer frente al incumplimiento reiterado por parte de </w:t>
      </w:r>
      <w:proofErr w:type="spellStart"/>
      <w:r w:rsidRPr="00F00843">
        <w:rPr>
          <w:lang w:val="es-ES"/>
        </w:rPr>
        <w:t>Papua</w:t>
      </w:r>
      <w:proofErr w:type="spellEnd"/>
      <w:r w:rsidRPr="00F00843">
        <w:rPr>
          <w:lang w:val="es-ES"/>
        </w:rPr>
        <w:t xml:space="preserve"> Nueva Guinea de su obligación de presentar informes y que formule una recomendación al respecto a la </w:t>
      </w:r>
      <w:r w:rsidR="00197F7B" w:rsidRPr="00F00843">
        <w:rPr>
          <w:lang w:val="es-ES"/>
        </w:rPr>
        <w:t>Conferencia de las Partes que actúa como reunión</w:t>
      </w:r>
      <w:r w:rsidRPr="00F00843">
        <w:rPr>
          <w:lang w:val="es-ES"/>
        </w:rPr>
        <w:t xml:space="preserve"> de las Partes en el Protocolo de Cartagena, para que la examine en su </w:t>
      </w:r>
      <w:r w:rsidR="00CE1636" w:rsidRPr="00F00843">
        <w:rPr>
          <w:lang w:val="es-ES"/>
        </w:rPr>
        <w:t>13ª</w:t>
      </w:r>
      <w:r w:rsidRPr="00F00843">
        <w:rPr>
          <w:lang w:val="es-ES"/>
        </w:rPr>
        <w:t xml:space="preserve"> reunión;</w:t>
      </w:r>
    </w:p>
    <w:p w14:paraId="5973F7E8" w14:textId="6CAF19AA" w:rsidR="007F4686" w:rsidRPr="00F00843" w:rsidRDefault="00E55728" w:rsidP="00D12392">
      <w:pPr>
        <w:pStyle w:val="CBDDesicionText"/>
        <w:numPr>
          <w:ilvl w:val="0"/>
          <w:numId w:val="7"/>
        </w:numPr>
        <w:tabs>
          <w:tab w:val="clear" w:pos="567"/>
          <w:tab w:val="clear" w:pos="1134"/>
          <w:tab w:val="clear" w:pos="1701"/>
          <w:tab w:val="clear" w:pos="2268"/>
          <w:tab w:val="left" w:pos="630"/>
          <w:tab w:val="left" w:pos="1800"/>
        </w:tabs>
        <w:ind w:left="810" w:firstLine="180"/>
        <w:rPr>
          <w:lang w:val="es-ES"/>
        </w:rPr>
      </w:pPr>
      <w:r w:rsidRPr="00F00843">
        <w:rPr>
          <w:i/>
          <w:iCs/>
          <w:lang w:val="es-ES"/>
        </w:rPr>
        <w:t>Alienta</w:t>
      </w:r>
      <w:r w:rsidRPr="00F00843">
        <w:rPr>
          <w:lang w:val="es-ES"/>
        </w:rPr>
        <w:t xml:space="preserve"> a las Partes que tengan dificultades para cumplir una o varias obligaciones </w:t>
      </w:r>
      <w:r w:rsidR="0064797A" w:rsidRPr="00F00843">
        <w:rPr>
          <w:lang w:val="es-ES"/>
        </w:rPr>
        <w:t xml:space="preserve">con arreglo al </w:t>
      </w:r>
      <w:r w:rsidRPr="00F00843">
        <w:rPr>
          <w:lang w:val="es-ES"/>
        </w:rPr>
        <w:t xml:space="preserve">Protocolo de Cartagena a que soliciten asistencia al Comité de Cumplimiento </w:t>
      </w:r>
      <w:r w:rsidR="0064797A" w:rsidRPr="00F00843">
        <w:rPr>
          <w:lang w:val="es-ES"/>
        </w:rPr>
        <w:t xml:space="preserve">establecido en virtud </w:t>
      </w:r>
      <w:r w:rsidRPr="00F00843">
        <w:rPr>
          <w:lang w:val="es-ES"/>
        </w:rPr>
        <w:t>del Protocolo o a la Secretaría del Convenio sobre la Diversidad Biológica</w:t>
      </w:r>
      <w:r w:rsidRPr="00F00843">
        <w:rPr>
          <w:rStyle w:val="FootnoteReference"/>
          <w:lang w:val="es-ES"/>
        </w:rPr>
        <w:footnoteReference w:id="7"/>
      </w:r>
      <w:r w:rsidRPr="00F00843">
        <w:rPr>
          <w:lang w:val="es-ES"/>
        </w:rPr>
        <w:t>.</w:t>
      </w:r>
    </w:p>
    <w:p w14:paraId="5FD98802" w14:textId="52463967" w:rsidR="00A47CC6" w:rsidRPr="00F00843" w:rsidRDefault="001643AF">
      <w:pPr>
        <w:pStyle w:val="CBDH1"/>
        <w:rPr>
          <w:lang w:val="es-ES"/>
        </w:rPr>
      </w:pPr>
      <w:r w:rsidRPr="00F00843">
        <w:rPr>
          <w:lang w:val="es-ES"/>
        </w:rPr>
        <w:t>II.</w:t>
      </w:r>
      <w:r w:rsidRPr="00F00843">
        <w:rPr>
          <w:lang w:val="es-ES"/>
        </w:rPr>
        <w:tab/>
      </w:r>
      <w:r w:rsidR="008E52F1" w:rsidRPr="00F00843">
        <w:rPr>
          <w:lang w:val="es-ES"/>
        </w:rPr>
        <w:t>Funcionamiento y actividades del Centro de Intercambio de Información sobre Bioseguridad</w:t>
      </w:r>
    </w:p>
    <w:p w14:paraId="37B1880F" w14:textId="46C21E87" w:rsidR="00A47CC6" w:rsidRPr="00F00843" w:rsidRDefault="001643AF">
      <w:pPr>
        <w:pStyle w:val="CBDRecommendText"/>
        <w:tabs>
          <w:tab w:val="clear" w:pos="567"/>
        </w:tabs>
        <w:rPr>
          <w:lang w:val="es-ES"/>
        </w:rPr>
      </w:pPr>
      <w:r w:rsidRPr="00F00843">
        <w:rPr>
          <w:lang w:val="es-ES" w:bidi="ar-SY"/>
        </w:rPr>
        <w:t>2.</w:t>
      </w:r>
      <w:r w:rsidRPr="00F00843">
        <w:rPr>
          <w:lang w:val="es-ES" w:bidi="ar-SY"/>
        </w:rPr>
        <w:tab/>
      </w:r>
      <w:r w:rsidR="00B64D1E" w:rsidRPr="00F00843">
        <w:rPr>
          <w:lang w:val="es-ES"/>
        </w:rPr>
        <w:t xml:space="preserve">El Comité de Cumplimiento recomienda que, en su </w:t>
      </w:r>
      <w:r w:rsidR="00CE1636" w:rsidRPr="00F00843">
        <w:rPr>
          <w:lang w:val="es-ES"/>
        </w:rPr>
        <w:t>12ª reunión</w:t>
      </w:r>
      <w:r w:rsidR="00B64D1E" w:rsidRPr="00F00843">
        <w:rPr>
          <w:lang w:val="es-ES"/>
        </w:rPr>
        <w:t xml:space="preserve">, la </w:t>
      </w:r>
      <w:r w:rsidR="00197F7B" w:rsidRPr="00F00843">
        <w:rPr>
          <w:lang w:val="es-ES"/>
        </w:rPr>
        <w:t>Conferencia de las Partes que actúa como reunión</w:t>
      </w:r>
      <w:r w:rsidR="00B64D1E" w:rsidRPr="00F00843">
        <w:rPr>
          <w:lang w:val="es-ES"/>
        </w:rPr>
        <w:t xml:space="preserve"> de las Partes en el Protocolo adopte una decisión que incluya los siguientes elementos:</w:t>
      </w:r>
    </w:p>
    <w:p w14:paraId="785AAD2F" w14:textId="433FB968" w:rsidR="00A47CC6" w:rsidRPr="00F00843" w:rsidRDefault="00B64D1E">
      <w:pPr>
        <w:pStyle w:val="CBDRecommendText"/>
        <w:ind w:left="576" w:firstLine="603"/>
        <w:rPr>
          <w:i/>
          <w:iCs/>
          <w:lang w:val="es-ES" w:bidi="ar-SY"/>
        </w:rPr>
      </w:pPr>
      <w:r w:rsidRPr="00F00843">
        <w:rPr>
          <w:i/>
          <w:iCs/>
          <w:lang w:val="es-ES" w:bidi="ar-SY"/>
        </w:rPr>
        <w:t>La Conferencia de las Partes que actúa como reunión de las Partes en el Protocolo de Cartagena</w:t>
      </w:r>
    </w:p>
    <w:p w14:paraId="698328D3" w14:textId="5E4FC1A2" w:rsidR="00B64D1E" w:rsidRPr="00F00843" w:rsidRDefault="00B64D1E" w:rsidP="00B64D1E">
      <w:pPr>
        <w:pStyle w:val="CBDDesicionText"/>
        <w:numPr>
          <w:ilvl w:val="0"/>
          <w:numId w:val="8"/>
        </w:numPr>
        <w:tabs>
          <w:tab w:val="clear" w:pos="567"/>
          <w:tab w:val="clear" w:pos="1134"/>
          <w:tab w:val="clear" w:pos="1701"/>
          <w:tab w:val="clear" w:pos="2268"/>
          <w:tab w:val="left" w:pos="630"/>
          <w:tab w:val="left" w:pos="1800"/>
        </w:tabs>
        <w:ind w:left="567" w:firstLine="567"/>
        <w:rPr>
          <w:i/>
          <w:iCs/>
          <w:lang w:val="es-ES"/>
        </w:rPr>
      </w:pPr>
      <w:bookmarkStart w:id="1" w:name="_Hlk238544526"/>
      <w:r w:rsidRPr="00F00843">
        <w:rPr>
          <w:i/>
          <w:iCs/>
          <w:lang w:val="es-ES"/>
        </w:rPr>
        <w:t>Acoge con satisfacción</w:t>
      </w:r>
      <w:r w:rsidRPr="00F00843">
        <w:rPr>
          <w:lang w:val="es-ES"/>
        </w:rPr>
        <w:t xml:space="preserve"> l</w:t>
      </w:r>
      <w:r w:rsidR="0052328B" w:rsidRPr="00F00843">
        <w:rPr>
          <w:lang w:val="es-ES"/>
        </w:rPr>
        <w:t xml:space="preserve">as gestiones </w:t>
      </w:r>
      <w:r w:rsidRPr="00F00843">
        <w:rPr>
          <w:lang w:val="es-ES"/>
        </w:rPr>
        <w:t>que están realizando las Partes para mantener información precisa y completa en el Centro de Intercambio de Información sobre Seguridad de la Biotecnología;</w:t>
      </w:r>
    </w:p>
    <w:p w14:paraId="4BCB2BD0" w14:textId="0AD215FA" w:rsidR="00B64D1E" w:rsidRPr="00F00843" w:rsidRDefault="00B64D1E" w:rsidP="000D18B1">
      <w:pPr>
        <w:pStyle w:val="CBDDesicionText"/>
        <w:numPr>
          <w:ilvl w:val="0"/>
          <w:numId w:val="8"/>
        </w:numPr>
        <w:tabs>
          <w:tab w:val="clear" w:pos="567"/>
          <w:tab w:val="clear" w:pos="1134"/>
          <w:tab w:val="clear" w:pos="1701"/>
          <w:tab w:val="clear" w:pos="2268"/>
          <w:tab w:val="left" w:pos="630"/>
          <w:tab w:val="left" w:pos="1800"/>
        </w:tabs>
        <w:ind w:left="567" w:firstLine="567"/>
        <w:rPr>
          <w:i/>
          <w:iCs/>
          <w:lang w:val="es-ES"/>
        </w:rPr>
      </w:pPr>
      <w:r w:rsidRPr="00F00843">
        <w:rPr>
          <w:i/>
          <w:iCs/>
          <w:lang w:val="es-ES"/>
        </w:rPr>
        <w:t>Recuerda</w:t>
      </w:r>
      <w:r w:rsidRPr="00F00843">
        <w:rPr>
          <w:lang w:val="es-ES"/>
        </w:rPr>
        <w:t xml:space="preserve"> a las Partes su obligación de publicar las decisiones definitivas adoptadas en relación con la importación o la liberación de organismos vivos modificados y los resúmenes correspondientes de las evaluaciones de riesgo a través del Centro de Intercambio de Información sobre Seguridad de la Biotecnología, de conformidad con el artículo 20 del Protocolo de Cartagena sobre Seguridad de la Biotecnología</w:t>
      </w:r>
      <w:r w:rsidR="000D18B1" w:rsidRPr="00F00843">
        <w:rPr>
          <w:rStyle w:val="FootnoteReference"/>
          <w:bCs/>
          <w:lang w:val="es-ES"/>
        </w:rPr>
        <w:footnoteReference w:id="8"/>
      </w:r>
      <w:r w:rsidRPr="00F00843">
        <w:rPr>
          <w:lang w:val="es-ES"/>
        </w:rPr>
        <w:t>.</w:t>
      </w:r>
      <w:bookmarkEnd w:id="1"/>
    </w:p>
    <w:p w14:paraId="51ADF07A" w14:textId="49B70CEF" w:rsidR="00A47CC6" w:rsidRPr="00F00843" w:rsidRDefault="001643AF">
      <w:pPr>
        <w:pStyle w:val="CBDH1"/>
        <w:rPr>
          <w:lang w:val="es-ES"/>
        </w:rPr>
      </w:pPr>
      <w:r w:rsidRPr="00F00843">
        <w:rPr>
          <w:lang w:val="es-ES"/>
        </w:rPr>
        <w:t>III.</w:t>
      </w:r>
      <w:r w:rsidRPr="00F00843">
        <w:rPr>
          <w:lang w:val="es-ES"/>
        </w:rPr>
        <w:tab/>
      </w:r>
      <w:r w:rsidR="00B64D1E" w:rsidRPr="00F00843">
        <w:rPr>
          <w:lang w:val="es-ES"/>
        </w:rPr>
        <w:t>Seguimiento y presentación de informes</w:t>
      </w:r>
    </w:p>
    <w:p w14:paraId="2B82D345" w14:textId="202D7C9A" w:rsidR="00A47CC6" w:rsidRPr="00F00843" w:rsidRDefault="001643AF" w:rsidP="004658AA">
      <w:pPr>
        <w:pStyle w:val="CBDRecommendText"/>
        <w:tabs>
          <w:tab w:val="clear" w:pos="567"/>
        </w:tabs>
        <w:ind w:left="540"/>
        <w:rPr>
          <w:lang w:val="es-ES"/>
        </w:rPr>
      </w:pPr>
      <w:r w:rsidRPr="00F00843">
        <w:rPr>
          <w:lang w:val="es-ES" w:bidi="ar-SY"/>
        </w:rPr>
        <w:t>3.</w:t>
      </w:r>
      <w:r w:rsidRPr="00F00843">
        <w:rPr>
          <w:lang w:val="es-ES" w:bidi="ar-SY"/>
        </w:rPr>
        <w:tab/>
      </w:r>
      <w:r w:rsidR="008E52F1" w:rsidRPr="00F00843">
        <w:rPr>
          <w:lang w:val="es-ES"/>
        </w:rPr>
        <w:t xml:space="preserve">El Comité de Cumplimiento recomienda que, en su </w:t>
      </w:r>
      <w:r w:rsidR="00CE1636" w:rsidRPr="00F00843">
        <w:rPr>
          <w:lang w:val="es-ES"/>
        </w:rPr>
        <w:t>12ª reunión</w:t>
      </w:r>
      <w:r w:rsidR="008E52F1" w:rsidRPr="00F00843">
        <w:rPr>
          <w:lang w:val="es-ES"/>
        </w:rPr>
        <w:t xml:space="preserve">, la </w:t>
      </w:r>
      <w:r w:rsidR="00197F7B" w:rsidRPr="00F00843">
        <w:rPr>
          <w:lang w:val="es-ES"/>
        </w:rPr>
        <w:t>Conferencia de las Partes que actúa como reunión</w:t>
      </w:r>
      <w:r w:rsidR="008E52F1" w:rsidRPr="00F00843">
        <w:rPr>
          <w:lang w:val="es-ES"/>
        </w:rPr>
        <w:t xml:space="preserve"> de las Partes en el Protocolo adopte una decisión que incluya los siguientes elementos:</w:t>
      </w:r>
    </w:p>
    <w:p w14:paraId="31D2DC9E" w14:textId="2CC8CC76" w:rsidR="00A47CC6" w:rsidRPr="00F00843" w:rsidRDefault="001C5EF9">
      <w:pPr>
        <w:pStyle w:val="CBDRecommendText"/>
        <w:rPr>
          <w:bCs/>
          <w:i/>
          <w:iCs/>
          <w:lang w:val="es-ES"/>
        </w:rPr>
      </w:pPr>
      <w:r w:rsidRPr="00F00843">
        <w:rPr>
          <w:i/>
          <w:iCs/>
          <w:lang w:val="es-ES" w:bidi="ar-SY"/>
        </w:rPr>
        <w:tab/>
      </w:r>
      <w:r w:rsidR="008E52F1" w:rsidRPr="00F00843">
        <w:rPr>
          <w:i/>
          <w:iCs/>
          <w:lang w:val="es-ES" w:bidi="ar-SY"/>
        </w:rPr>
        <w:t>La Conferencia de las Partes que actúa como reunión de las Partes en el Protocolo de Cartagena</w:t>
      </w:r>
    </w:p>
    <w:p w14:paraId="4ED3F95B" w14:textId="7B313BD2" w:rsidR="008E52F1" w:rsidRPr="00F00843" w:rsidRDefault="008E52F1" w:rsidP="008E52F1">
      <w:pPr>
        <w:pStyle w:val="CBDDesicionText"/>
        <w:numPr>
          <w:ilvl w:val="0"/>
          <w:numId w:val="9"/>
        </w:numPr>
        <w:tabs>
          <w:tab w:val="clear" w:pos="567"/>
          <w:tab w:val="clear" w:pos="1134"/>
          <w:tab w:val="clear" w:pos="1701"/>
          <w:tab w:val="clear" w:pos="2268"/>
          <w:tab w:val="left" w:pos="630"/>
          <w:tab w:val="left" w:pos="1800"/>
        </w:tabs>
        <w:ind w:left="540" w:firstLine="630"/>
        <w:rPr>
          <w:lang w:val="es-ES"/>
        </w:rPr>
      </w:pPr>
      <w:r w:rsidRPr="00F00843">
        <w:rPr>
          <w:i/>
          <w:iCs/>
          <w:lang w:val="es-ES"/>
        </w:rPr>
        <w:t>Acoge con satisfacción</w:t>
      </w:r>
      <w:r w:rsidRPr="00F00843">
        <w:rPr>
          <w:lang w:val="es-ES"/>
        </w:rPr>
        <w:t xml:space="preserve"> el hecho de que más de dos tercios de las Partes hayan presentado sus quintos informes nacionales sobre la aplicación del Protocolo de Cartagena sobre Seguridad de la Biotecnología</w:t>
      </w:r>
      <w:r w:rsidRPr="00F00843">
        <w:rPr>
          <w:rStyle w:val="FootnoteReference"/>
          <w:lang w:val="es-ES"/>
        </w:rPr>
        <w:footnoteReference w:id="9"/>
      </w:r>
      <w:r w:rsidRPr="00F00843">
        <w:rPr>
          <w:lang w:val="es-ES"/>
        </w:rPr>
        <w:t xml:space="preserve"> antes del</w:t>
      </w:r>
      <w:r w:rsidR="00372917" w:rsidRPr="00F00843">
        <w:rPr>
          <w:lang w:val="es-ES"/>
        </w:rPr>
        <w:t xml:space="preserve"> vencimiento del</w:t>
      </w:r>
      <w:r w:rsidRPr="00F00843">
        <w:rPr>
          <w:lang w:val="es-ES"/>
        </w:rPr>
        <w:t xml:space="preserve"> plazo de presentación;</w:t>
      </w:r>
    </w:p>
    <w:p w14:paraId="6A72FA78" w14:textId="3AD0C9FA" w:rsidR="008E52F1" w:rsidRPr="00F00843" w:rsidRDefault="008E52F1" w:rsidP="008E52F1">
      <w:pPr>
        <w:pStyle w:val="CBDDesicionText"/>
        <w:numPr>
          <w:ilvl w:val="0"/>
          <w:numId w:val="9"/>
        </w:numPr>
        <w:tabs>
          <w:tab w:val="clear" w:pos="567"/>
          <w:tab w:val="clear" w:pos="1134"/>
          <w:tab w:val="clear" w:pos="1701"/>
          <w:tab w:val="clear" w:pos="2268"/>
          <w:tab w:val="left" w:pos="630"/>
          <w:tab w:val="left" w:pos="1800"/>
        </w:tabs>
        <w:ind w:left="540" w:firstLine="630"/>
        <w:rPr>
          <w:lang w:val="es-ES"/>
        </w:rPr>
      </w:pPr>
      <w:r w:rsidRPr="00F00843">
        <w:rPr>
          <w:i/>
          <w:iCs/>
          <w:lang w:val="es-ES"/>
        </w:rPr>
        <w:t>Recuerda</w:t>
      </w:r>
      <w:r w:rsidRPr="00F00843">
        <w:rPr>
          <w:lang w:val="es-ES"/>
        </w:rPr>
        <w:t xml:space="preserve"> a las Partes que aún no hayan presentado sus quintos informes nacionales que lo hagan lo antes posible a través del Centro de Intercambio de Información sobre Seguridad de la Biotecnología;</w:t>
      </w:r>
    </w:p>
    <w:p w14:paraId="5613737B" w14:textId="7C381BE3" w:rsidR="008E52F1" w:rsidRPr="00F00843" w:rsidRDefault="008E52F1" w:rsidP="008E52F1">
      <w:pPr>
        <w:pStyle w:val="CBDDesicionText"/>
        <w:numPr>
          <w:ilvl w:val="0"/>
          <w:numId w:val="9"/>
        </w:numPr>
        <w:tabs>
          <w:tab w:val="clear" w:pos="567"/>
          <w:tab w:val="clear" w:pos="1134"/>
          <w:tab w:val="clear" w:pos="1701"/>
          <w:tab w:val="clear" w:pos="2268"/>
          <w:tab w:val="left" w:pos="630"/>
          <w:tab w:val="left" w:pos="1800"/>
        </w:tabs>
        <w:ind w:left="540" w:firstLine="630"/>
        <w:rPr>
          <w:lang w:val="es-ES"/>
        </w:rPr>
      </w:pPr>
      <w:r w:rsidRPr="00F00843">
        <w:rPr>
          <w:i/>
          <w:iCs/>
          <w:lang w:val="es-ES"/>
        </w:rPr>
        <w:t>Expresa</w:t>
      </w:r>
      <w:r w:rsidRPr="00F00843">
        <w:rPr>
          <w:lang w:val="es-ES"/>
        </w:rPr>
        <w:t xml:space="preserve"> su agradecimiento al Fondo para el Medio Ambiente Mundial y al Programa de las Naciones Unidas para el Medio Ambiente por el apoyo prestado a las Partes que reunían los requisitos para la preparación y presentación de sus quintos informes nacionales.</w:t>
      </w:r>
    </w:p>
    <w:p w14:paraId="674DAEAB" w14:textId="6FF8A9D0" w:rsidR="00A47CC6" w:rsidRPr="00F00843" w:rsidRDefault="001643AF">
      <w:pPr>
        <w:pStyle w:val="CBDH1"/>
        <w:rPr>
          <w:lang w:val="es-ES"/>
        </w:rPr>
      </w:pPr>
      <w:r w:rsidRPr="00F00843">
        <w:rPr>
          <w:lang w:val="es-ES"/>
        </w:rPr>
        <w:lastRenderedPageBreak/>
        <w:t>IV.</w:t>
      </w:r>
      <w:r w:rsidRPr="00F00843">
        <w:rPr>
          <w:lang w:val="es-ES"/>
        </w:rPr>
        <w:tab/>
      </w:r>
      <w:r w:rsidR="008E52F1" w:rsidRPr="00F00843">
        <w:rPr>
          <w:lang w:val="es-ES"/>
        </w:rPr>
        <w:t>Cuestiones relacionadas con el mecanismo financiero y los recursos</w:t>
      </w:r>
    </w:p>
    <w:p w14:paraId="7B0F635D" w14:textId="26E23A20" w:rsidR="00A47CC6" w:rsidRPr="00F00843" w:rsidRDefault="001643AF" w:rsidP="00F95C52">
      <w:pPr>
        <w:pStyle w:val="CBDRecommendText"/>
        <w:keepNext/>
        <w:tabs>
          <w:tab w:val="clear" w:pos="567"/>
        </w:tabs>
        <w:rPr>
          <w:lang w:val="es-ES"/>
        </w:rPr>
      </w:pPr>
      <w:r w:rsidRPr="00F00843">
        <w:rPr>
          <w:lang w:val="es-ES" w:bidi="ar-SY"/>
        </w:rPr>
        <w:t>4.</w:t>
      </w:r>
      <w:r w:rsidRPr="00F00843">
        <w:rPr>
          <w:lang w:val="es-ES" w:bidi="ar-SY"/>
        </w:rPr>
        <w:tab/>
      </w:r>
      <w:r w:rsidR="00B64D1E" w:rsidRPr="00F00843">
        <w:rPr>
          <w:lang w:val="es-ES"/>
        </w:rPr>
        <w:t xml:space="preserve">El Comité de Cumplimiento recomienda que, en su </w:t>
      </w:r>
      <w:r w:rsidR="00CE1636" w:rsidRPr="00F00843">
        <w:rPr>
          <w:lang w:val="es-ES"/>
        </w:rPr>
        <w:t>12ª reunión</w:t>
      </w:r>
      <w:r w:rsidR="00B64D1E" w:rsidRPr="00F00843">
        <w:rPr>
          <w:lang w:val="es-ES"/>
        </w:rPr>
        <w:t xml:space="preserve">, la </w:t>
      </w:r>
      <w:r w:rsidR="00197F7B" w:rsidRPr="00F00843">
        <w:rPr>
          <w:lang w:val="es-ES"/>
        </w:rPr>
        <w:t>Conferencia de las Partes que actúa como reunión</w:t>
      </w:r>
      <w:r w:rsidR="00B64D1E" w:rsidRPr="00F00843">
        <w:rPr>
          <w:lang w:val="es-ES"/>
        </w:rPr>
        <w:t xml:space="preserve"> de las Partes en el Protocolo adopte una decisión que incluya los siguientes elementos:</w:t>
      </w:r>
    </w:p>
    <w:p w14:paraId="5F2F52CF" w14:textId="16CD00CD" w:rsidR="004D6DF2" w:rsidRPr="00F00843" w:rsidRDefault="001C5EF9" w:rsidP="00F95C52">
      <w:pPr>
        <w:pStyle w:val="CBDRecommendText"/>
        <w:rPr>
          <w:bCs/>
          <w:i/>
          <w:iCs/>
          <w:lang w:val="es-ES"/>
        </w:rPr>
      </w:pPr>
      <w:r w:rsidRPr="00F00843">
        <w:rPr>
          <w:i/>
          <w:iCs/>
          <w:lang w:val="es-ES" w:bidi="ar-SY"/>
        </w:rPr>
        <w:tab/>
      </w:r>
      <w:r w:rsidR="00B64D1E" w:rsidRPr="00F00843">
        <w:rPr>
          <w:i/>
          <w:iCs/>
          <w:lang w:val="es-ES" w:bidi="ar-SY"/>
        </w:rPr>
        <w:t>La Conferencia de las Partes que actúa como reunión de las Partes en el Protocolo de Cartagena</w:t>
      </w:r>
    </w:p>
    <w:p w14:paraId="4CEBAF7A" w14:textId="682B17E2" w:rsidR="00B64D1E" w:rsidRPr="00F00843" w:rsidRDefault="006F463D" w:rsidP="00B64D1E">
      <w:pPr>
        <w:pStyle w:val="CBDRecommendText"/>
        <w:rPr>
          <w:lang w:val="es-ES"/>
        </w:rPr>
      </w:pPr>
      <w:r w:rsidRPr="00F00843">
        <w:rPr>
          <w:i/>
          <w:iCs/>
          <w:lang w:val="es-ES"/>
        </w:rPr>
        <w:tab/>
      </w:r>
      <w:r w:rsidR="00B64D1E" w:rsidRPr="00F00843">
        <w:rPr>
          <w:i/>
          <w:iCs/>
          <w:lang w:val="es-ES"/>
        </w:rPr>
        <w:t>Recomienda</w:t>
      </w:r>
      <w:r w:rsidR="00B64D1E" w:rsidRPr="00F00843">
        <w:rPr>
          <w:lang w:val="es-ES"/>
        </w:rPr>
        <w:t xml:space="preserve"> que, en su </w:t>
      </w:r>
      <w:r w:rsidR="00CE1636" w:rsidRPr="00F00843">
        <w:rPr>
          <w:lang w:val="es-ES"/>
        </w:rPr>
        <w:t>17ª</w:t>
      </w:r>
      <w:r w:rsidR="00B64D1E" w:rsidRPr="00F00843">
        <w:rPr>
          <w:lang w:val="es-ES"/>
        </w:rPr>
        <w:t xml:space="preserve"> reunión, la Conferencia de las Partes en el Convenio sobre la Diversidad Biológica</w:t>
      </w:r>
      <w:r w:rsidR="00B64D1E" w:rsidRPr="00F00843">
        <w:rPr>
          <w:rStyle w:val="FootnoteReference"/>
          <w:lang w:val="es-ES"/>
        </w:rPr>
        <w:footnoteReference w:id="10"/>
      </w:r>
      <w:r w:rsidR="00B64D1E" w:rsidRPr="00F00843">
        <w:rPr>
          <w:lang w:val="es-ES"/>
        </w:rPr>
        <w:t>, en sus orientaciones al mecanismo financiero, solicite al Fondo para el Medio Ambiente Mundial que facilite fondos de manera oportuna para apoyar a las Partes que reúnan los requisitos en la preparación y presentación de sus sextos informes nacionales sobre la aplicación del Protocolo de Cartagena sobre Seguridad de la Biotecnología</w:t>
      </w:r>
      <w:r w:rsidR="00B64D1E" w:rsidRPr="00F00843">
        <w:rPr>
          <w:rStyle w:val="FootnoteReference"/>
          <w:lang w:val="es-ES"/>
        </w:rPr>
        <w:footnoteReference w:id="11"/>
      </w:r>
      <w:r w:rsidR="00B64D1E" w:rsidRPr="00F00843">
        <w:rPr>
          <w:lang w:val="es-ES"/>
        </w:rPr>
        <w:t>.</w:t>
      </w:r>
    </w:p>
    <w:p w14:paraId="37439589" w14:textId="7B72C6F3" w:rsidR="00A47CC6" w:rsidRPr="00F00843" w:rsidRDefault="001643AF" w:rsidP="00F95C52">
      <w:pPr>
        <w:pStyle w:val="CBDRecommendText"/>
        <w:rPr>
          <w:lang w:val="es-ES"/>
        </w:rPr>
      </w:pPr>
      <w:r w:rsidRPr="00F00843">
        <w:rPr>
          <w:lang w:val="es-ES"/>
        </w:rPr>
        <w:br w:type="page"/>
      </w:r>
    </w:p>
    <w:p w14:paraId="2598BC0F" w14:textId="5D38C541" w:rsidR="00A47CC6" w:rsidRPr="00F00843" w:rsidRDefault="001643AF">
      <w:pPr>
        <w:pStyle w:val="CBDAnnex"/>
        <w:rPr>
          <w:lang w:val="es-ES"/>
        </w:rPr>
      </w:pPr>
      <w:r w:rsidRPr="00F00843">
        <w:rPr>
          <w:lang w:val="es-ES"/>
        </w:rPr>
        <w:lastRenderedPageBreak/>
        <w:t>Anex</w:t>
      </w:r>
      <w:r w:rsidR="00D225A2" w:rsidRPr="00F00843">
        <w:rPr>
          <w:lang w:val="es-ES"/>
        </w:rPr>
        <w:t>o</w:t>
      </w:r>
      <w:r w:rsidRPr="00F00843">
        <w:rPr>
          <w:lang w:val="es-ES"/>
        </w:rPr>
        <w:t xml:space="preserve"> II</w:t>
      </w:r>
    </w:p>
    <w:p w14:paraId="04244EF5" w14:textId="26B741B6" w:rsidR="00D225A2" w:rsidRPr="00F00843" w:rsidRDefault="00D225A2" w:rsidP="00D225A2">
      <w:pPr>
        <w:pStyle w:val="CBDTitle"/>
        <w:rPr>
          <w:snapToGrid w:val="0"/>
          <w:lang w:val="es-ES"/>
        </w:rPr>
      </w:pPr>
      <w:r w:rsidRPr="00F00843">
        <w:rPr>
          <w:lang w:val="es-ES" w:bidi="ar-SY"/>
        </w:rPr>
        <w:t xml:space="preserve">Contribución del Comité de Cumplimiento establecido en el marco del Protocolo de Cartagena a la quinta evaluación y revisión </w:t>
      </w:r>
      <w:r w:rsidRPr="00F00843">
        <w:rPr>
          <w:snapToGrid w:val="0"/>
          <w:lang w:val="es-ES"/>
        </w:rPr>
        <w:t>del Protocolo de Cartagena sobre Seguridad de la Biotecnología y evaluación a mitad de período del plan de aplicación y el plan de acción para la creación de capacidad para el Protocolo</w:t>
      </w:r>
    </w:p>
    <w:p w14:paraId="51CFE662" w14:textId="26FB1C3D" w:rsidR="00D225A2" w:rsidRPr="00F00843" w:rsidRDefault="00D225A2" w:rsidP="00D225A2">
      <w:pPr>
        <w:pStyle w:val="CBDNormalNoNumber"/>
        <w:rPr>
          <w:lang w:val="es-ES"/>
        </w:rPr>
      </w:pPr>
      <w:r w:rsidRPr="00F00843">
        <w:rPr>
          <w:lang w:val="es-ES"/>
        </w:rPr>
        <w:t>El Comité de Cumplimiento recomienda que, como su contribución a la quinta evaluación y revisión</w:t>
      </w:r>
      <w:r w:rsidRPr="00F00843">
        <w:rPr>
          <w:snapToGrid w:val="0"/>
          <w:lang w:val="es-ES"/>
        </w:rPr>
        <w:t xml:space="preserve"> del Protocolo de Cartagena sobre Seguridad de la Biotecnología </w:t>
      </w:r>
      <w:r w:rsidR="00CE0EBB" w:rsidRPr="00F00843">
        <w:rPr>
          <w:snapToGrid w:val="0"/>
          <w:lang w:val="es-ES"/>
        </w:rPr>
        <w:t>y</w:t>
      </w:r>
      <w:r w:rsidRPr="00F00843">
        <w:rPr>
          <w:snapToGrid w:val="0"/>
          <w:lang w:val="es-ES"/>
        </w:rPr>
        <w:t xml:space="preserve"> evaluación a mitad de período del plan de aplicación y el plan de acción para la creación de capacidad para el Protocolo</w:t>
      </w:r>
      <w:r w:rsidRPr="00F00843">
        <w:rPr>
          <w:lang w:val="es-ES"/>
        </w:rPr>
        <w:t>, el Órgano Subsidiario sobre la Aplicación, en su séptima reunión, considere los siguientes elementos para su recomendación de proyecto de decisión para ser considerado por la Conferencia de las Partes que actúa como reunión de las Partes en el Protocolo en su 12</w:t>
      </w:r>
      <w:r w:rsidRPr="00F00843">
        <w:rPr>
          <w:vertAlign w:val="superscript"/>
          <w:lang w:val="es-ES"/>
        </w:rPr>
        <w:t>a</w:t>
      </w:r>
      <w:r w:rsidRPr="00F00843">
        <w:rPr>
          <w:lang w:val="es-ES"/>
        </w:rPr>
        <w:t xml:space="preserve"> reunión: </w:t>
      </w:r>
    </w:p>
    <w:p w14:paraId="525C65E8" w14:textId="15E6D077" w:rsidR="00F95C52" w:rsidRPr="00F00843" w:rsidRDefault="00F95C52"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1.</w:t>
      </w:r>
      <w:r w:rsidRPr="00F00843">
        <w:rPr>
          <w:lang w:val="es-ES"/>
        </w:rPr>
        <w:tab/>
      </w:r>
      <w:r w:rsidR="007817FB" w:rsidRPr="00F00843">
        <w:rPr>
          <w:lang w:val="es-ES"/>
        </w:rPr>
        <w:t>Acoger con beneplácito los progresos de las Partes en el cumplimiento de sus obligaciones en el marco del Protocolo, particularmente aquellos relativos a la presentación de informes nacionales y la publicación de información del Centro de Intercambio de Información sobre Seguridad de la Biotecnología;</w:t>
      </w:r>
    </w:p>
    <w:p w14:paraId="21074F7A" w14:textId="248AAC09" w:rsidR="007817FB" w:rsidRPr="00F00843" w:rsidRDefault="00F95C52" w:rsidP="007817FB">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2.</w:t>
      </w:r>
      <w:r w:rsidRPr="00F00843">
        <w:rPr>
          <w:lang w:val="es-ES"/>
        </w:rPr>
        <w:tab/>
      </w:r>
      <w:r w:rsidR="007817FB" w:rsidRPr="00F00843">
        <w:rPr>
          <w:lang w:val="es-ES"/>
        </w:rPr>
        <w:t>Acoger con beneplácito también el alto grado de cumplimiento con la obligación de designar puntos focales nacionales;</w:t>
      </w:r>
    </w:p>
    <w:p w14:paraId="43F3BD63" w14:textId="1E27BA77" w:rsidR="007817FB" w:rsidRPr="00F00843" w:rsidRDefault="00F95C52" w:rsidP="007817FB">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3.</w:t>
      </w:r>
      <w:r w:rsidRPr="00F00843">
        <w:rPr>
          <w:lang w:val="es-ES"/>
        </w:rPr>
        <w:tab/>
      </w:r>
      <w:r w:rsidR="007817FB" w:rsidRPr="00F00843">
        <w:rPr>
          <w:lang w:val="es-ES"/>
        </w:rPr>
        <w:t>Observar con aprecio</w:t>
      </w:r>
      <w:r w:rsidR="007817FB" w:rsidRPr="00F00843">
        <w:rPr>
          <w:i/>
          <w:iCs/>
          <w:lang w:val="es-ES"/>
        </w:rPr>
        <w:t xml:space="preserve"> </w:t>
      </w:r>
      <w:r w:rsidR="007817FB" w:rsidRPr="00F00843">
        <w:rPr>
          <w:lang w:val="es-ES"/>
        </w:rPr>
        <w:t>los progresos de las Partes en la designación de autoridades nacionales competentes, pero expresar su preocupación sobre un pequeño número de Partes que aún no han designado a sus autoridades nacionales competentes, e instarlas a hacerlo tan pronto como sea posible;</w:t>
      </w:r>
    </w:p>
    <w:p w14:paraId="07AA439B" w14:textId="39884D38" w:rsidR="00F95C52" w:rsidRPr="00F00843" w:rsidRDefault="00F95C52"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4.</w:t>
      </w:r>
      <w:r w:rsidRPr="00F00843">
        <w:rPr>
          <w:lang w:val="es-ES"/>
        </w:rPr>
        <w:tab/>
      </w:r>
      <w:r w:rsidR="007817FB" w:rsidRPr="00F00843">
        <w:rPr>
          <w:lang w:val="es-ES"/>
        </w:rPr>
        <w:t>Acoger con beneplácito la función de apoyo del Comité de Cumplimiento, y reconocer la importancia de su seguimiento regular y progresivo con las Partes en relación con cuestiones de cumplimiento, las medidas de cumplimiento formales y los esfuerzos informales del Comité de Cumplimiento en apoyo al cumplimiento y el logro de la meta A.4 del plan de aplicación para el Protocolo de Cartagena sobre Seguridad de la Biotecnología;</w:t>
      </w:r>
    </w:p>
    <w:p w14:paraId="29F03BF2" w14:textId="14774A36" w:rsidR="00F95C52" w:rsidRPr="00F00843" w:rsidRDefault="00F95C52"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5.</w:t>
      </w:r>
      <w:r w:rsidRPr="00F00843">
        <w:rPr>
          <w:lang w:val="es-ES"/>
        </w:rPr>
        <w:tab/>
      </w:r>
      <w:r w:rsidR="007817FB" w:rsidRPr="00F00843">
        <w:rPr>
          <w:lang w:val="es-ES"/>
        </w:rPr>
        <w:t>Pedir a las Partes su plena cooperación al recibir comunicaciones del Comité de Cumplimiento;</w:t>
      </w:r>
    </w:p>
    <w:p w14:paraId="62CB1C6F" w14:textId="51C8989E" w:rsidR="007817FB" w:rsidRPr="00F00843" w:rsidRDefault="00F95C52" w:rsidP="007817FB">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6.</w:t>
      </w:r>
      <w:r w:rsidRPr="00F00843">
        <w:rPr>
          <w:lang w:val="es-ES"/>
        </w:rPr>
        <w:tab/>
      </w:r>
      <w:r w:rsidR="007817FB" w:rsidRPr="00F00843">
        <w:rPr>
          <w:lang w:val="es-ES"/>
        </w:rPr>
        <w:t>Expresar preocupación sobre varias Partes que no han tomado ninguna medida o solamente cuentan con proyectos de medidas o medidas provisionales para la aplicación del Protocolo de Cartagena;</w:t>
      </w:r>
    </w:p>
    <w:p w14:paraId="10C52498" w14:textId="02F7ACE6" w:rsidR="00F95C52" w:rsidRPr="00F00843" w:rsidRDefault="00F95C52"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7.</w:t>
      </w:r>
      <w:r w:rsidRPr="00F00843">
        <w:rPr>
          <w:lang w:val="es-ES"/>
        </w:rPr>
        <w:tab/>
      </w:r>
      <w:r w:rsidR="007817FB" w:rsidRPr="00F00843">
        <w:rPr>
          <w:lang w:val="es-ES"/>
        </w:rPr>
        <w:t>Pedir a las Partes que aún no lo han hecho en su totalidad que, con carácter prioritario, establezcan medidas legales, administrativas y otras para implementar sus obligaciones en virtud del Protocolo de Cartagena y que tomen medidas para garantizar la concienciación y voluntad política necesarias, reconociendo a su vez que las Partes se enfrentan a distintas dificultades que les impiden cumplir plenamente con las obligaciones derivadas del artículo 2 (1) del Protocolo;</w:t>
      </w:r>
    </w:p>
    <w:p w14:paraId="7619A399" w14:textId="36788610" w:rsidR="00F95C52" w:rsidRPr="00F00843" w:rsidRDefault="00F95C52"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8.</w:t>
      </w:r>
      <w:r w:rsidRPr="00F00843">
        <w:rPr>
          <w:lang w:val="es-ES"/>
        </w:rPr>
        <w:tab/>
      </w:r>
      <w:r w:rsidR="007817FB" w:rsidRPr="00F00843">
        <w:rPr>
          <w:lang w:val="es-ES"/>
        </w:rPr>
        <w:t>Instar a las Partes que aún no lo han hecho en su totalidad a poner toda la información necesaria a disposición del Centro de Intercambio de Información sobre Seguridad de la Biotecnología y mantener sus registros actualizados, señalando en particular que la información sobre movimientos transfronterizos ilícitos e involuntarios informada en los quintos informes nacionales no ha sido intercambiada a través Centro de Intercambio de Información en muchas instancias;</w:t>
      </w:r>
    </w:p>
    <w:p w14:paraId="39B6A750" w14:textId="458A749D" w:rsidR="007817FB" w:rsidRPr="00F00843" w:rsidRDefault="00F95C52" w:rsidP="007817FB">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9.</w:t>
      </w:r>
      <w:r w:rsidRPr="00F00843">
        <w:rPr>
          <w:lang w:val="es-ES"/>
        </w:rPr>
        <w:tab/>
      </w:r>
      <w:r w:rsidR="007817FB" w:rsidRPr="00F00843">
        <w:rPr>
          <w:lang w:val="es-ES"/>
        </w:rPr>
        <w:t xml:space="preserve">Recomendar que la Conferencia de las Partes, al adoptar su orientación para el mecanismo financiero en relación con el apoyo para la aplicación del Protocolo de Cartagena, invite </w:t>
      </w:r>
      <w:r w:rsidR="007817FB" w:rsidRPr="00F00843">
        <w:rPr>
          <w:lang w:val="es-ES"/>
        </w:rPr>
        <w:lastRenderedPageBreak/>
        <w:t>al Fondo para el Medio Ambiente Mundial a poner a disposición de las Partes que cumplan con las condiciones necesarias fondos para: a) establecer medidas legales, administrativas y otras para la aplicación del Protocolo; y b) dar apoyo a las Partes que reúnan las condiciones necesarias para implementar planes de acción para el cumplimiento a fin de lograr el cumplimiento con el Protocolo;</w:t>
      </w:r>
    </w:p>
    <w:p w14:paraId="690E54BB" w14:textId="725C30DE" w:rsidR="00D225A2" w:rsidRPr="00F00843" w:rsidRDefault="007817FB" w:rsidP="00F95C52">
      <w:pPr>
        <w:pStyle w:val="CBDNormalNumber"/>
        <w:tabs>
          <w:tab w:val="clear" w:pos="567"/>
          <w:tab w:val="clear" w:pos="1134"/>
          <w:tab w:val="clear" w:pos="2268"/>
          <w:tab w:val="clear" w:pos="2835"/>
          <w:tab w:val="clear" w:pos="3402"/>
          <w:tab w:val="clear" w:pos="3969"/>
        </w:tabs>
        <w:ind w:left="567" w:firstLine="567"/>
        <w:rPr>
          <w:lang w:val="es-ES"/>
        </w:rPr>
      </w:pPr>
      <w:r w:rsidRPr="00F00843">
        <w:rPr>
          <w:lang w:val="es-ES"/>
        </w:rPr>
        <w:t>10.</w:t>
      </w:r>
      <w:r w:rsidRPr="00F00843">
        <w:rPr>
          <w:lang w:val="es-ES"/>
        </w:rPr>
        <w:tab/>
      </w:r>
      <w:r w:rsidR="00D225A2" w:rsidRPr="00F00843">
        <w:rPr>
          <w:lang w:val="es-ES"/>
        </w:rPr>
        <w:t>Acoger con beneplácito la contribución del Comité a la quinta evaluación y revisión del Protocolo de Cartagena y evaluación a mitad de período del plan de aplicación para el Protocolo, y pedir al Comité que continúe brindando su contribución a la sexta evaluación y revisión y la evaluación definitiva del plan de aplicación para el Protocolo.</w:t>
      </w:r>
    </w:p>
    <w:p w14:paraId="1C38818C" w14:textId="2CE34C0B" w:rsidR="00523E25" w:rsidRPr="00F00843" w:rsidRDefault="00523E25" w:rsidP="00F95C52">
      <w:pPr>
        <w:pStyle w:val="CBDNormalNumber"/>
        <w:tabs>
          <w:tab w:val="clear" w:pos="567"/>
          <w:tab w:val="clear" w:pos="1134"/>
          <w:tab w:val="clear" w:pos="1701"/>
          <w:tab w:val="clear" w:pos="2268"/>
          <w:tab w:val="clear" w:pos="2835"/>
          <w:tab w:val="clear" w:pos="3402"/>
          <w:tab w:val="clear" w:pos="3969"/>
          <w:tab w:val="left" w:pos="1710"/>
        </w:tabs>
        <w:ind w:left="1170"/>
        <w:jc w:val="center"/>
        <w:rPr>
          <w:lang w:val="es-ES"/>
        </w:rPr>
      </w:pPr>
      <w:r w:rsidRPr="00F00843">
        <w:rPr>
          <w:lang w:val="es-ES"/>
        </w:rPr>
        <w:t>__________</w:t>
      </w:r>
    </w:p>
    <w:sectPr w:rsidR="00523E25" w:rsidRPr="00F00843" w:rsidSect="00F95C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05396" w14:textId="77777777" w:rsidR="00D4718B" w:rsidRDefault="00D4718B">
      <w:r>
        <w:separator/>
      </w:r>
    </w:p>
  </w:endnote>
  <w:endnote w:type="continuationSeparator" w:id="0">
    <w:p w14:paraId="06D7E351" w14:textId="77777777" w:rsidR="00D4718B" w:rsidRDefault="00D47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AutoText"/>
      </w:docPartObj>
    </w:sdtPr>
    <w:sdtContent>
      <w:sdt>
        <w:sdtPr>
          <w:id w:val="-1705238520"/>
          <w:docPartObj>
            <w:docPartGallery w:val="AutoText"/>
          </w:docPartObj>
        </w:sdtPr>
        <w:sdtContent>
          <w:p w14:paraId="2A813EF4" w14:textId="4B143959" w:rsidR="00A47CC6" w:rsidRDefault="001643AF">
            <w:pPr>
              <w:pStyle w:val="Footer"/>
              <w:jc w:val="lef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2</w:t>
            </w:r>
            <w:r w:rsidRPr="00FC2A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AutoText"/>
      </w:docPartObj>
    </w:sdtPr>
    <w:sdtContent>
      <w:p w14:paraId="5DC69396" w14:textId="6DA1EBDA" w:rsidR="00A47CC6" w:rsidRDefault="001643AF" w:rsidP="00FC2AA1">
        <w:pPr>
          <w:pStyle w:val="Footer"/>
          <w:jc w:val="righ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3</w:t>
        </w:r>
        <w:r w:rsidRPr="00FC2A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D384" w14:textId="77777777" w:rsidR="00D4718B" w:rsidRDefault="00D4718B">
      <w:r>
        <w:separator/>
      </w:r>
    </w:p>
  </w:footnote>
  <w:footnote w:type="continuationSeparator" w:id="0">
    <w:p w14:paraId="6CB8815A" w14:textId="77777777" w:rsidR="00D4718B" w:rsidRDefault="00D4718B">
      <w:r>
        <w:continuationSeparator/>
      </w:r>
    </w:p>
  </w:footnote>
  <w:footnote w:id="1">
    <w:p w14:paraId="2847B4D4" w14:textId="110B6040" w:rsidR="008453C9" w:rsidRPr="0037507A" w:rsidRDefault="008453C9">
      <w:pPr>
        <w:pStyle w:val="FootnoteText"/>
        <w:rPr>
          <w:lang w:val="es-ES"/>
        </w:rPr>
      </w:pPr>
      <w:r w:rsidRPr="0037507A">
        <w:rPr>
          <w:rStyle w:val="FootnoteReference"/>
          <w:lang w:val="es-ES"/>
        </w:rPr>
        <w:t>*</w:t>
      </w:r>
      <w:r w:rsidRPr="0037507A">
        <w:rPr>
          <w:lang w:val="es-ES"/>
        </w:rPr>
        <w:t xml:space="preserve"> </w:t>
      </w:r>
      <w:r>
        <w:fldChar w:fldCharType="begin"/>
      </w:r>
      <w:r w:rsidRPr="00D12392">
        <w:rPr>
          <w:lang w:val="fr-CA"/>
        </w:rPr>
        <w:instrText>HYPERLINK "https://www.cbd.int/documents/CBD/CP/MOP/12/1"</w:instrText>
      </w:r>
      <w:r>
        <w:fldChar w:fldCharType="separate"/>
      </w:r>
      <w:r w:rsidRPr="0037507A">
        <w:rPr>
          <w:rStyle w:val="Hyperlink"/>
          <w:lang w:val="es-ES"/>
        </w:rPr>
        <w:t>CBD/CP/MOP/12/1</w:t>
      </w:r>
      <w:r>
        <w:fldChar w:fldCharType="end"/>
      </w:r>
      <w:r w:rsidRPr="0037507A">
        <w:rPr>
          <w:lang w:val="es-ES"/>
        </w:rPr>
        <w:t>.</w:t>
      </w:r>
    </w:p>
  </w:footnote>
  <w:footnote w:id="2">
    <w:p w14:paraId="5F7FB1E2" w14:textId="19344F51" w:rsidR="00B52DE1" w:rsidRPr="008320BF" w:rsidRDefault="00B52DE1" w:rsidP="00B52DE1">
      <w:pPr>
        <w:pStyle w:val="FootnoteText"/>
        <w:rPr>
          <w:lang w:val="es-ES"/>
        </w:rPr>
      </w:pPr>
      <w:r>
        <w:rPr>
          <w:rStyle w:val="FootnoteReference"/>
        </w:rPr>
        <w:footnoteRef/>
      </w:r>
      <w:r w:rsidRPr="008320BF">
        <w:rPr>
          <w:lang w:val="es-ES"/>
        </w:rPr>
        <w:t xml:space="preserve"> </w:t>
      </w:r>
      <w:hyperlink r:id="rId1" w:history="1">
        <w:r w:rsidRPr="008320BF">
          <w:rPr>
            <w:rStyle w:val="Hyperlink"/>
            <w:lang w:val="es-ES"/>
          </w:rPr>
          <w:t>CBD/CC/20/6</w:t>
        </w:r>
      </w:hyperlink>
      <w:r w:rsidRPr="008320BF">
        <w:rPr>
          <w:lang w:val="es-ES"/>
        </w:rPr>
        <w:t xml:space="preserve"> </w:t>
      </w:r>
      <w:r w:rsidR="008320BF" w:rsidRPr="008320BF">
        <w:rPr>
          <w:lang w:val="es-ES"/>
        </w:rPr>
        <w:t>y</w:t>
      </w:r>
      <w:r w:rsidRPr="008320BF">
        <w:rPr>
          <w:lang w:val="es-ES"/>
        </w:rPr>
        <w:t xml:space="preserve"> </w:t>
      </w:r>
      <w:hyperlink r:id="rId2" w:history="1">
        <w:r w:rsidRPr="008320BF">
          <w:rPr>
            <w:rStyle w:val="Hyperlink"/>
            <w:lang w:val="es-ES"/>
          </w:rPr>
          <w:t>CBD/CC/21/5</w:t>
        </w:r>
      </w:hyperlink>
      <w:r w:rsidRPr="008320BF">
        <w:rPr>
          <w:lang w:val="es-ES"/>
        </w:rPr>
        <w:t>, respectiv</w:t>
      </w:r>
      <w:r w:rsidR="008320BF" w:rsidRPr="008320BF">
        <w:rPr>
          <w:lang w:val="es-ES"/>
        </w:rPr>
        <w:t>a</w:t>
      </w:r>
      <w:r w:rsidR="008320BF">
        <w:rPr>
          <w:lang w:val="es-ES"/>
        </w:rPr>
        <w:t>mente</w:t>
      </w:r>
      <w:r w:rsidRPr="008320BF">
        <w:rPr>
          <w:lang w:val="es-ES"/>
        </w:rPr>
        <w:t xml:space="preserve">. </w:t>
      </w:r>
    </w:p>
  </w:footnote>
  <w:footnote w:id="3">
    <w:p w14:paraId="23BD9362" w14:textId="16A0D658" w:rsidR="00A47CC6" w:rsidRPr="00D94577" w:rsidRDefault="001643AF" w:rsidP="000F6DBE">
      <w:pPr>
        <w:pStyle w:val="FootnoteText"/>
        <w:rPr>
          <w:lang w:val="es-ES"/>
        </w:rPr>
      </w:pPr>
      <w:r>
        <w:rPr>
          <w:rStyle w:val="FootnoteReference"/>
        </w:rPr>
        <w:sym w:font="Symbol" w:char="F02A"/>
      </w:r>
      <w:r w:rsidRPr="00066D38">
        <w:rPr>
          <w:lang w:val="es-ES"/>
        </w:rPr>
        <w:t xml:space="preserve"> </w:t>
      </w:r>
      <w:r w:rsidR="00D94577" w:rsidRPr="00D94577">
        <w:rPr>
          <w:szCs w:val="18"/>
          <w:lang w:val="es-ES"/>
        </w:rPr>
        <w:t xml:space="preserve">De acuerdo con la práctica seguida en reuniones anteriores de la Conferencia de las Partes </w:t>
      </w:r>
      <w:r w:rsidR="00D94577">
        <w:rPr>
          <w:szCs w:val="18"/>
          <w:lang w:val="es-ES"/>
        </w:rPr>
        <w:t xml:space="preserve">que actúa como </w:t>
      </w:r>
      <w:r w:rsidR="00D94577" w:rsidRPr="00D94577">
        <w:rPr>
          <w:szCs w:val="18"/>
          <w:lang w:val="es-ES"/>
        </w:rPr>
        <w:t xml:space="preserve">reunión de las Partes en el Protocolo, las recomendaciones podrán asignarse a los </w:t>
      </w:r>
      <w:r w:rsidR="00066D38">
        <w:rPr>
          <w:szCs w:val="18"/>
          <w:lang w:val="es-ES"/>
        </w:rPr>
        <w:t xml:space="preserve">temas del programa </w:t>
      </w:r>
      <w:r w:rsidR="00D94577" w:rsidRPr="00D94577">
        <w:rPr>
          <w:szCs w:val="18"/>
          <w:lang w:val="es-ES"/>
        </w:rPr>
        <w:t>con los que guarden mayor relación.</w:t>
      </w:r>
    </w:p>
  </w:footnote>
  <w:footnote w:id="4">
    <w:p w14:paraId="4C6CBF42" w14:textId="77777777" w:rsidR="00F3243C" w:rsidRPr="00066D38" w:rsidRDefault="00F3243C" w:rsidP="00F3243C">
      <w:pPr>
        <w:pStyle w:val="FootnoteText"/>
        <w:rPr>
          <w:lang w:val="es-ES"/>
        </w:rPr>
      </w:pPr>
      <w:r>
        <w:rPr>
          <w:rStyle w:val="FootnoteReference"/>
        </w:rPr>
        <w:footnoteRef/>
      </w:r>
      <w:r w:rsidRPr="00066D38">
        <w:rPr>
          <w:lang w:val="es-ES"/>
        </w:rPr>
        <w:t xml:space="preserve"> </w:t>
      </w:r>
      <w:r w:rsidRPr="00DF38BB">
        <w:rPr>
          <w:i/>
          <w:iCs/>
          <w:lang w:val="es-ES"/>
        </w:rPr>
        <w:t>Serie de los Tratados</w:t>
      </w:r>
      <w:r w:rsidRPr="00DF38BB">
        <w:rPr>
          <w:lang w:val="es-ES"/>
        </w:rPr>
        <w:t xml:space="preserve"> de las Naciones Unidas</w:t>
      </w:r>
      <w:r w:rsidRPr="00066D38">
        <w:rPr>
          <w:lang w:val="es-ES"/>
        </w:rPr>
        <w:t xml:space="preserve">, vol. 2226, </w:t>
      </w:r>
      <w:r>
        <w:rPr>
          <w:lang w:val="es-ES"/>
        </w:rPr>
        <w:t>n.º</w:t>
      </w:r>
      <w:r w:rsidRPr="00066D38">
        <w:rPr>
          <w:lang w:val="es-ES"/>
        </w:rPr>
        <w:t xml:space="preserve"> 30619.</w:t>
      </w:r>
    </w:p>
  </w:footnote>
  <w:footnote w:id="5">
    <w:p w14:paraId="34D893E9" w14:textId="77777777" w:rsidR="00F3243C" w:rsidRPr="00066D38" w:rsidRDefault="00F3243C" w:rsidP="00F3243C">
      <w:pPr>
        <w:pStyle w:val="FootnoteText"/>
        <w:rPr>
          <w:lang w:val="es-ES"/>
        </w:rPr>
      </w:pPr>
      <w:r>
        <w:rPr>
          <w:rStyle w:val="FootnoteReference"/>
        </w:rPr>
        <w:footnoteRef/>
      </w:r>
      <w:r w:rsidRPr="00066D38">
        <w:rPr>
          <w:lang w:val="es-ES"/>
        </w:rPr>
        <w:t xml:space="preserve"> Anexo de la decisión </w:t>
      </w:r>
      <w:hyperlink r:id="rId3" w:history="1">
        <w:r w:rsidRPr="00066D38">
          <w:rPr>
            <w:rStyle w:val="Hyperlink"/>
            <w:lang w:val="es-ES"/>
          </w:rPr>
          <w:t>BS-I/3</w:t>
        </w:r>
      </w:hyperlink>
      <w:r w:rsidRPr="00066D38">
        <w:rPr>
          <w:lang w:val="es-ES"/>
        </w:rPr>
        <w:t>.</w:t>
      </w:r>
    </w:p>
  </w:footnote>
  <w:footnote w:id="6">
    <w:p w14:paraId="48EF20CD" w14:textId="77777777" w:rsidR="00F3243C" w:rsidRPr="00066D38" w:rsidRDefault="00F3243C" w:rsidP="00F3243C">
      <w:pPr>
        <w:pStyle w:val="FootnoteText"/>
        <w:rPr>
          <w:lang w:val="es-ES"/>
        </w:rPr>
      </w:pPr>
      <w:r>
        <w:rPr>
          <w:rStyle w:val="FootnoteReference"/>
        </w:rPr>
        <w:footnoteRef/>
      </w:r>
      <w:r w:rsidRPr="00066D38">
        <w:rPr>
          <w:lang w:val="es-ES"/>
        </w:rPr>
        <w:t xml:space="preserve"> Anexo de la decisión </w:t>
      </w:r>
      <w:r>
        <w:fldChar w:fldCharType="begin"/>
      </w:r>
      <w:r w:rsidRPr="00D12392">
        <w:rPr>
          <w:lang w:val="fr-CA"/>
        </w:rPr>
        <w:instrText>HYPERLINK "https://www.cbd.int/decisions/cop/?m=cop-15"</w:instrText>
      </w:r>
      <w:r>
        <w:fldChar w:fldCharType="separate"/>
      </w:r>
      <w:r w:rsidRPr="00066D38">
        <w:rPr>
          <w:rStyle w:val="Hyperlink"/>
          <w:lang w:val="es-ES"/>
        </w:rPr>
        <w:t>15/4</w:t>
      </w:r>
      <w:r>
        <w:fldChar w:fldCharType="end"/>
      </w:r>
      <w:r w:rsidRPr="00066D38">
        <w:rPr>
          <w:lang w:val="es-ES"/>
        </w:rPr>
        <w:t>.</w:t>
      </w:r>
    </w:p>
  </w:footnote>
  <w:footnote w:id="7">
    <w:p w14:paraId="55AA851D" w14:textId="77777777" w:rsidR="00E55728" w:rsidRPr="00066D38" w:rsidRDefault="00E55728" w:rsidP="00E55728">
      <w:pPr>
        <w:pStyle w:val="FootnoteText"/>
        <w:rPr>
          <w:lang w:val="es-ES"/>
        </w:rPr>
      </w:pPr>
      <w:r>
        <w:rPr>
          <w:rStyle w:val="FootnoteReference"/>
        </w:rPr>
        <w:footnoteRef/>
      </w:r>
      <w:r w:rsidRPr="00066D38">
        <w:rPr>
          <w:lang w:val="es-ES"/>
        </w:rPr>
        <w:t xml:space="preserve"> </w:t>
      </w:r>
      <w:r w:rsidRPr="00DF38BB">
        <w:rPr>
          <w:i/>
          <w:iCs/>
          <w:lang w:val="es-ES"/>
        </w:rPr>
        <w:t>Serie de los Tratados</w:t>
      </w:r>
      <w:r w:rsidRPr="00DF38BB">
        <w:rPr>
          <w:lang w:val="es-ES"/>
        </w:rPr>
        <w:t xml:space="preserve"> de las Naciones Unidas</w:t>
      </w:r>
      <w:r w:rsidRPr="00066D38">
        <w:rPr>
          <w:lang w:val="es-ES"/>
        </w:rPr>
        <w:t xml:space="preserve">, vol. 1760, </w:t>
      </w:r>
      <w:r>
        <w:rPr>
          <w:lang w:val="es-ES"/>
        </w:rPr>
        <w:t>n.º</w:t>
      </w:r>
      <w:r w:rsidRPr="00066D38">
        <w:rPr>
          <w:lang w:val="es-ES"/>
        </w:rPr>
        <w:t xml:space="preserve"> 30619.</w:t>
      </w:r>
    </w:p>
  </w:footnote>
  <w:footnote w:id="8">
    <w:p w14:paraId="7FFA9533" w14:textId="77777777" w:rsidR="000D18B1" w:rsidRPr="008E52F1" w:rsidRDefault="000D18B1" w:rsidP="000D18B1">
      <w:pPr>
        <w:pStyle w:val="FootnoteText"/>
      </w:pPr>
      <w:r>
        <w:rPr>
          <w:rStyle w:val="FootnoteReference"/>
        </w:rPr>
        <w:footnoteRef/>
      </w:r>
      <w:r w:rsidRPr="008E52F1">
        <w:t xml:space="preserve"> </w:t>
      </w:r>
      <w:r w:rsidRPr="008E52F1">
        <w:rPr>
          <w:i/>
          <w:iCs/>
        </w:rPr>
        <w:t>Ibid</w:t>
      </w:r>
      <w:r w:rsidRPr="008E52F1">
        <w:t xml:space="preserve">., vol. 2226, </w:t>
      </w:r>
      <w:proofErr w:type="gramStart"/>
      <w:r w:rsidRPr="008E52F1">
        <w:t>n.º</w:t>
      </w:r>
      <w:proofErr w:type="gramEnd"/>
      <w:r w:rsidRPr="008E52F1">
        <w:t xml:space="preserve"> 30619.</w:t>
      </w:r>
    </w:p>
  </w:footnote>
  <w:footnote w:id="9">
    <w:p w14:paraId="17F51C59" w14:textId="77777777" w:rsidR="008E52F1" w:rsidRPr="008E52F1" w:rsidRDefault="008E52F1" w:rsidP="008E52F1">
      <w:pPr>
        <w:pStyle w:val="FootnoteText"/>
      </w:pPr>
      <w:r>
        <w:rPr>
          <w:rStyle w:val="FootnoteReference"/>
        </w:rPr>
        <w:footnoteRef/>
      </w:r>
      <w:r w:rsidRPr="008E52F1">
        <w:t xml:space="preserve"> </w:t>
      </w:r>
      <w:r w:rsidRPr="008E52F1">
        <w:rPr>
          <w:i/>
          <w:iCs/>
        </w:rPr>
        <w:t>Ibid</w:t>
      </w:r>
      <w:r w:rsidRPr="008E52F1">
        <w:t>.</w:t>
      </w:r>
    </w:p>
  </w:footnote>
  <w:footnote w:id="10">
    <w:p w14:paraId="325E89AC" w14:textId="77777777" w:rsidR="00B64D1E" w:rsidRPr="008E52F1" w:rsidRDefault="00B64D1E" w:rsidP="00B64D1E">
      <w:pPr>
        <w:pStyle w:val="FootnoteText"/>
      </w:pPr>
      <w:r>
        <w:rPr>
          <w:rStyle w:val="FootnoteReference"/>
        </w:rPr>
        <w:footnoteRef/>
      </w:r>
      <w:r w:rsidRPr="008E52F1">
        <w:t xml:space="preserve"> </w:t>
      </w:r>
      <w:r w:rsidRPr="008E52F1">
        <w:rPr>
          <w:i/>
          <w:iCs/>
        </w:rPr>
        <w:t>Ibid</w:t>
      </w:r>
      <w:r w:rsidRPr="008E52F1">
        <w:t xml:space="preserve">., vol. 1760, </w:t>
      </w:r>
      <w:proofErr w:type="gramStart"/>
      <w:r w:rsidRPr="008E52F1">
        <w:t>n.º</w:t>
      </w:r>
      <w:proofErr w:type="gramEnd"/>
      <w:r w:rsidRPr="008E52F1">
        <w:t xml:space="preserve"> 30619</w:t>
      </w:r>
    </w:p>
  </w:footnote>
  <w:footnote w:id="11">
    <w:p w14:paraId="2BF94C2A" w14:textId="77777777" w:rsidR="00B64D1E" w:rsidRPr="00F95C52" w:rsidRDefault="00B64D1E" w:rsidP="00B64D1E">
      <w:pPr>
        <w:pStyle w:val="FootnoteText"/>
        <w:rPr>
          <w:lang w:val="en-CA"/>
        </w:rPr>
      </w:pPr>
      <w:r>
        <w:rPr>
          <w:rStyle w:val="FootnoteReference"/>
        </w:rPr>
        <w:footnoteRef/>
      </w:r>
      <w:r>
        <w:t xml:space="preserve"> </w:t>
      </w:r>
      <w:r w:rsidRPr="00066D38">
        <w:rPr>
          <w:i/>
          <w:iCs/>
        </w:rPr>
        <w:t>Ibid</w:t>
      </w:r>
      <w:r>
        <w:t xml:space="preserve">., </w:t>
      </w:r>
      <w:r w:rsidRPr="00C40C3B">
        <w:t xml:space="preserve">vol. 2226, </w:t>
      </w:r>
      <w:proofErr w:type="gramStart"/>
      <w:r w:rsidRPr="008E52F1">
        <w:t>n.º</w:t>
      </w:r>
      <w:proofErr w:type="gramEnd"/>
      <w:r w:rsidRPr="00C40C3B">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6DAC641C" w14:textId="77777777" w:rsidR="00A47CC6" w:rsidRDefault="001643AF" w:rsidP="00F95C52">
        <w:pPr>
          <w:pStyle w:val="ABSymbol"/>
          <w:pBdr>
            <w:bottom w:val="single" w:sz="4" w:space="1" w:color="auto"/>
          </w:pBdr>
          <w:tabs>
            <w:tab w:val="clear" w:pos="567"/>
          </w:tabs>
          <w:spacing w:after="240"/>
          <w:ind w:left="0"/>
          <w:jc w:val="left"/>
        </w:pPr>
        <w:r>
          <w:t>CBD/CP/MOP/12/3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Content>
      <w:p w14:paraId="780C8FA0" w14:textId="77777777" w:rsidR="00A47CC6" w:rsidRDefault="001643AF">
        <w:pPr>
          <w:pStyle w:val="Header"/>
          <w:spacing w:after="240"/>
          <w:jc w:val="right"/>
        </w:pPr>
        <w:r>
          <w:t>CBD/CP/MOP/12/3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3BC0" w14:textId="77777777" w:rsidR="00A47CC6" w:rsidRPr="00E64B29" w:rsidRDefault="00A47CC6" w:rsidP="00F95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3156"/>
    <w:multiLevelType w:val="hybridMultilevel"/>
    <w:tmpl w:val="F642F158"/>
    <w:lvl w:ilvl="0" w:tplc="81C83BFE">
      <w:start w:val="1"/>
      <w:numFmt w:val="upperRoman"/>
      <w:lvlText w:val="%1."/>
      <w:lvlJc w:val="righ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AD479C5"/>
    <w:multiLevelType w:val="multilevel"/>
    <w:tmpl w:val="FF9225CA"/>
    <w:lvl w:ilvl="0">
      <w:start w:val="1"/>
      <w:numFmt w:val="decimal"/>
      <w:lvlText w:val="%1."/>
      <w:lvlJc w:val="left"/>
      <w:pPr>
        <w:ind w:left="1260" w:hanging="360"/>
      </w:pPr>
      <w:rPr>
        <w:rFonts w:hint="default"/>
        <w:i w:val="0"/>
        <w:iCs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15:restartNumberingAfterBreak="0">
    <w:nsid w:val="3D7B6777"/>
    <w:multiLevelType w:val="multilevel"/>
    <w:tmpl w:val="3D7B6777"/>
    <w:lvl w:ilvl="0">
      <w:start w:val="1"/>
      <w:numFmt w:val="decimal"/>
      <w:lvlText w:val="%1."/>
      <w:lvlJc w:val="left"/>
      <w:pPr>
        <w:ind w:left="2376" w:hanging="360"/>
      </w:pPr>
      <w:rPr>
        <w:rFonts w:hint="default"/>
      </w:rPr>
    </w:lvl>
    <w:lvl w:ilvl="1">
      <w:start w:val="1"/>
      <w:numFmt w:val="lowerLetter"/>
      <w:lvlText w:val="%2."/>
      <w:lvlJc w:val="left"/>
      <w:pPr>
        <w:ind w:left="3096" w:hanging="360"/>
      </w:pPr>
    </w:lvl>
    <w:lvl w:ilvl="2">
      <w:start w:val="1"/>
      <w:numFmt w:val="lowerRoman"/>
      <w:lvlText w:val="%3."/>
      <w:lvlJc w:val="right"/>
      <w:pPr>
        <w:ind w:left="3816" w:hanging="180"/>
      </w:pPr>
    </w:lvl>
    <w:lvl w:ilvl="3">
      <w:start w:val="1"/>
      <w:numFmt w:val="decimal"/>
      <w:lvlText w:val="%4."/>
      <w:lvlJc w:val="left"/>
      <w:pPr>
        <w:ind w:left="4536" w:hanging="360"/>
      </w:pPr>
    </w:lvl>
    <w:lvl w:ilvl="4">
      <w:start w:val="1"/>
      <w:numFmt w:val="lowerLetter"/>
      <w:lvlText w:val="%5."/>
      <w:lvlJc w:val="left"/>
      <w:pPr>
        <w:ind w:left="5256" w:hanging="360"/>
      </w:pPr>
    </w:lvl>
    <w:lvl w:ilvl="5">
      <w:start w:val="1"/>
      <w:numFmt w:val="lowerRoman"/>
      <w:lvlText w:val="%6."/>
      <w:lvlJc w:val="right"/>
      <w:pPr>
        <w:ind w:left="5976" w:hanging="180"/>
      </w:pPr>
    </w:lvl>
    <w:lvl w:ilvl="6">
      <w:start w:val="1"/>
      <w:numFmt w:val="decimal"/>
      <w:lvlText w:val="%7."/>
      <w:lvlJc w:val="left"/>
      <w:pPr>
        <w:ind w:left="6696" w:hanging="360"/>
      </w:pPr>
    </w:lvl>
    <w:lvl w:ilvl="7">
      <w:start w:val="1"/>
      <w:numFmt w:val="lowerLetter"/>
      <w:lvlText w:val="%8."/>
      <w:lvlJc w:val="left"/>
      <w:pPr>
        <w:ind w:left="7416" w:hanging="360"/>
      </w:pPr>
    </w:lvl>
    <w:lvl w:ilvl="8">
      <w:start w:val="1"/>
      <w:numFmt w:val="lowerRoman"/>
      <w:lvlText w:val="%9."/>
      <w:lvlJc w:val="right"/>
      <w:pPr>
        <w:ind w:left="8136" w:hanging="180"/>
      </w:pPr>
    </w:lvl>
  </w:abstractNum>
  <w:abstractNum w:abstractNumId="4" w15:restartNumberingAfterBreak="0">
    <w:nsid w:val="48E4287B"/>
    <w:multiLevelType w:val="multilevel"/>
    <w:tmpl w:val="48E4287B"/>
    <w:lvl w:ilvl="0">
      <w:start w:val="1"/>
      <w:numFmt w:val="decimal"/>
      <w:lvlText w:val="%1."/>
      <w:lvlJc w:val="left"/>
      <w:pPr>
        <w:tabs>
          <w:tab w:val="left" w:pos="360"/>
        </w:tabs>
        <w:ind w:left="0" w:firstLine="0"/>
      </w:pPr>
    </w:lvl>
    <w:lvl w:ilvl="1">
      <w:start w:val="1"/>
      <w:numFmt w:val="lowerLetter"/>
      <w:lvlText w:val="(%2)"/>
      <w:lvlJc w:val="left"/>
      <w:pPr>
        <w:tabs>
          <w:tab w:val="left" w:pos="1440"/>
        </w:tabs>
        <w:ind w:left="0" w:firstLine="720"/>
      </w:pPr>
    </w:lvl>
    <w:lvl w:ilvl="2">
      <w:start w:val="1"/>
      <w:numFmt w:val="lowerRoman"/>
      <w:lvlText w:val="(%3)"/>
      <w:lvlJc w:val="right"/>
      <w:pPr>
        <w:tabs>
          <w:tab w:val="left" w:pos="1440"/>
        </w:tabs>
        <w:ind w:left="1440" w:hanging="360"/>
      </w:p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6FF7321D"/>
    <w:multiLevelType w:val="multilevel"/>
    <w:tmpl w:val="6FF7321D"/>
    <w:lvl w:ilvl="0">
      <w:start w:val="1"/>
      <w:numFmt w:val="upperRoman"/>
      <w:lvlText w:val="%1."/>
      <w:lvlJc w:val="right"/>
      <w:pPr>
        <w:tabs>
          <w:tab w:val="left"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2F11E3"/>
    <w:multiLevelType w:val="multilevel"/>
    <w:tmpl w:val="7B2F11E3"/>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557660969">
    <w:abstractNumId w:val="8"/>
  </w:num>
  <w:num w:numId="2" w16cid:durableId="2121952252">
    <w:abstractNumId w:val="10"/>
  </w:num>
  <w:num w:numId="3" w16cid:durableId="1505824335">
    <w:abstractNumId w:val="5"/>
  </w:num>
  <w:num w:numId="4" w16cid:durableId="183449055">
    <w:abstractNumId w:val="4"/>
  </w:num>
  <w:num w:numId="5" w16cid:durableId="382869635">
    <w:abstractNumId w:val="9"/>
  </w:num>
  <w:num w:numId="6" w16cid:durableId="775947356">
    <w:abstractNumId w:val="2"/>
  </w:num>
  <w:num w:numId="7" w16cid:durableId="1948272757">
    <w:abstractNumId w:val="6"/>
  </w:num>
  <w:num w:numId="8" w16cid:durableId="1269432760">
    <w:abstractNumId w:val="1"/>
  </w:num>
  <w:num w:numId="9" w16cid:durableId="1703247620">
    <w:abstractNumId w:val="7"/>
  </w:num>
  <w:num w:numId="10" w16cid:durableId="1380517621">
    <w:abstractNumId w:val="11"/>
  </w:num>
  <w:num w:numId="11" w16cid:durableId="344673580">
    <w:abstractNumId w:val="3"/>
  </w:num>
  <w:num w:numId="12" w16cid:durableId="207854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B7"/>
    <w:rsid w:val="00000318"/>
    <w:rsid w:val="0000051D"/>
    <w:rsid w:val="00000ED4"/>
    <w:rsid w:val="00001448"/>
    <w:rsid w:val="00001985"/>
    <w:rsid w:val="00004805"/>
    <w:rsid w:val="00005DA0"/>
    <w:rsid w:val="000064F9"/>
    <w:rsid w:val="000071A4"/>
    <w:rsid w:val="000071E9"/>
    <w:rsid w:val="00010486"/>
    <w:rsid w:val="00013020"/>
    <w:rsid w:val="00013784"/>
    <w:rsid w:val="000143CF"/>
    <w:rsid w:val="00016FDE"/>
    <w:rsid w:val="000200B2"/>
    <w:rsid w:val="00024CEC"/>
    <w:rsid w:val="00027A58"/>
    <w:rsid w:val="00027B34"/>
    <w:rsid w:val="00027F7E"/>
    <w:rsid w:val="000315F2"/>
    <w:rsid w:val="00031903"/>
    <w:rsid w:val="000326EB"/>
    <w:rsid w:val="00033809"/>
    <w:rsid w:val="00034FDA"/>
    <w:rsid w:val="00035139"/>
    <w:rsid w:val="000353F2"/>
    <w:rsid w:val="000355B4"/>
    <w:rsid w:val="00036482"/>
    <w:rsid w:val="00037E87"/>
    <w:rsid w:val="000401DA"/>
    <w:rsid w:val="000418CF"/>
    <w:rsid w:val="00042413"/>
    <w:rsid w:val="00042424"/>
    <w:rsid w:val="0004316D"/>
    <w:rsid w:val="00044D79"/>
    <w:rsid w:val="00044EE5"/>
    <w:rsid w:val="000453CC"/>
    <w:rsid w:val="00046413"/>
    <w:rsid w:val="000477C2"/>
    <w:rsid w:val="0005001F"/>
    <w:rsid w:val="00050917"/>
    <w:rsid w:val="0005095E"/>
    <w:rsid w:val="00051738"/>
    <w:rsid w:val="00054B5C"/>
    <w:rsid w:val="00055E0F"/>
    <w:rsid w:val="0005623D"/>
    <w:rsid w:val="00057253"/>
    <w:rsid w:val="00060687"/>
    <w:rsid w:val="00062833"/>
    <w:rsid w:val="00063162"/>
    <w:rsid w:val="00063AB5"/>
    <w:rsid w:val="00064AD2"/>
    <w:rsid w:val="00066972"/>
    <w:rsid w:val="00066D38"/>
    <w:rsid w:val="00070022"/>
    <w:rsid w:val="00070692"/>
    <w:rsid w:val="00070826"/>
    <w:rsid w:val="00070DD0"/>
    <w:rsid w:val="0007171B"/>
    <w:rsid w:val="00071E20"/>
    <w:rsid w:val="000724A0"/>
    <w:rsid w:val="000741FC"/>
    <w:rsid w:val="0007469A"/>
    <w:rsid w:val="00075129"/>
    <w:rsid w:val="000822A3"/>
    <w:rsid w:val="00085A80"/>
    <w:rsid w:val="00090361"/>
    <w:rsid w:val="000904A2"/>
    <w:rsid w:val="000929A1"/>
    <w:rsid w:val="00096B39"/>
    <w:rsid w:val="00096ED0"/>
    <w:rsid w:val="000976F1"/>
    <w:rsid w:val="000A0E1C"/>
    <w:rsid w:val="000A1673"/>
    <w:rsid w:val="000A2336"/>
    <w:rsid w:val="000A2F1B"/>
    <w:rsid w:val="000A4DF9"/>
    <w:rsid w:val="000A6EB4"/>
    <w:rsid w:val="000B0D80"/>
    <w:rsid w:val="000B1E48"/>
    <w:rsid w:val="000B3498"/>
    <w:rsid w:val="000B499B"/>
    <w:rsid w:val="000B5741"/>
    <w:rsid w:val="000B58EB"/>
    <w:rsid w:val="000B68D4"/>
    <w:rsid w:val="000B6E2D"/>
    <w:rsid w:val="000B6EB8"/>
    <w:rsid w:val="000B6F95"/>
    <w:rsid w:val="000B78F9"/>
    <w:rsid w:val="000B7C9A"/>
    <w:rsid w:val="000C042A"/>
    <w:rsid w:val="000C179D"/>
    <w:rsid w:val="000C22D7"/>
    <w:rsid w:val="000C2346"/>
    <w:rsid w:val="000C26A2"/>
    <w:rsid w:val="000C2AF4"/>
    <w:rsid w:val="000C5350"/>
    <w:rsid w:val="000C542B"/>
    <w:rsid w:val="000C54F2"/>
    <w:rsid w:val="000C5D78"/>
    <w:rsid w:val="000C616C"/>
    <w:rsid w:val="000C6BCF"/>
    <w:rsid w:val="000D02E2"/>
    <w:rsid w:val="000D0704"/>
    <w:rsid w:val="000D0E2D"/>
    <w:rsid w:val="000D0F68"/>
    <w:rsid w:val="000D18B1"/>
    <w:rsid w:val="000D241A"/>
    <w:rsid w:val="000D26E8"/>
    <w:rsid w:val="000D3367"/>
    <w:rsid w:val="000D4B94"/>
    <w:rsid w:val="000D5BD4"/>
    <w:rsid w:val="000D6E6D"/>
    <w:rsid w:val="000E0F24"/>
    <w:rsid w:val="000E3164"/>
    <w:rsid w:val="000E3184"/>
    <w:rsid w:val="000E45F2"/>
    <w:rsid w:val="000E673A"/>
    <w:rsid w:val="000F0AFF"/>
    <w:rsid w:val="000F13E4"/>
    <w:rsid w:val="000F1C92"/>
    <w:rsid w:val="000F2FBD"/>
    <w:rsid w:val="000F4412"/>
    <w:rsid w:val="000F51E6"/>
    <w:rsid w:val="000F6945"/>
    <w:rsid w:val="000F6DBE"/>
    <w:rsid w:val="000F74F5"/>
    <w:rsid w:val="000F78FC"/>
    <w:rsid w:val="00100EDC"/>
    <w:rsid w:val="001011B9"/>
    <w:rsid w:val="001026D6"/>
    <w:rsid w:val="00102895"/>
    <w:rsid w:val="00102A97"/>
    <w:rsid w:val="00105372"/>
    <w:rsid w:val="001054A6"/>
    <w:rsid w:val="00106B8D"/>
    <w:rsid w:val="00106D6B"/>
    <w:rsid w:val="00107033"/>
    <w:rsid w:val="001078A1"/>
    <w:rsid w:val="00110447"/>
    <w:rsid w:val="00110DBD"/>
    <w:rsid w:val="001117A3"/>
    <w:rsid w:val="0011185D"/>
    <w:rsid w:val="00111D9C"/>
    <w:rsid w:val="001122B2"/>
    <w:rsid w:val="001128CE"/>
    <w:rsid w:val="00113DE7"/>
    <w:rsid w:val="00113F4C"/>
    <w:rsid w:val="00114780"/>
    <w:rsid w:val="0011552D"/>
    <w:rsid w:val="00116766"/>
    <w:rsid w:val="00116987"/>
    <w:rsid w:val="00121654"/>
    <w:rsid w:val="00123437"/>
    <w:rsid w:val="0012352E"/>
    <w:rsid w:val="001235A1"/>
    <w:rsid w:val="001242DE"/>
    <w:rsid w:val="00124F24"/>
    <w:rsid w:val="00127904"/>
    <w:rsid w:val="001312AD"/>
    <w:rsid w:val="0013189D"/>
    <w:rsid w:val="00131E7A"/>
    <w:rsid w:val="001339AD"/>
    <w:rsid w:val="00133DF5"/>
    <w:rsid w:val="00134846"/>
    <w:rsid w:val="00134DF2"/>
    <w:rsid w:val="00135362"/>
    <w:rsid w:val="0013628D"/>
    <w:rsid w:val="001400DA"/>
    <w:rsid w:val="0014082C"/>
    <w:rsid w:val="00140E01"/>
    <w:rsid w:val="00141412"/>
    <w:rsid w:val="00141DCF"/>
    <w:rsid w:val="00142713"/>
    <w:rsid w:val="00143BEF"/>
    <w:rsid w:val="0014472A"/>
    <w:rsid w:val="00146372"/>
    <w:rsid w:val="00146681"/>
    <w:rsid w:val="00150EEE"/>
    <w:rsid w:val="0015326F"/>
    <w:rsid w:val="001542C3"/>
    <w:rsid w:val="001550B3"/>
    <w:rsid w:val="00155439"/>
    <w:rsid w:val="00156270"/>
    <w:rsid w:val="001575BC"/>
    <w:rsid w:val="00157ECE"/>
    <w:rsid w:val="00161C2D"/>
    <w:rsid w:val="0016350F"/>
    <w:rsid w:val="001643AF"/>
    <w:rsid w:val="001657BE"/>
    <w:rsid w:val="00165C93"/>
    <w:rsid w:val="001666B3"/>
    <w:rsid w:val="00170769"/>
    <w:rsid w:val="00172AF6"/>
    <w:rsid w:val="00173648"/>
    <w:rsid w:val="00173DD6"/>
    <w:rsid w:val="00174393"/>
    <w:rsid w:val="00174D0A"/>
    <w:rsid w:val="00175A66"/>
    <w:rsid w:val="0017602C"/>
    <w:rsid w:val="0017675C"/>
    <w:rsid w:val="00176CEE"/>
    <w:rsid w:val="00181FA1"/>
    <w:rsid w:val="0018251E"/>
    <w:rsid w:val="001828D9"/>
    <w:rsid w:val="001858FB"/>
    <w:rsid w:val="00185F0F"/>
    <w:rsid w:val="00186BAF"/>
    <w:rsid w:val="00186DD8"/>
    <w:rsid w:val="00187AB7"/>
    <w:rsid w:val="00191039"/>
    <w:rsid w:val="001928EA"/>
    <w:rsid w:val="001949DA"/>
    <w:rsid w:val="00195B08"/>
    <w:rsid w:val="00196C19"/>
    <w:rsid w:val="0019731D"/>
    <w:rsid w:val="00197341"/>
    <w:rsid w:val="001979AF"/>
    <w:rsid w:val="00197F7B"/>
    <w:rsid w:val="001A06B7"/>
    <w:rsid w:val="001A17CC"/>
    <w:rsid w:val="001A18A8"/>
    <w:rsid w:val="001A1EAE"/>
    <w:rsid w:val="001A28D9"/>
    <w:rsid w:val="001A29D5"/>
    <w:rsid w:val="001A35EC"/>
    <w:rsid w:val="001A3791"/>
    <w:rsid w:val="001A38CC"/>
    <w:rsid w:val="001A3BFA"/>
    <w:rsid w:val="001A4B67"/>
    <w:rsid w:val="001A4E7F"/>
    <w:rsid w:val="001A5324"/>
    <w:rsid w:val="001A5BB5"/>
    <w:rsid w:val="001A5FA7"/>
    <w:rsid w:val="001A6031"/>
    <w:rsid w:val="001A7A92"/>
    <w:rsid w:val="001B0602"/>
    <w:rsid w:val="001B0FE5"/>
    <w:rsid w:val="001B13AE"/>
    <w:rsid w:val="001B13FE"/>
    <w:rsid w:val="001B1CB3"/>
    <w:rsid w:val="001B2C7F"/>
    <w:rsid w:val="001B413B"/>
    <w:rsid w:val="001B43D5"/>
    <w:rsid w:val="001B45C4"/>
    <w:rsid w:val="001B53C0"/>
    <w:rsid w:val="001B6D7B"/>
    <w:rsid w:val="001B753D"/>
    <w:rsid w:val="001B78D5"/>
    <w:rsid w:val="001C0A3E"/>
    <w:rsid w:val="001C1B5F"/>
    <w:rsid w:val="001C2085"/>
    <w:rsid w:val="001C242F"/>
    <w:rsid w:val="001C2C0A"/>
    <w:rsid w:val="001C3613"/>
    <w:rsid w:val="001C3D23"/>
    <w:rsid w:val="001C441E"/>
    <w:rsid w:val="001C4474"/>
    <w:rsid w:val="001C4ABE"/>
    <w:rsid w:val="001C4BC4"/>
    <w:rsid w:val="001C5EF9"/>
    <w:rsid w:val="001C69CA"/>
    <w:rsid w:val="001C6F88"/>
    <w:rsid w:val="001C74CF"/>
    <w:rsid w:val="001C7B2A"/>
    <w:rsid w:val="001C7B62"/>
    <w:rsid w:val="001D16EF"/>
    <w:rsid w:val="001D27BC"/>
    <w:rsid w:val="001D3ECF"/>
    <w:rsid w:val="001E03C8"/>
    <w:rsid w:val="001E096D"/>
    <w:rsid w:val="001E230C"/>
    <w:rsid w:val="001E2AD1"/>
    <w:rsid w:val="001E454A"/>
    <w:rsid w:val="001E57F1"/>
    <w:rsid w:val="001E5BE6"/>
    <w:rsid w:val="001E600B"/>
    <w:rsid w:val="001E6108"/>
    <w:rsid w:val="001E6A86"/>
    <w:rsid w:val="001F1559"/>
    <w:rsid w:val="001F2951"/>
    <w:rsid w:val="001F2A1A"/>
    <w:rsid w:val="001F2B9A"/>
    <w:rsid w:val="001F3109"/>
    <w:rsid w:val="001F3569"/>
    <w:rsid w:val="001F4321"/>
    <w:rsid w:val="001F5C3D"/>
    <w:rsid w:val="001F5D95"/>
    <w:rsid w:val="001F66D8"/>
    <w:rsid w:val="00200D10"/>
    <w:rsid w:val="002017CE"/>
    <w:rsid w:val="00202C95"/>
    <w:rsid w:val="00203626"/>
    <w:rsid w:val="002052D3"/>
    <w:rsid w:val="00205607"/>
    <w:rsid w:val="0020612E"/>
    <w:rsid w:val="0020757F"/>
    <w:rsid w:val="00210D68"/>
    <w:rsid w:val="00211269"/>
    <w:rsid w:val="00211ED6"/>
    <w:rsid w:val="0021271E"/>
    <w:rsid w:val="002133BC"/>
    <w:rsid w:val="0021347F"/>
    <w:rsid w:val="00214144"/>
    <w:rsid w:val="002164E1"/>
    <w:rsid w:val="00217176"/>
    <w:rsid w:val="00217A0B"/>
    <w:rsid w:val="00217A7B"/>
    <w:rsid w:val="00220041"/>
    <w:rsid w:val="002204F3"/>
    <w:rsid w:val="00220B01"/>
    <w:rsid w:val="00222570"/>
    <w:rsid w:val="00223E12"/>
    <w:rsid w:val="00226DA3"/>
    <w:rsid w:val="00227C1E"/>
    <w:rsid w:val="00227D0F"/>
    <w:rsid w:val="002306AB"/>
    <w:rsid w:val="00231717"/>
    <w:rsid w:val="00231A94"/>
    <w:rsid w:val="0023255A"/>
    <w:rsid w:val="00232C88"/>
    <w:rsid w:val="00233930"/>
    <w:rsid w:val="00233BD7"/>
    <w:rsid w:val="00235B6F"/>
    <w:rsid w:val="00237014"/>
    <w:rsid w:val="00241355"/>
    <w:rsid w:val="00244B85"/>
    <w:rsid w:val="0024557D"/>
    <w:rsid w:val="00245890"/>
    <w:rsid w:val="00246E22"/>
    <w:rsid w:val="00250E40"/>
    <w:rsid w:val="00250FD6"/>
    <w:rsid w:val="002520DC"/>
    <w:rsid w:val="0025246D"/>
    <w:rsid w:val="002526BB"/>
    <w:rsid w:val="00253BD5"/>
    <w:rsid w:val="00255090"/>
    <w:rsid w:val="00256029"/>
    <w:rsid w:val="00257AAA"/>
    <w:rsid w:val="00257C6A"/>
    <w:rsid w:val="0026054C"/>
    <w:rsid w:val="00261436"/>
    <w:rsid w:val="00263686"/>
    <w:rsid w:val="002638D1"/>
    <w:rsid w:val="00264D5F"/>
    <w:rsid w:val="00265F5E"/>
    <w:rsid w:val="002675A0"/>
    <w:rsid w:val="00271BCF"/>
    <w:rsid w:val="00273EA8"/>
    <w:rsid w:val="002762C6"/>
    <w:rsid w:val="002769CE"/>
    <w:rsid w:val="0028015F"/>
    <w:rsid w:val="0028104E"/>
    <w:rsid w:val="002812BB"/>
    <w:rsid w:val="002815EE"/>
    <w:rsid w:val="00282983"/>
    <w:rsid w:val="00282ADE"/>
    <w:rsid w:val="00282B23"/>
    <w:rsid w:val="0028304F"/>
    <w:rsid w:val="00284028"/>
    <w:rsid w:val="002869B6"/>
    <w:rsid w:val="00287BCE"/>
    <w:rsid w:val="0029020F"/>
    <w:rsid w:val="00291ED9"/>
    <w:rsid w:val="00293B9A"/>
    <w:rsid w:val="002968E1"/>
    <w:rsid w:val="00297EBE"/>
    <w:rsid w:val="002A1867"/>
    <w:rsid w:val="002A3211"/>
    <w:rsid w:val="002A3E02"/>
    <w:rsid w:val="002A457D"/>
    <w:rsid w:val="002A59B4"/>
    <w:rsid w:val="002A7D5E"/>
    <w:rsid w:val="002B042F"/>
    <w:rsid w:val="002B053A"/>
    <w:rsid w:val="002B4002"/>
    <w:rsid w:val="002B42A5"/>
    <w:rsid w:val="002B45E2"/>
    <w:rsid w:val="002B4E6D"/>
    <w:rsid w:val="002B4F5E"/>
    <w:rsid w:val="002B6634"/>
    <w:rsid w:val="002B791A"/>
    <w:rsid w:val="002C4CB2"/>
    <w:rsid w:val="002C72AD"/>
    <w:rsid w:val="002C7438"/>
    <w:rsid w:val="002D162F"/>
    <w:rsid w:val="002D303C"/>
    <w:rsid w:val="002D3933"/>
    <w:rsid w:val="002D7FB6"/>
    <w:rsid w:val="002E6862"/>
    <w:rsid w:val="002E7987"/>
    <w:rsid w:val="002F0DD1"/>
    <w:rsid w:val="002F283D"/>
    <w:rsid w:val="002F31C3"/>
    <w:rsid w:val="002F3858"/>
    <w:rsid w:val="002F6B47"/>
    <w:rsid w:val="00300670"/>
    <w:rsid w:val="003008FE"/>
    <w:rsid w:val="0030169D"/>
    <w:rsid w:val="00301C9C"/>
    <w:rsid w:val="00304309"/>
    <w:rsid w:val="0030557F"/>
    <w:rsid w:val="003060EB"/>
    <w:rsid w:val="0030699A"/>
    <w:rsid w:val="00306EC8"/>
    <w:rsid w:val="00307A2E"/>
    <w:rsid w:val="0031039F"/>
    <w:rsid w:val="00312BD9"/>
    <w:rsid w:val="00313D5F"/>
    <w:rsid w:val="0031405F"/>
    <w:rsid w:val="003153EB"/>
    <w:rsid w:val="003157C6"/>
    <w:rsid w:val="00316684"/>
    <w:rsid w:val="00317123"/>
    <w:rsid w:val="00317895"/>
    <w:rsid w:val="003201AE"/>
    <w:rsid w:val="0032136E"/>
    <w:rsid w:val="00321937"/>
    <w:rsid w:val="00321985"/>
    <w:rsid w:val="003225DC"/>
    <w:rsid w:val="0032283C"/>
    <w:rsid w:val="0032325D"/>
    <w:rsid w:val="00323950"/>
    <w:rsid w:val="00323B03"/>
    <w:rsid w:val="00324EAE"/>
    <w:rsid w:val="00325A4C"/>
    <w:rsid w:val="00326E3D"/>
    <w:rsid w:val="00330683"/>
    <w:rsid w:val="00330B19"/>
    <w:rsid w:val="00331839"/>
    <w:rsid w:val="00331DED"/>
    <w:rsid w:val="00331F54"/>
    <w:rsid w:val="0033587E"/>
    <w:rsid w:val="00335C31"/>
    <w:rsid w:val="003362D5"/>
    <w:rsid w:val="00337BB6"/>
    <w:rsid w:val="00340360"/>
    <w:rsid w:val="00341B86"/>
    <w:rsid w:val="0034307D"/>
    <w:rsid w:val="003455FE"/>
    <w:rsid w:val="003475FF"/>
    <w:rsid w:val="00347773"/>
    <w:rsid w:val="00347F82"/>
    <w:rsid w:val="00351205"/>
    <w:rsid w:val="0035264E"/>
    <w:rsid w:val="00353EB9"/>
    <w:rsid w:val="003569C4"/>
    <w:rsid w:val="00356AD6"/>
    <w:rsid w:val="00357769"/>
    <w:rsid w:val="00360339"/>
    <w:rsid w:val="003608DF"/>
    <w:rsid w:val="00364644"/>
    <w:rsid w:val="003649F0"/>
    <w:rsid w:val="00364B95"/>
    <w:rsid w:val="00364E2A"/>
    <w:rsid w:val="003709D0"/>
    <w:rsid w:val="00372917"/>
    <w:rsid w:val="00372F74"/>
    <w:rsid w:val="0037391E"/>
    <w:rsid w:val="00373A5B"/>
    <w:rsid w:val="00374017"/>
    <w:rsid w:val="0037416D"/>
    <w:rsid w:val="0037507A"/>
    <w:rsid w:val="003766C7"/>
    <w:rsid w:val="003823DA"/>
    <w:rsid w:val="00382D11"/>
    <w:rsid w:val="0038392D"/>
    <w:rsid w:val="00384B45"/>
    <w:rsid w:val="00384C53"/>
    <w:rsid w:val="00387F5D"/>
    <w:rsid w:val="00392028"/>
    <w:rsid w:val="00393662"/>
    <w:rsid w:val="00394CF7"/>
    <w:rsid w:val="00395168"/>
    <w:rsid w:val="00395C14"/>
    <w:rsid w:val="003A047E"/>
    <w:rsid w:val="003A14AA"/>
    <w:rsid w:val="003A2249"/>
    <w:rsid w:val="003A28E4"/>
    <w:rsid w:val="003A5511"/>
    <w:rsid w:val="003A56B3"/>
    <w:rsid w:val="003A5AA3"/>
    <w:rsid w:val="003B098D"/>
    <w:rsid w:val="003B1396"/>
    <w:rsid w:val="003B3F32"/>
    <w:rsid w:val="003B53F2"/>
    <w:rsid w:val="003B6625"/>
    <w:rsid w:val="003B67FE"/>
    <w:rsid w:val="003C01BD"/>
    <w:rsid w:val="003C0C10"/>
    <w:rsid w:val="003C2A10"/>
    <w:rsid w:val="003C2E2F"/>
    <w:rsid w:val="003C4CBB"/>
    <w:rsid w:val="003C5BDD"/>
    <w:rsid w:val="003C63B5"/>
    <w:rsid w:val="003C7085"/>
    <w:rsid w:val="003D05E1"/>
    <w:rsid w:val="003D1CE2"/>
    <w:rsid w:val="003D1F3D"/>
    <w:rsid w:val="003D1F93"/>
    <w:rsid w:val="003D242A"/>
    <w:rsid w:val="003D2A94"/>
    <w:rsid w:val="003D3DCC"/>
    <w:rsid w:val="003D4159"/>
    <w:rsid w:val="003D6309"/>
    <w:rsid w:val="003D6E3A"/>
    <w:rsid w:val="003E0E0B"/>
    <w:rsid w:val="003E1EE0"/>
    <w:rsid w:val="003E29F7"/>
    <w:rsid w:val="003E2E28"/>
    <w:rsid w:val="003E3B7A"/>
    <w:rsid w:val="003E3DC2"/>
    <w:rsid w:val="003E5968"/>
    <w:rsid w:val="003E636A"/>
    <w:rsid w:val="003E73B6"/>
    <w:rsid w:val="003F111C"/>
    <w:rsid w:val="003F1A75"/>
    <w:rsid w:val="003F1D46"/>
    <w:rsid w:val="003F43D0"/>
    <w:rsid w:val="003F554C"/>
    <w:rsid w:val="003F55C9"/>
    <w:rsid w:val="003F5969"/>
    <w:rsid w:val="003F6219"/>
    <w:rsid w:val="003F664F"/>
    <w:rsid w:val="003F6F25"/>
    <w:rsid w:val="003F7224"/>
    <w:rsid w:val="003F7471"/>
    <w:rsid w:val="0040021B"/>
    <w:rsid w:val="0040040B"/>
    <w:rsid w:val="00400591"/>
    <w:rsid w:val="004012CF"/>
    <w:rsid w:val="0040226E"/>
    <w:rsid w:val="00402D17"/>
    <w:rsid w:val="00402F47"/>
    <w:rsid w:val="00404BF4"/>
    <w:rsid w:val="00407274"/>
    <w:rsid w:val="0040766A"/>
    <w:rsid w:val="00407686"/>
    <w:rsid w:val="00411264"/>
    <w:rsid w:val="0041221D"/>
    <w:rsid w:val="00413115"/>
    <w:rsid w:val="00414761"/>
    <w:rsid w:val="00414B62"/>
    <w:rsid w:val="004166CB"/>
    <w:rsid w:val="0041728D"/>
    <w:rsid w:val="004202BD"/>
    <w:rsid w:val="004219AE"/>
    <w:rsid w:val="00422A24"/>
    <w:rsid w:val="00422FCC"/>
    <w:rsid w:val="004236B9"/>
    <w:rsid w:val="004237E8"/>
    <w:rsid w:val="004256D1"/>
    <w:rsid w:val="0042668F"/>
    <w:rsid w:val="004266D3"/>
    <w:rsid w:val="00426878"/>
    <w:rsid w:val="00427D21"/>
    <w:rsid w:val="004316F1"/>
    <w:rsid w:val="00431CF5"/>
    <w:rsid w:val="00432F5C"/>
    <w:rsid w:val="00435148"/>
    <w:rsid w:val="00441454"/>
    <w:rsid w:val="0044215D"/>
    <w:rsid w:val="00442B0D"/>
    <w:rsid w:val="00443220"/>
    <w:rsid w:val="004440B7"/>
    <w:rsid w:val="004440ED"/>
    <w:rsid w:val="004453CF"/>
    <w:rsid w:val="004454D1"/>
    <w:rsid w:val="00446F89"/>
    <w:rsid w:val="00447643"/>
    <w:rsid w:val="00447F4A"/>
    <w:rsid w:val="00450F44"/>
    <w:rsid w:val="00451015"/>
    <w:rsid w:val="00452BE1"/>
    <w:rsid w:val="004547D5"/>
    <w:rsid w:val="00455E5E"/>
    <w:rsid w:val="00456847"/>
    <w:rsid w:val="00456849"/>
    <w:rsid w:val="00456F67"/>
    <w:rsid w:val="00457A1F"/>
    <w:rsid w:val="00460E08"/>
    <w:rsid w:val="00461737"/>
    <w:rsid w:val="004628BB"/>
    <w:rsid w:val="00462FA8"/>
    <w:rsid w:val="0046348F"/>
    <w:rsid w:val="00463601"/>
    <w:rsid w:val="00463D80"/>
    <w:rsid w:val="004644C2"/>
    <w:rsid w:val="004651BD"/>
    <w:rsid w:val="004658AA"/>
    <w:rsid w:val="004668CE"/>
    <w:rsid w:val="00466ED5"/>
    <w:rsid w:val="00467F9C"/>
    <w:rsid w:val="00471520"/>
    <w:rsid w:val="004721AC"/>
    <w:rsid w:val="00472340"/>
    <w:rsid w:val="00473DEA"/>
    <w:rsid w:val="00474606"/>
    <w:rsid w:val="0047569E"/>
    <w:rsid w:val="00475C69"/>
    <w:rsid w:val="00477924"/>
    <w:rsid w:val="00481382"/>
    <w:rsid w:val="00481F1A"/>
    <w:rsid w:val="00482B34"/>
    <w:rsid w:val="00483A07"/>
    <w:rsid w:val="00483ECB"/>
    <w:rsid w:val="004873E4"/>
    <w:rsid w:val="0049018B"/>
    <w:rsid w:val="0049107D"/>
    <w:rsid w:val="00492F31"/>
    <w:rsid w:val="004940C5"/>
    <w:rsid w:val="00494985"/>
    <w:rsid w:val="0049764E"/>
    <w:rsid w:val="004A087F"/>
    <w:rsid w:val="004A0AD6"/>
    <w:rsid w:val="004A30ED"/>
    <w:rsid w:val="004A31E4"/>
    <w:rsid w:val="004A3499"/>
    <w:rsid w:val="004A40D4"/>
    <w:rsid w:val="004A7EEA"/>
    <w:rsid w:val="004B008D"/>
    <w:rsid w:val="004B0AF0"/>
    <w:rsid w:val="004B2691"/>
    <w:rsid w:val="004B3447"/>
    <w:rsid w:val="004B6F32"/>
    <w:rsid w:val="004C0D9A"/>
    <w:rsid w:val="004C102D"/>
    <w:rsid w:val="004C1AE5"/>
    <w:rsid w:val="004C4658"/>
    <w:rsid w:val="004C518B"/>
    <w:rsid w:val="004C536D"/>
    <w:rsid w:val="004C571F"/>
    <w:rsid w:val="004C57E4"/>
    <w:rsid w:val="004C6CB4"/>
    <w:rsid w:val="004C70C6"/>
    <w:rsid w:val="004D0296"/>
    <w:rsid w:val="004D3D6E"/>
    <w:rsid w:val="004D4C15"/>
    <w:rsid w:val="004D6DF2"/>
    <w:rsid w:val="004D6E5F"/>
    <w:rsid w:val="004E0575"/>
    <w:rsid w:val="004E06CE"/>
    <w:rsid w:val="004E07D8"/>
    <w:rsid w:val="004E0B60"/>
    <w:rsid w:val="004E0CA4"/>
    <w:rsid w:val="004E0E54"/>
    <w:rsid w:val="004E13CF"/>
    <w:rsid w:val="004E22BA"/>
    <w:rsid w:val="004E282A"/>
    <w:rsid w:val="004E319D"/>
    <w:rsid w:val="004E4947"/>
    <w:rsid w:val="004E58E9"/>
    <w:rsid w:val="004E5CE1"/>
    <w:rsid w:val="004F1292"/>
    <w:rsid w:val="004F2290"/>
    <w:rsid w:val="004F2FCC"/>
    <w:rsid w:val="004F4F1C"/>
    <w:rsid w:val="004F4FE7"/>
    <w:rsid w:val="004F5F8F"/>
    <w:rsid w:val="004F635E"/>
    <w:rsid w:val="004F76DE"/>
    <w:rsid w:val="004F7EF8"/>
    <w:rsid w:val="005002B1"/>
    <w:rsid w:val="005003C5"/>
    <w:rsid w:val="005018AF"/>
    <w:rsid w:val="00501A68"/>
    <w:rsid w:val="0050462F"/>
    <w:rsid w:val="00505688"/>
    <w:rsid w:val="00506E58"/>
    <w:rsid w:val="0050775B"/>
    <w:rsid w:val="0051006C"/>
    <w:rsid w:val="0051228B"/>
    <w:rsid w:val="00512294"/>
    <w:rsid w:val="00517955"/>
    <w:rsid w:val="00520C66"/>
    <w:rsid w:val="005217AD"/>
    <w:rsid w:val="00521A92"/>
    <w:rsid w:val="005220CD"/>
    <w:rsid w:val="0052304E"/>
    <w:rsid w:val="0052328B"/>
    <w:rsid w:val="00523E25"/>
    <w:rsid w:val="00524CC5"/>
    <w:rsid w:val="00525BF7"/>
    <w:rsid w:val="00525E18"/>
    <w:rsid w:val="0053029C"/>
    <w:rsid w:val="0053140A"/>
    <w:rsid w:val="00532F07"/>
    <w:rsid w:val="00533AA2"/>
    <w:rsid w:val="00534681"/>
    <w:rsid w:val="005349F6"/>
    <w:rsid w:val="00536B4E"/>
    <w:rsid w:val="00536C07"/>
    <w:rsid w:val="00536E33"/>
    <w:rsid w:val="00536E87"/>
    <w:rsid w:val="005408AB"/>
    <w:rsid w:val="00542123"/>
    <w:rsid w:val="00544224"/>
    <w:rsid w:val="00544322"/>
    <w:rsid w:val="005452D3"/>
    <w:rsid w:val="00545533"/>
    <w:rsid w:val="00545F11"/>
    <w:rsid w:val="005517DD"/>
    <w:rsid w:val="005527EA"/>
    <w:rsid w:val="00553095"/>
    <w:rsid w:val="005562C6"/>
    <w:rsid w:val="0056068E"/>
    <w:rsid w:val="00561CB8"/>
    <w:rsid w:val="00563442"/>
    <w:rsid w:val="0056348E"/>
    <w:rsid w:val="005634FB"/>
    <w:rsid w:val="00565B42"/>
    <w:rsid w:val="00565E40"/>
    <w:rsid w:val="00567D30"/>
    <w:rsid w:val="00571962"/>
    <w:rsid w:val="00571F88"/>
    <w:rsid w:val="00573187"/>
    <w:rsid w:val="00575156"/>
    <w:rsid w:val="00575BE3"/>
    <w:rsid w:val="0058012E"/>
    <w:rsid w:val="00580883"/>
    <w:rsid w:val="00580EE8"/>
    <w:rsid w:val="005815EC"/>
    <w:rsid w:val="00581F39"/>
    <w:rsid w:val="00582579"/>
    <w:rsid w:val="00582657"/>
    <w:rsid w:val="005839BE"/>
    <w:rsid w:val="00584E04"/>
    <w:rsid w:val="00586691"/>
    <w:rsid w:val="0059078D"/>
    <w:rsid w:val="00594127"/>
    <w:rsid w:val="00594D7E"/>
    <w:rsid w:val="00595C71"/>
    <w:rsid w:val="005961D8"/>
    <w:rsid w:val="00596B0D"/>
    <w:rsid w:val="005975B5"/>
    <w:rsid w:val="005A25A3"/>
    <w:rsid w:val="005A3D92"/>
    <w:rsid w:val="005A5048"/>
    <w:rsid w:val="005A5F53"/>
    <w:rsid w:val="005B0869"/>
    <w:rsid w:val="005B0A55"/>
    <w:rsid w:val="005B1C18"/>
    <w:rsid w:val="005B2FB1"/>
    <w:rsid w:val="005B35E2"/>
    <w:rsid w:val="005B7104"/>
    <w:rsid w:val="005B7809"/>
    <w:rsid w:val="005C01A6"/>
    <w:rsid w:val="005C025C"/>
    <w:rsid w:val="005C0F3E"/>
    <w:rsid w:val="005C35BB"/>
    <w:rsid w:val="005C3BB5"/>
    <w:rsid w:val="005C41A9"/>
    <w:rsid w:val="005C4CE6"/>
    <w:rsid w:val="005C5771"/>
    <w:rsid w:val="005D009D"/>
    <w:rsid w:val="005D424F"/>
    <w:rsid w:val="005D48D4"/>
    <w:rsid w:val="005D5DD7"/>
    <w:rsid w:val="005D5F73"/>
    <w:rsid w:val="005D6527"/>
    <w:rsid w:val="005D6561"/>
    <w:rsid w:val="005D7E94"/>
    <w:rsid w:val="005E1553"/>
    <w:rsid w:val="005E1A1E"/>
    <w:rsid w:val="005E3BC7"/>
    <w:rsid w:val="005E55CA"/>
    <w:rsid w:val="005E69C7"/>
    <w:rsid w:val="005E7300"/>
    <w:rsid w:val="005F2CF3"/>
    <w:rsid w:val="005F32A4"/>
    <w:rsid w:val="005F44B6"/>
    <w:rsid w:val="005F494A"/>
    <w:rsid w:val="005F5CC6"/>
    <w:rsid w:val="005F75BF"/>
    <w:rsid w:val="005F7F4D"/>
    <w:rsid w:val="006009F3"/>
    <w:rsid w:val="00600F09"/>
    <w:rsid w:val="006013FE"/>
    <w:rsid w:val="006049DE"/>
    <w:rsid w:val="00604B20"/>
    <w:rsid w:val="006077F3"/>
    <w:rsid w:val="0060794E"/>
    <w:rsid w:val="00607CA1"/>
    <w:rsid w:val="00607ED8"/>
    <w:rsid w:val="00611B6A"/>
    <w:rsid w:val="006122BA"/>
    <w:rsid w:val="00612554"/>
    <w:rsid w:val="0061598E"/>
    <w:rsid w:val="006232FF"/>
    <w:rsid w:val="00623D49"/>
    <w:rsid w:val="00626561"/>
    <w:rsid w:val="00627F14"/>
    <w:rsid w:val="00630EC6"/>
    <w:rsid w:val="00631807"/>
    <w:rsid w:val="00631989"/>
    <w:rsid w:val="0063365B"/>
    <w:rsid w:val="00633A45"/>
    <w:rsid w:val="00636236"/>
    <w:rsid w:val="00636431"/>
    <w:rsid w:val="006377A5"/>
    <w:rsid w:val="00640548"/>
    <w:rsid w:val="006409EF"/>
    <w:rsid w:val="0064119C"/>
    <w:rsid w:val="006423F1"/>
    <w:rsid w:val="006424A9"/>
    <w:rsid w:val="0064253B"/>
    <w:rsid w:val="006428E1"/>
    <w:rsid w:val="0064426D"/>
    <w:rsid w:val="0064454B"/>
    <w:rsid w:val="00646788"/>
    <w:rsid w:val="006478BF"/>
    <w:rsid w:val="0064797A"/>
    <w:rsid w:val="00651354"/>
    <w:rsid w:val="0065371B"/>
    <w:rsid w:val="0065630D"/>
    <w:rsid w:val="00657687"/>
    <w:rsid w:val="00661668"/>
    <w:rsid w:val="0066411D"/>
    <w:rsid w:val="006674D8"/>
    <w:rsid w:val="00667DC1"/>
    <w:rsid w:val="00674549"/>
    <w:rsid w:val="006751C5"/>
    <w:rsid w:val="00677392"/>
    <w:rsid w:val="00677B4E"/>
    <w:rsid w:val="006800E6"/>
    <w:rsid w:val="006811E2"/>
    <w:rsid w:val="006838CF"/>
    <w:rsid w:val="00683DD4"/>
    <w:rsid w:val="0068434A"/>
    <w:rsid w:val="00686097"/>
    <w:rsid w:val="00690D4B"/>
    <w:rsid w:val="00692DBC"/>
    <w:rsid w:val="00692EC8"/>
    <w:rsid w:val="00694421"/>
    <w:rsid w:val="00694C95"/>
    <w:rsid w:val="00694E91"/>
    <w:rsid w:val="00695FF4"/>
    <w:rsid w:val="006966CB"/>
    <w:rsid w:val="00697323"/>
    <w:rsid w:val="006978B5"/>
    <w:rsid w:val="006A0DC5"/>
    <w:rsid w:val="006A18E0"/>
    <w:rsid w:val="006A200C"/>
    <w:rsid w:val="006A20EF"/>
    <w:rsid w:val="006A2B56"/>
    <w:rsid w:val="006A2BC7"/>
    <w:rsid w:val="006A3147"/>
    <w:rsid w:val="006A4914"/>
    <w:rsid w:val="006A6131"/>
    <w:rsid w:val="006A62DC"/>
    <w:rsid w:val="006A655F"/>
    <w:rsid w:val="006A6D4B"/>
    <w:rsid w:val="006A73C1"/>
    <w:rsid w:val="006B0ECA"/>
    <w:rsid w:val="006B1C1F"/>
    <w:rsid w:val="006B1D8A"/>
    <w:rsid w:val="006B2178"/>
    <w:rsid w:val="006B21C0"/>
    <w:rsid w:val="006B2290"/>
    <w:rsid w:val="006B34D4"/>
    <w:rsid w:val="006B4BFC"/>
    <w:rsid w:val="006B71F5"/>
    <w:rsid w:val="006B7544"/>
    <w:rsid w:val="006B7640"/>
    <w:rsid w:val="006B7F58"/>
    <w:rsid w:val="006C06BE"/>
    <w:rsid w:val="006C15D9"/>
    <w:rsid w:val="006C16F7"/>
    <w:rsid w:val="006C22EB"/>
    <w:rsid w:val="006C3629"/>
    <w:rsid w:val="006C3AB5"/>
    <w:rsid w:val="006C4554"/>
    <w:rsid w:val="006C4EDB"/>
    <w:rsid w:val="006C4F0E"/>
    <w:rsid w:val="006C5DB1"/>
    <w:rsid w:val="006C5FFA"/>
    <w:rsid w:val="006C6A8E"/>
    <w:rsid w:val="006D0705"/>
    <w:rsid w:val="006D1080"/>
    <w:rsid w:val="006D6FC7"/>
    <w:rsid w:val="006D7626"/>
    <w:rsid w:val="006D7BBF"/>
    <w:rsid w:val="006D7F19"/>
    <w:rsid w:val="006E19B5"/>
    <w:rsid w:val="006E24B9"/>
    <w:rsid w:val="006E2E74"/>
    <w:rsid w:val="006E3342"/>
    <w:rsid w:val="006E752E"/>
    <w:rsid w:val="006F1798"/>
    <w:rsid w:val="006F2015"/>
    <w:rsid w:val="006F2A88"/>
    <w:rsid w:val="006F3F48"/>
    <w:rsid w:val="006F43C5"/>
    <w:rsid w:val="006F463D"/>
    <w:rsid w:val="006F5033"/>
    <w:rsid w:val="006F576E"/>
    <w:rsid w:val="007007F5"/>
    <w:rsid w:val="00700D70"/>
    <w:rsid w:val="00702ACE"/>
    <w:rsid w:val="0070374D"/>
    <w:rsid w:val="00703A58"/>
    <w:rsid w:val="00703AB8"/>
    <w:rsid w:val="007045E8"/>
    <w:rsid w:val="00704EAE"/>
    <w:rsid w:val="0070520A"/>
    <w:rsid w:val="00707410"/>
    <w:rsid w:val="007105C4"/>
    <w:rsid w:val="00710C6C"/>
    <w:rsid w:val="00712804"/>
    <w:rsid w:val="00713017"/>
    <w:rsid w:val="0071624A"/>
    <w:rsid w:val="00716EF5"/>
    <w:rsid w:val="00717D88"/>
    <w:rsid w:val="00717E61"/>
    <w:rsid w:val="00717F69"/>
    <w:rsid w:val="007202E8"/>
    <w:rsid w:val="00721173"/>
    <w:rsid w:val="00721351"/>
    <w:rsid w:val="0072281B"/>
    <w:rsid w:val="007237C8"/>
    <w:rsid w:val="00724503"/>
    <w:rsid w:val="007248AA"/>
    <w:rsid w:val="00725325"/>
    <w:rsid w:val="00726A43"/>
    <w:rsid w:val="0073089F"/>
    <w:rsid w:val="0073155A"/>
    <w:rsid w:val="00732223"/>
    <w:rsid w:val="00732DCB"/>
    <w:rsid w:val="00734158"/>
    <w:rsid w:val="00734209"/>
    <w:rsid w:val="007349CD"/>
    <w:rsid w:val="00734DEE"/>
    <w:rsid w:val="00735DE7"/>
    <w:rsid w:val="00736751"/>
    <w:rsid w:val="007371EA"/>
    <w:rsid w:val="00737CF8"/>
    <w:rsid w:val="00740760"/>
    <w:rsid w:val="00740FCB"/>
    <w:rsid w:val="007410DD"/>
    <w:rsid w:val="0074151F"/>
    <w:rsid w:val="00741A2D"/>
    <w:rsid w:val="00742B86"/>
    <w:rsid w:val="0074354C"/>
    <w:rsid w:val="007440A7"/>
    <w:rsid w:val="00750AB8"/>
    <w:rsid w:val="00751BA0"/>
    <w:rsid w:val="007523F1"/>
    <w:rsid w:val="007539AF"/>
    <w:rsid w:val="007567C5"/>
    <w:rsid w:val="00757ACF"/>
    <w:rsid w:val="0076068A"/>
    <w:rsid w:val="0076283B"/>
    <w:rsid w:val="00764B5D"/>
    <w:rsid w:val="00765B4B"/>
    <w:rsid w:val="007664C3"/>
    <w:rsid w:val="007676FC"/>
    <w:rsid w:val="007717CD"/>
    <w:rsid w:val="007718F2"/>
    <w:rsid w:val="00772320"/>
    <w:rsid w:val="00772C57"/>
    <w:rsid w:val="00773034"/>
    <w:rsid w:val="0077345E"/>
    <w:rsid w:val="0077403D"/>
    <w:rsid w:val="00774838"/>
    <w:rsid w:val="00775375"/>
    <w:rsid w:val="00776B9C"/>
    <w:rsid w:val="007779F6"/>
    <w:rsid w:val="00777BA1"/>
    <w:rsid w:val="00777BE2"/>
    <w:rsid w:val="0078152C"/>
    <w:rsid w:val="007817FB"/>
    <w:rsid w:val="00782B28"/>
    <w:rsid w:val="0078325F"/>
    <w:rsid w:val="00783983"/>
    <w:rsid w:val="00785435"/>
    <w:rsid w:val="00785E08"/>
    <w:rsid w:val="00786056"/>
    <w:rsid w:val="00786EE6"/>
    <w:rsid w:val="00786FAB"/>
    <w:rsid w:val="00787A3B"/>
    <w:rsid w:val="0079293B"/>
    <w:rsid w:val="007939B6"/>
    <w:rsid w:val="007942D3"/>
    <w:rsid w:val="00796FF1"/>
    <w:rsid w:val="007A10FE"/>
    <w:rsid w:val="007A1AF4"/>
    <w:rsid w:val="007A7E35"/>
    <w:rsid w:val="007B00CF"/>
    <w:rsid w:val="007B034B"/>
    <w:rsid w:val="007B07E2"/>
    <w:rsid w:val="007B2099"/>
    <w:rsid w:val="007B27D2"/>
    <w:rsid w:val="007B45D3"/>
    <w:rsid w:val="007B53D3"/>
    <w:rsid w:val="007B6238"/>
    <w:rsid w:val="007B6C09"/>
    <w:rsid w:val="007B769D"/>
    <w:rsid w:val="007B7741"/>
    <w:rsid w:val="007C0B07"/>
    <w:rsid w:val="007C2544"/>
    <w:rsid w:val="007C3858"/>
    <w:rsid w:val="007C43A3"/>
    <w:rsid w:val="007C43A5"/>
    <w:rsid w:val="007C4951"/>
    <w:rsid w:val="007C5561"/>
    <w:rsid w:val="007C56FC"/>
    <w:rsid w:val="007C6429"/>
    <w:rsid w:val="007C65DE"/>
    <w:rsid w:val="007C6EB0"/>
    <w:rsid w:val="007C77A5"/>
    <w:rsid w:val="007C7869"/>
    <w:rsid w:val="007D02A7"/>
    <w:rsid w:val="007D05A2"/>
    <w:rsid w:val="007D1376"/>
    <w:rsid w:val="007D15E2"/>
    <w:rsid w:val="007D1664"/>
    <w:rsid w:val="007D1B94"/>
    <w:rsid w:val="007D26C6"/>
    <w:rsid w:val="007D668C"/>
    <w:rsid w:val="007E09DA"/>
    <w:rsid w:val="007E0D36"/>
    <w:rsid w:val="007E0F8A"/>
    <w:rsid w:val="007E27F6"/>
    <w:rsid w:val="007E3936"/>
    <w:rsid w:val="007E6F56"/>
    <w:rsid w:val="007F0852"/>
    <w:rsid w:val="007F4686"/>
    <w:rsid w:val="007F718D"/>
    <w:rsid w:val="007F7396"/>
    <w:rsid w:val="00801490"/>
    <w:rsid w:val="00801FAD"/>
    <w:rsid w:val="008026A8"/>
    <w:rsid w:val="008032F0"/>
    <w:rsid w:val="00804878"/>
    <w:rsid w:val="008055B6"/>
    <w:rsid w:val="00806470"/>
    <w:rsid w:val="008075B2"/>
    <w:rsid w:val="008075D9"/>
    <w:rsid w:val="0080777F"/>
    <w:rsid w:val="00810D2D"/>
    <w:rsid w:val="00811290"/>
    <w:rsid w:val="008113B4"/>
    <w:rsid w:val="00814885"/>
    <w:rsid w:val="00815940"/>
    <w:rsid w:val="008162FF"/>
    <w:rsid w:val="008163C3"/>
    <w:rsid w:val="008178B6"/>
    <w:rsid w:val="00823B10"/>
    <w:rsid w:val="0082714F"/>
    <w:rsid w:val="00827CB2"/>
    <w:rsid w:val="00830068"/>
    <w:rsid w:val="0083057A"/>
    <w:rsid w:val="00831E9E"/>
    <w:rsid w:val="008320BF"/>
    <w:rsid w:val="0083220B"/>
    <w:rsid w:val="00832BFE"/>
    <w:rsid w:val="00833A3E"/>
    <w:rsid w:val="00834B05"/>
    <w:rsid w:val="00835152"/>
    <w:rsid w:val="0083607C"/>
    <w:rsid w:val="0083708E"/>
    <w:rsid w:val="0083729E"/>
    <w:rsid w:val="0084182C"/>
    <w:rsid w:val="00841FDB"/>
    <w:rsid w:val="00842093"/>
    <w:rsid w:val="008422F8"/>
    <w:rsid w:val="00842445"/>
    <w:rsid w:val="00842803"/>
    <w:rsid w:val="00842BEF"/>
    <w:rsid w:val="00842DED"/>
    <w:rsid w:val="008435D6"/>
    <w:rsid w:val="008453C9"/>
    <w:rsid w:val="0084628D"/>
    <w:rsid w:val="00847FB4"/>
    <w:rsid w:val="008527CF"/>
    <w:rsid w:val="00853351"/>
    <w:rsid w:val="0085524C"/>
    <w:rsid w:val="008556C2"/>
    <w:rsid w:val="008569B7"/>
    <w:rsid w:val="00856DF6"/>
    <w:rsid w:val="008609BC"/>
    <w:rsid w:val="008610A3"/>
    <w:rsid w:val="008612FB"/>
    <w:rsid w:val="00861E2A"/>
    <w:rsid w:val="008626CA"/>
    <w:rsid w:val="00862DFB"/>
    <w:rsid w:val="00863D1C"/>
    <w:rsid w:val="00863E76"/>
    <w:rsid w:val="008641F2"/>
    <w:rsid w:val="00864612"/>
    <w:rsid w:val="00865B74"/>
    <w:rsid w:val="00866063"/>
    <w:rsid w:val="008672B9"/>
    <w:rsid w:val="00870BC9"/>
    <w:rsid w:val="00871F74"/>
    <w:rsid w:val="00872881"/>
    <w:rsid w:val="00873525"/>
    <w:rsid w:val="00873E6B"/>
    <w:rsid w:val="008750F9"/>
    <w:rsid w:val="008756A9"/>
    <w:rsid w:val="00875D4E"/>
    <w:rsid w:val="00882350"/>
    <w:rsid w:val="008836FB"/>
    <w:rsid w:val="0088405E"/>
    <w:rsid w:val="00884AFD"/>
    <w:rsid w:val="00886DB3"/>
    <w:rsid w:val="0089206B"/>
    <w:rsid w:val="00892929"/>
    <w:rsid w:val="0089309D"/>
    <w:rsid w:val="008930C1"/>
    <w:rsid w:val="008942DE"/>
    <w:rsid w:val="008958AC"/>
    <w:rsid w:val="00895C2B"/>
    <w:rsid w:val="008974F0"/>
    <w:rsid w:val="008A088C"/>
    <w:rsid w:val="008A1499"/>
    <w:rsid w:val="008A159B"/>
    <w:rsid w:val="008A24C8"/>
    <w:rsid w:val="008A2B16"/>
    <w:rsid w:val="008A316D"/>
    <w:rsid w:val="008A3900"/>
    <w:rsid w:val="008A4CD9"/>
    <w:rsid w:val="008A6E51"/>
    <w:rsid w:val="008B012A"/>
    <w:rsid w:val="008B0271"/>
    <w:rsid w:val="008B110C"/>
    <w:rsid w:val="008B1B8F"/>
    <w:rsid w:val="008B234B"/>
    <w:rsid w:val="008B363E"/>
    <w:rsid w:val="008B5DD6"/>
    <w:rsid w:val="008B61B6"/>
    <w:rsid w:val="008B6B9B"/>
    <w:rsid w:val="008C1003"/>
    <w:rsid w:val="008C32B6"/>
    <w:rsid w:val="008C571E"/>
    <w:rsid w:val="008C5843"/>
    <w:rsid w:val="008C5B60"/>
    <w:rsid w:val="008C5C84"/>
    <w:rsid w:val="008C5FFF"/>
    <w:rsid w:val="008C625A"/>
    <w:rsid w:val="008C6B39"/>
    <w:rsid w:val="008C6E04"/>
    <w:rsid w:val="008D0096"/>
    <w:rsid w:val="008D0722"/>
    <w:rsid w:val="008D2A0B"/>
    <w:rsid w:val="008D3764"/>
    <w:rsid w:val="008E35BC"/>
    <w:rsid w:val="008E3702"/>
    <w:rsid w:val="008E43BD"/>
    <w:rsid w:val="008E49DC"/>
    <w:rsid w:val="008E4C5E"/>
    <w:rsid w:val="008E52F1"/>
    <w:rsid w:val="008E5CFF"/>
    <w:rsid w:val="008E719D"/>
    <w:rsid w:val="008F0502"/>
    <w:rsid w:val="008F31DB"/>
    <w:rsid w:val="008F542A"/>
    <w:rsid w:val="008F5BC7"/>
    <w:rsid w:val="008F640E"/>
    <w:rsid w:val="008F74D4"/>
    <w:rsid w:val="00900CD0"/>
    <w:rsid w:val="009014D8"/>
    <w:rsid w:val="0090236A"/>
    <w:rsid w:val="0090246B"/>
    <w:rsid w:val="00902AD3"/>
    <w:rsid w:val="00903398"/>
    <w:rsid w:val="00904596"/>
    <w:rsid w:val="00905FBD"/>
    <w:rsid w:val="0090697C"/>
    <w:rsid w:val="00906D2E"/>
    <w:rsid w:val="00906E17"/>
    <w:rsid w:val="009102F2"/>
    <w:rsid w:val="0091114A"/>
    <w:rsid w:val="009111E0"/>
    <w:rsid w:val="0091155D"/>
    <w:rsid w:val="009126C0"/>
    <w:rsid w:val="00912D80"/>
    <w:rsid w:val="00913B0C"/>
    <w:rsid w:val="00916F8C"/>
    <w:rsid w:val="00916FA1"/>
    <w:rsid w:val="009170D2"/>
    <w:rsid w:val="00917764"/>
    <w:rsid w:val="009224AE"/>
    <w:rsid w:val="00922BA1"/>
    <w:rsid w:val="009240CB"/>
    <w:rsid w:val="009246FC"/>
    <w:rsid w:val="009307C6"/>
    <w:rsid w:val="00930A6A"/>
    <w:rsid w:val="00930BA1"/>
    <w:rsid w:val="0093135A"/>
    <w:rsid w:val="0093169E"/>
    <w:rsid w:val="00932B58"/>
    <w:rsid w:val="009339B6"/>
    <w:rsid w:val="009341FC"/>
    <w:rsid w:val="00934594"/>
    <w:rsid w:val="00935B0B"/>
    <w:rsid w:val="00937328"/>
    <w:rsid w:val="009375AE"/>
    <w:rsid w:val="0093761D"/>
    <w:rsid w:val="00943D0F"/>
    <w:rsid w:val="00943EB8"/>
    <w:rsid w:val="009444D9"/>
    <w:rsid w:val="00944A97"/>
    <w:rsid w:val="0094591F"/>
    <w:rsid w:val="00945CD9"/>
    <w:rsid w:val="00950471"/>
    <w:rsid w:val="009505C9"/>
    <w:rsid w:val="00950752"/>
    <w:rsid w:val="00950E70"/>
    <w:rsid w:val="0095199C"/>
    <w:rsid w:val="00951F95"/>
    <w:rsid w:val="00952D85"/>
    <w:rsid w:val="009530F1"/>
    <w:rsid w:val="00953B26"/>
    <w:rsid w:val="009546B2"/>
    <w:rsid w:val="00954FA4"/>
    <w:rsid w:val="00955FA2"/>
    <w:rsid w:val="009564EB"/>
    <w:rsid w:val="00956CA5"/>
    <w:rsid w:val="00957062"/>
    <w:rsid w:val="009576BF"/>
    <w:rsid w:val="00957B62"/>
    <w:rsid w:val="009621C4"/>
    <w:rsid w:val="00963262"/>
    <w:rsid w:val="009637CE"/>
    <w:rsid w:val="00963E2A"/>
    <w:rsid w:val="009650C6"/>
    <w:rsid w:val="00965935"/>
    <w:rsid w:val="00965B13"/>
    <w:rsid w:val="00966424"/>
    <w:rsid w:val="00967221"/>
    <w:rsid w:val="00974F84"/>
    <w:rsid w:val="00974FFA"/>
    <w:rsid w:val="009753B2"/>
    <w:rsid w:val="0097694F"/>
    <w:rsid w:val="00977214"/>
    <w:rsid w:val="0097751B"/>
    <w:rsid w:val="009805D7"/>
    <w:rsid w:val="009807A3"/>
    <w:rsid w:val="00980967"/>
    <w:rsid w:val="00981474"/>
    <w:rsid w:val="00984549"/>
    <w:rsid w:val="009846C8"/>
    <w:rsid w:val="00984BAF"/>
    <w:rsid w:val="00985DCC"/>
    <w:rsid w:val="0098602E"/>
    <w:rsid w:val="00986286"/>
    <w:rsid w:val="0098739E"/>
    <w:rsid w:val="00987C72"/>
    <w:rsid w:val="00990358"/>
    <w:rsid w:val="00990C3F"/>
    <w:rsid w:val="009933F4"/>
    <w:rsid w:val="0099566B"/>
    <w:rsid w:val="00995C66"/>
    <w:rsid w:val="00995E81"/>
    <w:rsid w:val="009960D7"/>
    <w:rsid w:val="00996ED2"/>
    <w:rsid w:val="009976FC"/>
    <w:rsid w:val="00997D45"/>
    <w:rsid w:val="009A0674"/>
    <w:rsid w:val="009A1170"/>
    <w:rsid w:val="009A2BE7"/>
    <w:rsid w:val="009A31AB"/>
    <w:rsid w:val="009A3DF8"/>
    <w:rsid w:val="009A69E5"/>
    <w:rsid w:val="009B26A9"/>
    <w:rsid w:val="009B61C6"/>
    <w:rsid w:val="009B6F42"/>
    <w:rsid w:val="009B74FC"/>
    <w:rsid w:val="009C141D"/>
    <w:rsid w:val="009C198D"/>
    <w:rsid w:val="009C2393"/>
    <w:rsid w:val="009C29F7"/>
    <w:rsid w:val="009C2DE6"/>
    <w:rsid w:val="009C2DF3"/>
    <w:rsid w:val="009C37F5"/>
    <w:rsid w:val="009C61AC"/>
    <w:rsid w:val="009C7C78"/>
    <w:rsid w:val="009C7D06"/>
    <w:rsid w:val="009D0654"/>
    <w:rsid w:val="009D1671"/>
    <w:rsid w:val="009D186D"/>
    <w:rsid w:val="009D37BD"/>
    <w:rsid w:val="009D45BF"/>
    <w:rsid w:val="009D4E6D"/>
    <w:rsid w:val="009D53F3"/>
    <w:rsid w:val="009D59E1"/>
    <w:rsid w:val="009D5D5B"/>
    <w:rsid w:val="009D5E7A"/>
    <w:rsid w:val="009D66B9"/>
    <w:rsid w:val="009E1DF5"/>
    <w:rsid w:val="009F415D"/>
    <w:rsid w:val="009F52A5"/>
    <w:rsid w:val="009F64A2"/>
    <w:rsid w:val="009F7227"/>
    <w:rsid w:val="009F75B2"/>
    <w:rsid w:val="00A00DFD"/>
    <w:rsid w:val="00A00E47"/>
    <w:rsid w:val="00A01087"/>
    <w:rsid w:val="00A0191C"/>
    <w:rsid w:val="00A04931"/>
    <w:rsid w:val="00A05FA3"/>
    <w:rsid w:val="00A06709"/>
    <w:rsid w:val="00A06744"/>
    <w:rsid w:val="00A10498"/>
    <w:rsid w:val="00A111D1"/>
    <w:rsid w:val="00A11AC0"/>
    <w:rsid w:val="00A11EF9"/>
    <w:rsid w:val="00A11F77"/>
    <w:rsid w:val="00A12F46"/>
    <w:rsid w:val="00A134E7"/>
    <w:rsid w:val="00A14A4E"/>
    <w:rsid w:val="00A15399"/>
    <w:rsid w:val="00A15F4F"/>
    <w:rsid w:val="00A15F8D"/>
    <w:rsid w:val="00A2139B"/>
    <w:rsid w:val="00A21895"/>
    <w:rsid w:val="00A21924"/>
    <w:rsid w:val="00A22258"/>
    <w:rsid w:val="00A22FF0"/>
    <w:rsid w:val="00A23CF8"/>
    <w:rsid w:val="00A242E6"/>
    <w:rsid w:val="00A24334"/>
    <w:rsid w:val="00A2673F"/>
    <w:rsid w:val="00A26E4C"/>
    <w:rsid w:val="00A279C8"/>
    <w:rsid w:val="00A31BB9"/>
    <w:rsid w:val="00A329C3"/>
    <w:rsid w:val="00A330EC"/>
    <w:rsid w:val="00A3485D"/>
    <w:rsid w:val="00A34AC9"/>
    <w:rsid w:val="00A35217"/>
    <w:rsid w:val="00A35C71"/>
    <w:rsid w:val="00A40FC3"/>
    <w:rsid w:val="00A42749"/>
    <w:rsid w:val="00A442D0"/>
    <w:rsid w:val="00A44AC9"/>
    <w:rsid w:val="00A456C3"/>
    <w:rsid w:val="00A4596A"/>
    <w:rsid w:val="00A478ED"/>
    <w:rsid w:val="00A47AD9"/>
    <w:rsid w:val="00A47CC6"/>
    <w:rsid w:val="00A47F6F"/>
    <w:rsid w:val="00A5081C"/>
    <w:rsid w:val="00A51626"/>
    <w:rsid w:val="00A518AD"/>
    <w:rsid w:val="00A53162"/>
    <w:rsid w:val="00A53B63"/>
    <w:rsid w:val="00A53CA4"/>
    <w:rsid w:val="00A53DD8"/>
    <w:rsid w:val="00A5416D"/>
    <w:rsid w:val="00A5501A"/>
    <w:rsid w:val="00A550D4"/>
    <w:rsid w:val="00A552FB"/>
    <w:rsid w:val="00A55F46"/>
    <w:rsid w:val="00A56712"/>
    <w:rsid w:val="00A5725B"/>
    <w:rsid w:val="00A57475"/>
    <w:rsid w:val="00A6108F"/>
    <w:rsid w:val="00A61CCE"/>
    <w:rsid w:val="00A625D5"/>
    <w:rsid w:val="00A64AA1"/>
    <w:rsid w:val="00A66931"/>
    <w:rsid w:val="00A6698A"/>
    <w:rsid w:val="00A67602"/>
    <w:rsid w:val="00A70B45"/>
    <w:rsid w:val="00A72D9E"/>
    <w:rsid w:val="00A735CE"/>
    <w:rsid w:val="00A74A05"/>
    <w:rsid w:val="00A750EC"/>
    <w:rsid w:val="00A8063E"/>
    <w:rsid w:val="00A80C71"/>
    <w:rsid w:val="00A81C19"/>
    <w:rsid w:val="00A8368E"/>
    <w:rsid w:val="00A836D7"/>
    <w:rsid w:val="00A84EC1"/>
    <w:rsid w:val="00A85352"/>
    <w:rsid w:val="00A862D0"/>
    <w:rsid w:val="00A904DC"/>
    <w:rsid w:val="00A94300"/>
    <w:rsid w:val="00A96784"/>
    <w:rsid w:val="00AA2046"/>
    <w:rsid w:val="00AA298D"/>
    <w:rsid w:val="00AA3294"/>
    <w:rsid w:val="00AA3C61"/>
    <w:rsid w:val="00AA3F15"/>
    <w:rsid w:val="00AA58D9"/>
    <w:rsid w:val="00AA58F7"/>
    <w:rsid w:val="00AA6155"/>
    <w:rsid w:val="00AA6E8E"/>
    <w:rsid w:val="00AA6F92"/>
    <w:rsid w:val="00AA701C"/>
    <w:rsid w:val="00AB137F"/>
    <w:rsid w:val="00AB19A4"/>
    <w:rsid w:val="00AB2F76"/>
    <w:rsid w:val="00AB4C04"/>
    <w:rsid w:val="00AB4D54"/>
    <w:rsid w:val="00AB595A"/>
    <w:rsid w:val="00AB596A"/>
    <w:rsid w:val="00AB6934"/>
    <w:rsid w:val="00AB6A7F"/>
    <w:rsid w:val="00AB6CD2"/>
    <w:rsid w:val="00AB6E4E"/>
    <w:rsid w:val="00AB7873"/>
    <w:rsid w:val="00AC155E"/>
    <w:rsid w:val="00AC3C51"/>
    <w:rsid w:val="00AC4F01"/>
    <w:rsid w:val="00AD38BD"/>
    <w:rsid w:val="00AD42F4"/>
    <w:rsid w:val="00AD4A10"/>
    <w:rsid w:val="00AD6E2F"/>
    <w:rsid w:val="00AE0AF2"/>
    <w:rsid w:val="00AE23E8"/>
    <w:rsid w:val="00AE464A"/>
    <w:rsid w:val="00AE4A51"/>
    <w:rsid w:val="00AE6346"/>
    <w:rsid w:val="00AE6C7F"/>
    <w:rsid w:val="00AF1DDE"/>
    <w:rsid w:val="00AF306D"/>
    <w:rsid w:val="00AF34FB"/>
    <w:rsid w:val="00AF42DE"/>
    <w:rsid w:val="00AF4C8E"/>
    <w:rsid w:val="00AF614D"/>
    <w:rsid w:val="00AF671D"/>
    <w:rsid w:val="00AF6820"/>
    <w:rsid w:val="00B00375"/>
    <w:rsid w:val="00B009F0"/>
    <w:rsid w:val="00B014C0"/>
    <w:rsid w:val="00B01DEB"/>
    <w:rsid w:val="00B01EF4"/>
    <w:rsid w:val="00B05191"/>
    <w:rsid w:val="00B052F3"/>
    <w:rsid w:val="00B056B3"/>
    <w:rsid w:val="00B1118B"/>
    <w:rsid w:val="00B1131B"/>
    <w:rsid w:val="00B11816"/>
    <w:rsid w:val="00B12405"/>
    <w:rsid w:val="00B14220"/>
    <w:rsid w:val="00B14C8D"/>
    <w:rsid w:val="00B14F82"/>
    <w:rsid w:val="00B158F7"/>
    <w:rsid w:val="00B161B7"/>
    <w:rsid w:val="00B16CB7"/>
    <w:rsid w:val="00B174B3"/>
    <w:rsid w:val="00B17C77"/>
    <w:rsid w:val="00B204D8"/>
    <w:rsid w:val="00B213E3"/>
    <w:rsid w:val="00B225EC"/>
    <w:rsid w:val="00B23F86"/>
    <w:rsid w:val="00B24901"/>
    <w:rsid w:val="00B313F6"/>
    <w:rsid w:val="00B3369F"/>
    <w:rsid w:val="00B33C4C"/>
    <w:rsid w:val="00B343BB"/>
    <w:rsid w:val="00B362C0"/>
    <w:rsid w:val="00B3668B"/>
    <w:rsid w:val="00B370B4"/>
    <w:rsid w:val="00B40EBB"/>
    <w:rsid w:val="00B41B1B"/>
    <w:rsid w:val="00B41BE9"/>
    <w:rsid w:val="00B41EBD"/>
    <w:rsid w:val="00B41FA4"/>
    <w:rsid w:val="00B42957"/>
    <w:rsid w:val="00B429AE"/>
    <w:rsid w:val="00B43BD4"/>
    <w:rsid w:val="00B44388"/>
    <w:rsid w:val="00B44987"/>
    <w:rsid w:val="00B44C84"/>
    <w:rsid w:val="00B452AE"/>
    <w:rsid w:val="00B457C3"/>
    <w:rsid w:val="00B458D1"/>
    <w:rsid w:val="00B4680A"/>
    <w:rsid w:val="00B47469"/>
    <w:rsid w:val="00B47991"/>
    <w:rsid w:val="00B50C19"/>
    <w:rsid w:val="00B50D76"/>
    <w:rsid w:val="00B51AFE"/>
    <w:rsid w:val="00B52DE1"/>
    <w:rsid w:val="00B539B0"/>
    <w:rsid w:val="00B540FE"/>
    <w:rsid w:val="00B5418E"/>
    <w:rsid w:val="00B54B42"/>
    <w:rsid w:val="00B553B7"/>
    <w:rsid w:val="00B56728"/>
    <w:rsid w:val="00B603B6"/>
    <w:rsid w:val="00B60F16"/>
    <w:rsid w:val="00B6173A"/>
    <w:rsid w:val="00B63928"/>
    <w:rsid w:val="00B64410"/>
    <w:rsid w:val="00B64BB9"/>
    <w:rsid w:val="00B64D1E"/>
    <w:rsid w:val="00B65216"/>
    <w:rsid w:val="00B66E33"/>
    <w:rsid w:val="00B6717A"/>
    <w:rsid w:val="00B677B4"/>
    <w:rsid w:val="00B72DA2"/>
    <w:rsid w:val="00B7520D"/>
    <w:rsid w:val="00B76884"/>
    <w:rsid w:val="00B76D5A"/>
    <w:rsid w:val="00B774E1"/>
    <w:rsid w:val="00B817CF"/>
    <w:rsid w:val="00B81DB7"/>
    <w:rsid w:val="00B83BDE"/>
    <w:rsid w:val="00B84266"/>
    <w:rsid w:val="00B846CC"/>
    <w:rsid w:val="00B8584F"/>
    <w:rsid w:val="00B86A91"/>
    <w:rsid w:val="00B875E6"/>
    <w:rsid w:val="00B906C9"/>
    <w:rsid w:val="00B911A1"/>
    <w:rsid w:val="00B92CB8"/>
    <w:rsid w:val="00B932B0"/>
    <w:rsid w:val="00B94E6C"/>
    <w:rsid w:val="00B950A7"/>
    <w:rsid w:val="00B9517E"/>
    <w:rsid w:val="00B95E5F"/>
    <w:rsid w:val="00B964E5"/>
    <w:rsid w:val="00B96538"/>
    <w:rsid w:val="00BA050F"/>
    <w:rsid w:val="00BA22C3"/>
    <w:rsid w:val="00BA3890"/>
    <w:rsid w:val="00BA424F"/>
    <w:rsid w:val="00BA507B"/>
    <w:rsid w:val="00BA5A3D"/>
    <w:rsid w:val="00BA68C6"/>
    <w:rsid w:val="00BA7BF5"/>
    <w:rsid w:val="00BB13C1"/>
    <w:rsid w:val="00BB1439"/>
    <w:rsid w:val="00BB299A"/>
    <w:rsid w:val="00BB4606"/>
    <w:rsid w:val="00BB4642"/>
    <w:rsid w:val="00BB49C2"/>
    <w:rsid w:val="00BB4E60"/>
    <w:rsid w:val="00BB51C7"/>
    <w:rsid w:val="00BC0E44"/>
    <w:rsid w:val="00BC1633"/>
    <w:rsid w:val="00BC3BC5"/>
    <w:rsid w:val="00BC58A7"/>
    <w:rsid w:val="00BC70B4"/>
    <w:rsid w:val="00BC7C19"/>
    <w:rsid w:val="00BD0076"/>
    <w:rsid w:val="00BD314C"/>
    <w:rsid w:val="00BD3A9D"/>
    <w:rsid w:val="00BD485D"/>
    <w:rsid w:val="00BD5691"/>
    <w:rsid w:val="00BD6CA6"/>
    <w:rsid w:val="00BD6E36"/>
    <w:rsid w:val="00BE055A"/>
    <w:rsid w:val="00BE4E59"/>
    <w:rsid w:val="00BE57BB"/>
    <w:rsid w:val="00BE7188"/>
    <w:rsid w:val="00BE719A"/>
    <w:rsid w:val="00BE7792"/>
    <w:rsid w:val="00BF2E99"/>
    <w:rsid w:val="00BF4885"/>
    <w:rsid w:val="00BF70A4"/>
    <w:rsid w:val="00BF749F"/>
    <w:rsid w:val="00C010A6"/>
    <w:rsid w:val="00C03941"/>
    <w:rsid w:val="00C04DAD"/>
    <w:rsid w:val="00C05AA6"/>
    <w:rsid w:val="00C07D5A"/>
    <w:rsid w:val="00C07EF5"/>
    <w:rsid w:val="00C1134B"/>
    <w:rsid w:val="00C119B3"/>
    <w:rsid w:val="00C12122"/>
    <w:rsid w:val="00C13D1D"/>
    <w:rsid w:val="00C145B6"/>
    <w:rsid w:val="00C1601E"/>
    <w:rsid w:val="00C163D2"/>
    <w:rsid w:val="00C16A68"/>
    <w:rsid w:val="00C2040C"/>
    <w:rsid w:val="00C20D7C"/>
    <w:rsid w:val="00C21A0D"/>
    <w:rsid w:val="00C231D4"/>
    <w:rsid w:val="00C23D2F"/>
    <w:rsid w:val="00C24C0B"/>
    <w:rsid w:val="00C27067"/>
    <w:rsid w:val="00C300CF"/>
    <w:rsid w:val="00C30CD6"/>
    <w:rsid w:val="00C30F9E"/>
    <w:rsid w:val="00C322E8"/>
    <w:rsid w:val="00C32E1F"/>
    <w:rsid w:val="00C339F3"/>
    <w:rsid w:val="00C34767"/>
    <w:rsid w:val="00C3504F"/>
    <w:rsid w:val="00C36963"/>
    <w:rsid w:val="00C37263"/>
    <w:rsid w:val="00C40C3B"/>
    <w:rsid w:val="00C411C3"/>
    <w:rsid w:val="00C418EE"/>
    <w:rsid w:val="00C4195E"/>
    <w:rsid w:val="00C42E6B"/>
    <w:rsid w:val="00C43144"/>
    <w:rsid w:val="00C43D2F"/>
    <w:rsid w:val="00C43E9C"/>
    <w:rsid w:val="00C443BD"/>
    <w:rsid w:val="00C44823"/>
    <w:rsid w:val="00C44C80"/>
    <w:rsid w:val="00C451C5"/>
    <w:rsid w:val="00C46DE8"/>
    <w:rsid w:val="00C51512"/>
    <w:rsid w:val="00C522F5"/>
    <w:rsid w:val="00C526C9"/>
    <w:rsid w:val="00C53576"/>
    <w:rsid w:val="00C54189"/>
    <w:rsid w:val="00C550BC"/>
    <w:rsid w:val="00C5684E"/>
    <w:rsid w:val="00C60116"/>
    <w:rsid w:val="00C6025E"/>
    <w:rsid w:val="00C615DD"/>
    <w:rsid w:val="00C61794"/>
    <w:rsid w:val="00C63C27"/>
    <w:rsid w:val="00C64498"/>
    <w:rsid w:val="00C66778"/>
    <w:rsid w:val="00C66FF9"/>
    <w:rsid w:val="00C67C16"/>
    <w:rsid w:val="00C70442"/>
    <w:rsid w:val="00C707E0"/>
    <w:rsid w:val="00C72966"/>
    <w:rsid w:val="00C73DB4"/>
    <w:rsid w:val="00C74246"/>
    <w:rsid w:val="00C74538"/>
    <w:rsid w:val="00C75E55"/>
    <w:rsid w:val="00C77411"/>
    <w:rsid w:val="00C7765A"/>
    <w:rsid w:val="00C77F45"/>
    <w:rsid w:val="00C81C90"/>
    <w:rsid w:val="00C825DC"/>
    <w:rsid w:val="00C8266C"/>
    <w:rsid w:val="00C83A98"/>
    <w:rsid w:val="00C849EC"/>
    <w:rsid w:val="00C84CE0"/>
    <w:rsid w:val="00C84FB1"/>
    <w:rsid w:val="00C915B0"/>
    <w:rsid w:val="00C9161D"/>
    <w:rsid w:val="00C924D1"/>
    <w:rsid w:val="00C96490"/>
    <w:rsid w:val="00C96567"/>
    <w:rsid w:val="00C96B22"/>
    <w:rsid w:val="00CA0C1D"/>
    <w:rsid w:val="00CB0192"/>
    <w:rsid w:val="00CB10B8"/>
    <w:rsid w:val="00CB10EC"/>
    <w:rsid w:val="00CB17D9"/>
    <w:rsid w:val="00CB18C6"/>
    <w:rsid w:val="00CB24F9"/>
    <w:rsid w:val="00CB2ADB"/>
    <w:rsid w:val="00CB3DEC"/>
    <w:rsid w:val="00CB4C15"/>
    <w:rsid w:val="00CB5369"/>
    <w:rsid w:val="00CB5B7E"/>
    <w:rsid w:val="00CB5C19"/>
    <w:rsid w:val="00CB66BE"/>
    <w:rsid w:val="00CC2239"/>
    <w:rsid w:val="00CC283D"/>
    <w:rsid w:val="00CC526E"/>
    <w:rsid w:val="00CC704C"/>
    <w:rsid w:val="00CD0A93"/>
    <w:rsid w:val="00CD1571"/>
    <w:rsid w:val="00CD298E"/>
    <w:rsid w:val="00CD3704"/>
    <w:rsid w:val="00CD4BDF"/>
    <w:rsid w:val="00CD64F1"/>
    <w:rsid w:val="00CD6707"/>
    <w:rsid w:val="00CD6A3D"/>
    <w:rsid w:val="00CD72A6"/>
    <w:rsid w:val="00CD7BA5"/>
    <w:rsid w:val="00CE0EBB"/>
    <w:rsid w:val="00CE1636"/>
    <w:rsid w:val="00CE2864"/>
    <w:rsid w:val="00CE3C01"/>
    <w:rsid w:val="00CE4BC4"/>
    <w:rsid w:val="00CE4FF3"/>
    <w:rsid w:val="00CE6FE1"/>
    <w:rsid w:val="00CF1848"/>
    <w:rsid w:val="00CF403A"/>
    <w:rsid w:val="00CF4DEA"/>
    <w:rsid w:val="00CF54D5"/>
    <w:rsid w:val="00CF70F6"/>
    <w:rsid w:val="00CF73B8"/>
    <w:rsid w:val="00CF7B84"/>
    <w:rsid w:val="00D0136E"/>
    <w:rsid w:val="00D01946"/>
    <w:rsid w:val="00D01FB8"/>
    <w:rsid w:val="00D03A03"/>
    <w:rsid w:val="00D06618"/>
    <w:rsid w:val="00D07741"/>
    <w:rsid w:val="00D07C17"/>
    <w:rsid w:val="00D12044"/>
    <w:rsid w:val="00D12392"/>
    <w:rsid w:val="00D128CC"/>
    <w:rsid w:val="00D159DF"/>
    <w:rsid w:val="00D15A16"/>
    <w:rsid w:val="00D170D9"/>
    <w:rsid w:val="00D20AD9"/>
    <w:rsid w:val="00D21516"/>
    <w:rsid w:val="00D225A2"/>
    <w:rsid w:val="00D23C15"/>
    <w:rsid w:val="00D24B37"/>
    <w:rsid w:val="00D2579F"/>
    <w:rsid w:val="00D30262"/>
    <w:rsid w:val="00D32212"/>
    <w:rsid w:val="00D33EFC"/>
    <w:rsid w:val="00D3472D"/>
    <w:rsid w:val="00D36AE7"/>
    <w:rsid w:val="00D37762"/>
    <w:rsid w:val="00D40DBC"/>
    <w:rsid w:val="00D410C5"/>
    <w:rsid w:val="00D42690"/>
    <w:rsid w:val="00D430AC"/>
    <w:rsid w:val="00D43C56"/>
    <w:rsid w:val="00D4470F"/>
    <w:rsid w:val="00D46EA9"/>
    <w:rsid w:val="00D4718B"/>
    <w:rsid w:val="00D47C2E"/>
    <w:rsid w:val="00D528BF"/>
    <w:rsid w:val="00D53ECB"/>
    <w:rsid w:val="00D54893"/>
    <w:rsid w:val="00D613C2"/>
    <w:rsid w:val="00D61C85"/>
    <w:rsid w:val="00D6219B"/>
    <w:rsid w:val="00D6426C"/>
    <w:rsid w:val="00D643B9"/>
    <w:rsid w:val="00D6509D"/>
    <w:rsid w:val="00D65645"/>
    <w:rsid w:val="00D67460"/>
    <w:rsid w:val="00D71E1F"/>
    <w:rsid w:val="00D72AA1"/>
    <w:rsid w:val="00D72B54"/>
    <w:rsid w:val="00D72F65"/>
    <w:rsid w:val="00D73532"/>
    <w:rsid w:val="00D74371"/>
    <w:rsid w:val="00D745B1"/>
    <w:rsid w:val="00D74758"/>
    <w:rsid w:val="00D75CA6"/>
    <w:rsid w:val="00D7643A"/>
    <w:rsid w:val="00D766AE"/>
    <w:rsid w:val="00D76A18"/>
    <w:rsid w:val="00D76D9D"/>
    <w:rsid w:val="00D80849"/>
    <w:rsid w:val="00D80C54"/>
    <w:rsid w:val="00D810F8"/>
    <w:rsid w:val="00D82E8F"/>
    <w:rsid w:val="00D84795"/>
    <w:rsid w:val="00D84CC3"/>
    <w:rsid w:val="00D86189"/>
    <w:rsid w:val="00D86FD7"/>
    <w:rsid w:val="00D90B04"/>
    <w:rsid w:val="00D9259B"/>
    <w:rsid w:val="00D92858"/>
    <w:rsid w:val="00D92C25"/>
    <w:rsid w:val="00D93E25"/>
    <w:rsid w:val="00D94577"/>
    <w:rsid w:val="00D95B56"/>
    <w:rsid w:val="00DA1AF6"/>
    <w:rsid w:val="00DA1C94"/>
    <w:rsid w:val="00DA2718"/>
    <w:rsid w:val="00DA37E9"/>
    <w:rsid w:val="00DA5106"/>
    <w:rsid w:val="00DA51CD"/>
    <w:rsid w:val="00DA5BB5"/>
    <w:rsid w:val="00DA5F37"/>
    <w:rsid w:val="00DA6993"/>
    <w:rsid w:val="00DA69DA"/>
    <w:rsid w:val="00DA729B"/>
    <w:rsid w:val="00DA7E3C"/>
    <w:rsid w:val="00DB090A"/>
    <w:rsid w:val="00DB0951"/>
    <w:rsid w:val="00DB1083"/>
    <w:rsid w:val="00DB124A"/>
    <w:rsid w:val="00DB1E08"/>
    <w:rsid w:val="00DB1EA4"/>
    <w:rsid w:val="00DB2DE5"/>
    <w:rsid w:val="00DB4EFE"/>
    <w:rsid w:val="00DB5640"/>
    <w:rsid w:val="00DB5D72"/>
    <w:rsid w:val="00DB5E0F"/>
    <w:rsid w:val="00DC0C3B"/>
    <w:rsid w:val="00DC0C6B"/>
    <w:rsid w:val="00DC18D5"/>
    <w:rsid w:val="00DC1E57"/>
    <w:rsid w:val="00DC25D3"/>
    <w:rsid w:val="00DC32C2"/>
    <w:rsid w:val="00DC37B4"/>
    <w:rsid w:val="00DC406D"/>
    <w:rsid w:val="00DC4E76"/>
    <w:rsid w:val="00DC6B5A"/>
    <w:rsid w:val="00DD0793"/>
    <w:rsid w:val="00DD118C"/>
    <w:rsid w:val="00DD165C"/>
    <w:rsid w:val="00DD3AA7"/>
    <w:rsid w:val="00DD3CB3"/>
    <w:rsid w:val="00DD5B59"/>
    <w:rsid w:val="00DD6BCE"/>
    <w:rsid w:val="00DD7955"/>
    <w:rsid w:val="00DE1144"/>
    <w:rsid w:val="00DE12AD"/>
    <w:rsid w:val="00DE49C2"/>
    <w:rsid w:val="00DE63F9"/>
    <w:rsid w:val="00DE765C"/>
    <w:rsid w:val="00DF1230"/>
    <w:rsid w:val="00DF1907"/>
    <w:rsid w:val="00DF193C"/>
    <w:rsid w:val="00DF34DC"/>
    <w:rsid w:val="00DF3F16"/>
    <w:rsid w:val="00DF76B2"/>
    <w:rsid w:val="00E01A8B"/>
    <w:rsid w:val="00E01CC5"/>
    <w:rsid w:val="00E03B0E"/>
    <w:rsid w:val="00E049FC"/>
    <w:rsid w:val="00E0564D"/>
    <w:rsid w:val="00E057D1"/>
    <w:rsid w:val="00E05F15"/>
    <w:rsid w:val="00E06B66"/>
    <w:rsid w:val="00E06D36"/>
    <w:rsid w:val="00E07E30"/>
    <w:rsid w:val="00E10A09"/>
    <w:rsid w:val="00E113A4"/>
    <w:rsid w:val="00E119AE"/>
    <w:rsid w:val="00E11D0D"/>
    <w:rsid w:val="00E13C0B"/>
    <w:rsid w:val="00E13EE9"/>
    <w:rsid w:val="00E14D11"/>
    <w:rsid w:val="00E1511A"/>
    <w:rsid w:val="00E161D8"/>
    <w:rsid w:val="00E1626E"/>
    <w:rsid w:val="00E16C21"/>
    <w:rsid w:val="00E20236"/>
    <w:rsid w:val="00E21612"/>
    <w:rsid w:val="00E21EF5"/>
    <w:rsid w:val="00E2300E"/>
    <w:rsid w:val="00E24DC9"/>
    <w:rsid w:val="00E2590D"/>
    <w:rsid w:val="00E2667B"/>
    <w:rsid w:val="00E27E9E"/>
    <w:rsid w:val="00E3043B"/>
    <w:rsid w:val="00E3100E"/>
    <w:rsid w:val="00E32C46"/>
    <w:rsid w:val="00E33B2A"/>
    <w:rsid w:val="00E34546"/>
    <w:rsid w:val="00E347D1"/>
    <w:rsid w:val="00E35237"/>
    <w:rsid w:val="00E35FE2"/>
    <w:rsid w:val="00E378E6"/>
    <w:rsid w:val="00E40309"/>
    <w:rsid w:val="00E41287"/>
    <w:rsid w:val="00E41372"/>
    <w:rsid w:val="00E41CF4"/>
    <w:rsid w:val="00E42562"/>
    <w:rsid w:val="00E42899"/>
    <w:rsid w:val="00E43621"/>
    <w:rsid w:val="00E43D55"/>
    <w:rsid w:val="00E445F0"/>
    <w:rsid w:val="00E450F2"/>
    <w:rsid w:val="00E454F2"/>
    <w:rsid w:val="00E45ED0"/>
    <w:rsid w:val="00E473D4"/>
    <w:rsid w:val="00E47D1F"/>
    <w:rsid w:val="00E529F2"/>
    <w:rsid w:val="00E530E7"/>
    <w:rsid w:val="00E54671"/>
    <w:rsid w:val="00E54B0A"/>
    <w:rsid w:val="00E55400"/>
    <w:rsid w:val="00E55728"/>
    <w:rsid w:val="00E565CE"/>
    <w:rsid w:val="00E604A1"/>
    <w:rsid w:val="00E605A1"/>
    <w:rsid w:val="00E605D0"/>
    <w:rsid w:val="00E626AB"/>
    <w:rsid w:val="00E62D2C"/>
    <w:rsid w:val="00E641E1"/>
    <w:rsid w:val="00E64B29"/>
    <w:rsid w:val="00E65309"/>
    <w:rsid w:val="00E6551E"/>
    <w:rsid w:val="00E65D1E"/>
    <w:rsid w:val="00E66235"/>
    <w:rsid w:val="00E66494"/>
    <w:rsid w:val="00E67299"/>
    <w:rsid w:val="00E67DF3"/>
    <w:rsid w:val="00E72397"/>
    <w:rsid w:val="00E7246A"/>
    <w:rsid w:val="00E72BFF"/>
    <w:rsid w:val="00E72C19"/>
    <w:rsid w:val="00E764D3"/>
    <w:rsid w:val="00E76CF9"/>
    <w:rsid w:val="00E833BB"/>
    <w:rsid w:val="00E8360E"/>
    <w:rsid w:val="00E83C24"/>
    <w:rsid w:val="00E8493E"/>
    <w:rsid w:val="00E85F78"/>
    <w:rsid w:val="00E87369"/>
    <w:rsid w:val="00E87A31"/>
    <w:rsid w:val="00E9138F"/>
    <w:rsid w:val="00E9209D"/>
    <w:rsid w:val="00E9318D"/>
    <w:rsid w:val="00E93400"/>
    <w:rsid w:val="00E93F3E"/>
    <w:rsid w:val="00E95B3A"/>
    <w:rsid w:val="00E96ED0"/>
    <w:rsid w:val="00E97527"/>
    <w:rsid w:val="00E97534"/>
    <w:rsid w:val="00EA08A6"/>
    <w:rsid w:val="00EA14FE"/>
    <w:rsid w:val="00EA1DF5"/>
    <w:rsid w:val="00EA225F"/>
    <w:rsid w:val="00EA38CB"/>
    <w:rsid w:val="00EA69B1"/>
    <w:rsid w:val="00EA727C"/>
    <w:rsid w:val="00EA741C"/>
    <w:rsid w:val="00EA76FC"/>
    <w:rsid w:val="00EB0C86"/>
    <w:rsid w:val="00EB3571"/>
    <w:rsid w:val="00EB443E"/>
    <w:rsid w:val="00EB5167"/>
    <w:rsid w:val="00EB5399"/>
    <w:rsid w:val="00EB5507"/>
    <w:rsid w:val="00EB6335"/>
    <w:rsid w:val="00EB6A16"/>
    <w:rsid w:val="00EC1A0D"/>
    <w:rsid w:val="00EC27DB"/>
    <w:rsid w:val="00EC3A45"/>
    <w:rsid w:val="00EC717B"/>
    <w:rsid w:val="00EC7766"/>
    <w:rsid w:val="00ED514F"/>
    <w:rsid w:val="00ED7503"/>
    <w:rsid w:val="00ED7B0D"/>
    <w:rsid w:val="00EE1C51"/>
    <w:rsid w:val="00EE22A0"/>
    <w:rsid w:val="00EE3CE1"/>
    <w:rsid w:val="00EE4368"/>
    <w:rsid w:val="00EE4BDF"/>
    <w:rsid w:val="00EE4ECD"/>
    <w:rsid w:val="00EE54B1"/>
    <w:rsid w:val="00EE787D"/>
    <w:rsid w:val="00EF00CD"/>
    <w:rsid w:val="00EF0A8C"/>
    <w:rsid w:val="00EF365A"/>
    <w:rsid w:val="00EF509D"/>
    <w:rsid w:val="00EF54D7"/>
    <w:rsid w:val="00EF6338"/>
    <w:rsid w:val="00EF654D"/>
    <w:rsid w:val="00EF66B1"/>
    <w:rsid w:val="00EF69F5"/>
    <w:rsid w:val="00EF71E9"/>
    <w:rsid w:val="00EF74BD"/>
    <w:rsid w:val="00EF7928"/>
    <w:rsid w:val="00EF793C"/>
    <w:rsid w:val="00F00843"/>
    <w:rsid w:val="00F01DF5"/>
    <w:rsid w:val="00F03437"/>
    <w:rsid w:val="00F05B6F"/>
    <w:rsid w:val="00F063C2"/>
    <w:rsid w:val="00F06E6E"/>
    <w:rsid w:val="00F0745F"/>
    <w:rsid w:val="00F07705"/>
    <w:rsid w:val="00F11086"/>
    <w:rsid w:val="00F11186"/>
    <w:rsid w:val="00F139DA"/>
    <w:rsid w:val="00F153C0"/>
    <w:rsid w:val="00F159BD"/>
    <w:rsid w:val="00F15B15"/>
    <w:rsid w:val="00F16983"/>
    <w:rsid w:val="00F208F4"/>
    <w:rsid w:val="00F21783"/>
    <w:rsid w:val="00F21842"/>
    <w:rsid w:val="00F21943"/>
    <w:rsid w:val="00F22FA4"/>
    <w:rsid w:val="00F236DC"/>
    <w:rsid w:val="00F2740B"/>
    <w:rsid w:val="00F27C77"/>
    <w:rsid w:val="00F303BB"/>
    <w:rsid w:val="00F30C13"/>
    <w:rsid w:val="00F3120D"/>
    <w:rsid w:val="00F313A4"/>
    <w:rsid w:val="00F3243C"/>
    <w:rsid w:val="00F33284"/>
    <w:rsid w:val="00F350FE"/>
    <w:rsid w:val="00F41012"/>
    <w:rsid w:val="00F41099"/>
    <w:rsid w:val="00F413D1"/>
    <w:rsid w:val="00F4233B"/>
    <w:rsid w:val="00F42373"/>
    <w:rsid w:val="00F423FA"/>
    <w:rsid w:val="00F42601"/>
    <w:rsid w:val="00F444BC"/>
    <w:rsid w:val="00F44740"/>
    <w:rsid w:val="00F448E7"/>
    <w:rsid w:val="00F454A9"/>
    <w:rsid w:val="00F4657E"/>
    <w:rsid w:val="00F4791F"/>
    <w:rsid w:val="00F50C1C"/>
    <w:rsid w:val="00F5145E"/>
    <w:rsid w:val="00F52BA7"/>
    <w:rsid w:val="00F52FFC"/>
    <w:rsid w:val="00F53193"/>
    <w:rsid w:val="00F5357C"/>
    <w:rsid w:val="00F5357E"/>
    <w:rsid w:val="00F53998"/>
    <w:rsid w:val="00F54521"/>
    <w:rsid w:val="00F54E17"/>
    <w:rsid w:val="00F57AF7"/>
    <w:rsid w:val="00F61666"/>
    <w:rsid w:val="00F62034"/>
    <w:rsid w:val="00F62E57"/>
    <w:rsid w:val="00F63C62"/>
    <w:rsid w:val="00F6586C"/>
    <w:rsid w:val="00F672C1"/>
    <w:rsid w:val="00F70B9C"/>
    <w:rsid w:val="00F70DFA"/>
    <w:rsid w:val="00F73207"/>
    <w:rsid w:val="00F73E13"/>
    <w:rsid w:val="00F73E54"/>
    <w:rsid w:val="00F73E94"/>
    <w:rsid w:val="00F742A3"/>
    <w:rsid w:val="00F74A8B"/>
    <w:rsid w:val="00F7552B"/>
    <w:rsid w:val="00F8177C"/>
    <w:rsid w:val="00F8190B"/>
    <w:rsid w:val="00F81F3A"/>
    <w:rsid w:val="00F82DBE"/>
    <w:rsid w:val="00F86B3C"/>
    <w:rsid w:val="00F9038B"/>
    <w:rsid w:val="00F92469"/>
    <w:rsid w:val="00F92593"/>
    <w:rsid w:val="00F92A6A"/>
    <w:rsid w:val="00F92B82"/>
    <w:rsid w:val="00F933EA"/>
    <w:rsid w:val="00F94202"/>
    <w:rsid w:val="00F94271"/>
    <w:rsid w:val="00F94774"/>
    <w:rsid w:val="00F948CE"/>
    <w:rsid w:val="00F94BC2"/>
    <w:rsid w:val="00F950BF"/>
    <w:rsid w:val="00F95C52"/>
    <w:rsid w:val="00F9708C"/>
    <w:rsid w:val="00FA001E"/>
    <w:rsid w:val="00FA049E"/>
    <w:rsid w:val="00FA109B"/>
    <w:rsid w:val="00FA27F2"/>
    <w:rsid w:val="00FA3072"/>
    <w:rsid w:val="00FA3684"/>
    <w:rsid w:val="00FA4BF4"/>
    <w:rsid w:val="00FA5E33"/>
    <w:rsid w:val="00FA6281"/>
    <w:rsid w:val="00FA663B"/>
    <w:rsid w:val="00FA7E45"/>
    <w:rsid w:val="00FB11F0"/>
    <w:rsid w:val="00FB2BC4"/>
    <w:rsid w:val="00FB3B24"/>
    <w:rsid w:val="00FB42B2"/>
    <w:rsid w:val="00FB650A"/>
    <w:rsid w:val="00FB6657"/>
    <w:rsid w:val="00FB6FC8"/>
    <w:rsid w:val="00FB72A2"/>
    <w:rsid w:val="00FB79CE"/>
    <w:rsid w:val="00FC0BC0"/>
    <w:rsid w:val="00FC0C13"/>
    <w:rsid w:val="00FC2AA1"/>
    <w:rsid w:val="00FC41C7"/>
    <w:rsid w:val="00FC4441"/>
    <w:rsid w:val="00FC53DB"/>
    <w:rsid w:val="00FC585D"/>
    <w:rsid w:val="00FC67DF"/>
    <w:rsid w:val="00FC7C7E"/>
    <w:rsid w:val="00FD008F"/>
    <w:rsid w:val="00FD0482"/>
    <w:rsid w:val="00FD07FA"/>
    <w:rsid w:val="00FD0B86"/>
    <w:rsid w:val="00FD27C9"/>
    <w:rsid w:val="00FD2ECD"/>
    <w:rsid w:val="00FD3119"/>
    <w:rsid w:val="00FD6DD0"/>
    <w:rsid w:val="00FD76CC"/>
    <w:rsid w:val="00FE0074"/>
    <w:rsid w:val="00FE10E5"/>
    <w:rsid w:val="00FE2373"/>
    <w:rsid w:val="00FE2A01"/>
    <w:rsid w:val="00FE314E"/>
    <w:rsid w:val="00FE35E7"/>
    <w:rsid w:val="00FE3EAA"/>
    <w:rsid w:val="00FE462D"/>
    <w:rsid w:val="00FE46ED"/>
    <w:rsid w:val="00FE4F47"/>
    <w:rsid w:val="00FE5268"/>
    <w:rsid w:val="00FE613C"/>
    <w:rsid w:val="00FE7238"/>
    <w:rsid w:val="00FE73D4"/>
    <w:rsid w:val="00FE7F2A"/>
    <w:rsid w:val="00FF06AA"/>
    <w:rsid w:val="00FF1156"/>
    <w:rsid w:val="00FF22BC"/>
    <w:rsid w:val="00FF3DEC"/>
    <w:rsid w:val="00FF5CE2"/>
    <w:rsid w:val="00FF62FD"/>
    <w:rsid w:val="00FF7996"/>
    <w:rsid w:val="481F0950"/>
    <w:rsid w:val="5E9342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15FE7"/>
  <w15:docId w15:val="{AA91F589-6FA9-4789-A871-24D69E31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lsdException w:name="heading 9" w:uiPriority="0"/>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lsdException w:name="toc 6" w:semiHidden="1" w:uiPriority="0"/>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unhideWhenUsed="1"/>
    <w:lsdException w:name="annotation text" w:semiHidden="1"/>
    <w:lsdException w:name="header" w:uiPriority="0"/>
    <w:lsdException w:name="footer" w:qFormat="1"/>
    <w:lsdException w:name="index heading" w:semiHidden="1" w:unhideWhenUsed="1"/>
    <w:lsdException w:name="caption"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lsdException w:name="endnote reference" w:semiHidden="1" w:uiPriority="0" w:qFormat="1"/>
    <w:lsdException w:name="endnote text" w:semiHidden="1" w:uiPriority="0"/>
    <w:lsdException w:name="table of authorities" w:semiHidden="1" w:unhideWhenUsed="1" w:qFormat="1"/>
    <w:lsdException w:name="macro" w:semiHidden="1" w:unhideWhenUsed="1"/>
    <w:lsdException w:name="toa heading" w:semiHidden="1" w:uiPriority="0" w:qFormat="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nhideWhenUsed="1"/>
    <w:lsdException w:name="Body Text Indent" w:uiPriority="0"/>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lsdException w:name="FollowedHyperlink" w:uiPriority="0"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qFormat="1"/>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qFormat="1"/>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qFormat="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
    <w:qFormat/>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rPr>
  </w:style>
  <w:style w:type="paragraph" w:customStyle="1" w:styleId="CBDNormalNumber">
    <w:name w:val="CBD_Normal_Number"/>
    <w:basedOn w:val="CBDNormal"/>
    <w:qFormat/>
    <w:pPr>
      <w:tabs>
        <w:tab w:val="left" w:pos="3969"/>
      </w:tabs>
      <w:spacing w:before="120" w:after="120"/>
    </w:p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sz w:val="22"/>
      <w:szCs w:val="22"/>
      <w:lang w:val="en-GB"/>
    </w:rPr>
  </w:style>
  <w:style w:type="paragraph" w:styleId="List3">
    <w:name w:val="List 3"/>
    <w:basedOn w:val="Normal"/>
    <w:uiPriority w:val="99"/>
    <w:semiHidden/>
    <w:unhideWhenUsed/>
    <w:qFormat/>
    <w:pPr>
      <w:ind w:left="849" w:hanging="283"/>
      <w:contextualSpacing/>
    </w:pPr>
  </w:style>
  <w:style w:type="paragraph" w:styleId="TOC7">
    <w:name w:val="toc 7"/>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ListNumber2">
    <w:name w:val="List Number 2"/>
    <w:basedOn w:val="Normal"/>
    <w:uiPriority w:val="99"/>
    <w:semiHidden/>
    <w:unhideWhenUsed/>
    <w:pPr>
      <w:tabs>
        <w:tab w:val="left" w:pos="643"/>
      </w:tabs>
      <w:ind w:left="643" w:hanging="360"/>
      <w:contextualSpacing/>
    </w:pPr>
  </w:style>
  <w:style w:type="paragraph" w:styleId="TableofAuthorities">
    <w:name w:val="table of authorities"/>
    <w:basedOn w:val="Normal"/>
    <w:next w:val="Normal"/>
    <w:uiPriority w:val="99"/>
    <w:semiHidden/>
    <w:unhideWhenUsed/>
    <w:qFormat/>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unhideWhenUsed/>
    <w:qFormat/>
  </w:style>
  <w:style w:type="paragraph" w:styleId="ListBullet4">
    <w:name w:val="List Bullet 4"/>
    <w:basedOn w:val="Normal"/>
    <w:uiPriority w:val="99"/>
    <w:semiHidden/>
    <w:unhideWhenUsed/>
    <w:pPr>
      <w:tabs>
        <w:tab w:val="left" w:pos="1209"/>
      </w:tabs>
      <w:ind w:left="1209" w:hanging="360"/>
      <w:contextualSpacing/>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unhideWhenUsed/>
    <w:qFormat/>
  </w:style>
  <w:style w:type="paragraph" w:styleId="ListNumber">
    <w:name w:val="List Number"/>
    <w:basedOn w:val="Normal"/>
    <w:uiPriority w:val="99"/>
    <w:semiHidden/>
    <w:unhideWhenUsed/>
    <w:pPr>
      <w:tabs>
        <w:tab w:val="left" w:pos="360"/>
      </w:tabs>
      <w:ind w:left="360" w:hanging="360"/>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unhideWhenUsed/>
    <w:qFormat/>
    <w:pPr>
      <w:keepNext/>
      <w:keepLines/>
      <w:spacing w:after="200"/>
    </w:pPr>
    <w:rPr>
      <w:b/>
      <w:iCs/>
      <w:szCs w:val="18"/>
    </w:r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ListBullet">
    <w:name w:val="List Bullet"/>
    <w:basedOn w:val="Normal"/>
    <w:uiPriority w:val="99"/>
    <w:semiHidden/>
    <w:unhideWhenUsed/>
    <w:pPr>
      <w:tabs>
        <w:tab w:val="left" w:pos="360"/>
      </w:tabs>
      <w:ind w:left="360" w:hanging="360"/>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DocumentMap">
    <w:name w:val="Document Map"/>
    <w:basedOn w:val="Normal"/>
    <w:link w:val="DocumentMapChar"/>
    <w:uiPriority w:val="99"/>
    <w:semiHidden/>
    <w:unhideWhenUsed/>
    <w:qFormat/>
    <w:rPr>
      <w:rFonts w:ascii="Segoe UI" w:hAnsi="Segoe UI" w:cs="Segoe UI"/>
      <w:sz w:val="16"/>
      <w:szCs w:val="16"/>
    </w:rPr>
  </w:style>
  <w:style w:type="paragraph" w:styleId="TOAHeading">
    <w:name w:val="toa heading"/>
    <w:basedOn w:val="Normal"/>
    <w:next w:val="Normal"/>
    <w:semiHidden/>
    <w:qFormat/>
    <w:pPr>
      <w:spacing w:before="120"/>
    </w:pPr>
    <w:rPr>
      <w:rFonts w:cs="Arial"/>
      <w:b/>
      <w:bCs/>
      <w:sz w:val="24"/>
    </w:rPr>
  </w:style>
  <w:style w:type="paragraph" w:styleId="CommentText">
    <w:name w:val="annotation text"/>
    <w:basedOn w:val="Normal"/>
    <w:link w:val="CommentTextChar"/>
    <w:uiPriority w:val="99"/>
    <w:semiHidden/>
    <w:rPr>
      <w:sz w:val="20"/>
      <w:szCs w:val="20"/>
    </w:r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uiPriority w:val="99"/>
    <w:semiHidden/>
    <w:unhideWhenUsed/>
    <w:qFormat/>
    <w:pPr>
      <w:ind w:left="4252"/>
    </w:pPr>
  </w:style>
  <w:style w:type="paragraph" w:styleId="ListBullet3">
    <w:name w:val="List Bullet 3"/>
    <w:basedOn w:val="Normal"/>
    <w:uiPriority w:val="99"/>
    <w:semiHidden/>
    <w:unhideWhenUsed/>
    <w:pPr>
      <w:tabs>
        <w:tab w:val="left" w:pos="926"/>
      </w:tabs>
      <w:ind w:left="926" w:hanging="360"/>
      <w:contextualSpacing/>
    </w:p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paragraph" w:styleId="BodyTextIndent">
    <w:name w:val="Body Text Indent"/>
    <w:basedOn w:val="Normal"/>
    <w:link w:val="BodyTextIndentChar"/>
    <w:pPr>
      <w:spacing w:before="120" w:after="120"/>
      <w:ind w:left="1440" w:hanging="720"/>
      <w:jc w:val="left"/>
    </w:pPr>
  </w:style>
  <w:style w:type="paragraph" w:styleId="ListNumber3">
    <w:name w:val="List Number 3"/>
    <w:basedOn w:val="Normal"/>
    <w:uiPriority w:val="99"/>
    <w:semiHidden/>
    <w:unhideWhenUsed/>
    <w:pPr>
      <w:tabs>
        <w:tab w:val="left" w:pos="926"/>
      </w:tabs>
      <w:ind w:left="926" w:hanging="360"/>
      <w:contextualSpacing/>
    </w:pPr>
  </w:style>
  <w:style w:type="paragraph" w:styleId="List2">
    <w:name w:val="List 2"/>
    <w:basedOn w:val="Normal"/>
    <w:uiPriority w:val="99"/>
    <w:semiHidden/>
    <w:unhideWhenUsed/>
    <w:pPr>
      <w:ind w:left="566" w:hanging="283"/>
      <w:contextualSpacing/>
    </w:pPr>
  </w:style>
  <w:style w:type="paragraph" w:styleId="ListContinue">
    <w:name w:val="List Continue"/>
    <w:basedOn w:val="Normal"/>
    <w:uiPriority w:val="99"/>
    <w:semiHidden/>
    <w:unhideWhenUsed/>
    <w:pPr>
      <w:spacing w:after="120"/>
      <w:ind w:left="283"/>
      <w:contextualSpacing/>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Bullet2">
    <w:name w:val="List Bullet 2"/>
    <w:basedOn w:val="Normal"/>
    <w:uiPriority w:val="99"/>
    <w:semiHidden/>
    <w:unhideWhenUsed/>
    <w:pPr>
      <w:tabs>
        <w:tab w:val="left" w:pos="643"/>
      </w:tabs>
      <w:ind w:left="643" w:hanging="360"/>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PlainText">
    <w:name w:val="Plain Text"/>
    <w:basedOn w:val="Normal"/>
    <w:link w:val="PlainTextChar"/>
    <w:uiPriority w:val="99"/>
    <w:semiHidden/>
    <w:unhideWhenUsed/>
    <w:qFormat/>
    <w:rPr>
      <w:rFonts w:ascii="Consolas" w:hAnsi="Consolas"/>
      <w:sz w:val="21"/>
      <w:szCs w:val="21"/>
    </w:rPr>
  </w:style>
  <w:style w:type="paragraph" w:styleId="ListBullet5">
    <w:name w:val="List Bullet 5"/>
    <w:basedOn w:val="Normal"/>
    <w:uiPriority w:val="99"/>
    <w:semiHidden/>
    <w:unhideWhenUsed/>
    <w:pPr>
      <w:tabs>
        <w:tab w:val="left" w:pos="1492"/>
      </w:tabs>
      <w:ind w:left="1492" w:hanging="360"/>
      <w:contextualSpacing/>
    </w:pPr>
  </w:style>
  <w:style w:type="paragraph" w:styleId="ListNumber4">
    <w:name w:val="List Number 4"/>
    <w:basedOn w:val="Normal"/>
    <w:uiPriority w:val="99"/>
    <w:semiHidden/>
    <w:unhideWhenUsed/>
    <w:qFormat/>
    <w:pPr>
      <w:tabs>
        <w:tab w:val="left" w:pos="1209"/>
      </w:tabs>
      <w:ind w:left="1209" w:hanging="360"/>
      <w:contextualSpacing/>
    </w:pPr>
  </w:style>
  <w:style w:type="paragraph" w:styleId="TOC8">
    <w:name w:val="toc 8"/>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styleId="ListContinue5">
    <w:name w:val="List Continue 5"/>
    <w:basedOn w:val="Normal"/>
    <w:uiPriority w:val="99"/>
    <w:semiHidden/>
    <w:unhideWhenUsed/>
    <w:qFormat/>
    <w:pPr>
      <w:spacing w:after="120"/>
      <w:ind w:left="1415"/>
      <w:contextualSpacing/>
    </w:pPr>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Footer">
    <w:name w:val="footer"/>
    <w:basedOn w:val="Normal"/>
    <w:link w:val="FooterChar"/>
    <w:uiPriority w:val="99"/>
    <w:qFormat/>
    <w:pPr>
      <w:tabs>
        <w:tab w:val="center" w:pos="4680"/>
        <w:tab w:val="right" w:pos="9360"/>
      </w:tabs>
    </w:pPr>
    <w:rPr>
      <w:sz w:val="20"/>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paragraph" w:styleId="Signature">
    <w:name w:val="Signature"/>
    <w:basedOn w:val="Normal"/>
    <w:link w:val="SignatureChar"/>
    <w:uiPriority w:val="99"/>
    <w:semiHidden/>
    <w:unhideWhenUsed/>
    <w:qFormat/>
    <w:pPr>
      <w:ind w:left="4252"/>
    </w:p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ListContinue4">
    <w:name w:val="List Continue 4"/>
    <w:basedOn w:val="Normal"/>
    <w:uiPriority w:val="99"/>
    <w:semiHidden/>
    <w:unhideWhenUsed/>
    <w:pPr>
      <w:spacing w:after="120"/>
      <w:ind w:left="1132"/>
      <w:contextualSpacing/>
    </w:p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rPr>
  </w:style>
  <w:style w:type="paragraph" w:styleId="ListNumber5">
    <w:name w:val="List Number 5"/>
    <w:basedOn w:val="Normal"/>
    <w:uiPriority w:val="99"/>
    <w:semiHidden/>
    <w:unhideWhenUsed/>
    <w:pPr>
      <w:tabs>
        <w:tab w:val="left" w:pos="1800"/>
      </w:tabs>
      <w:ind w:left="1800" w:hanging="360"/>
      <w:contextualSpacing/>
    </w:pPr>
  </w:style>
  <w:style w:type="paragraph" w:styleId="List">
    <w:name w:val="List"/>
    <w:basedOn w:val="Normal"/>
    <w:semiHidden/>
    <w:pPr>
      <w:contextualSpacing/>
    </w:pPr>
  </w:style>
  <w:style w:type="paragraph" w:styleId="FootnoteText">
    <w:name w:val="footnote text"/>
    <w:basedOn w:val="Normal"/>
    <w:link w:val="FootnoteTextChar"/>
    <w:uiPriority w:val="99"/>
    <w:unhideWhenUsed/>
    <w:pPr>
      <w:jc w:val="left"/>
    </w:pPr>
    <w:rPr>
      <w:sz w:val="18"/>
      <w:szCs w:val="20"/>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List5">
    <w:name w:val="List 5"/>
    <w:basedOn w:val="Normal"/>
    <w:uiPriority w:val="99"/>
    <w:semiHidden/>
    <w:unhideWhenUsed/>
    <w:qFormat/>
    <w:pPr>
      <w:ind w:left="1415" w:hanging="283"/>
      <w:contextualSpacing/>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unhideWhenUsed/>
    <w:qFormat/>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unhideWhenUsed/>
    <w:qFormat/>
    <w:pPr>
      <w:tabs>
        <w:tab w:val="clear" w:pos="567"/>
        <w:tab w:val="clear" w:pos="1134"/>
        <w:tab w:val="clear" w:pos="1701"/>
        <w:tab w:val="clear" w:pos="2268"/>
      </w:tabs>
    </w:p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9">
    <w:name w:val="toc 9"/>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132" w:hanging="283"/>
      <w:contextualSpacing/>
    </w:pPr>
  </w:style>
  <w:style w:type="paragraph" w:styleId="ListContinue2">
    <w:name w:val="List Continue 2"/>
    <w:basedOn w:val="Normal"/>
    <w:uiPriority w:val="99"/>
    <w:semiHidden/>
    <w:unhideWhenUsed/>
    <w:qFormat/>
    <w:pPr>
      <w:spacing w:after="120"/>
      <w:ind w:left="566"/>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HTMLPreformatted">
    <w:name w:val="HTML Preformatted"/>
    <w:basedOn w:val="Normal"/>
    <w:link w:val="HTMLPreformattedChar"/>
    <w:uiPriority w:val="99"/>
    <w:semiHidden/>
    <w:unhideWhenUsed/>
    <w:rPr>
      <w:rFonts w:ascii="Consolas" w:hAnsi="Consolas"/>
      <w:sz w:val="20"/>
      <w:szCs w:val="20"/>
    </w:rPr>
  </w:style>
  <w:style w:type="paragraph" w:styleId="NormalWeb">
    <w:name w:val="Normal (Web)"/>
    <w:basedOn w:val="Normal"/>
    <w:uiPriority w:val="99"/>
    <w:semiHidden/>
    <w:unhideWhenUsed/>
    <w:rPr>
      <w:sz w:val="24"/>
      <w:szCs w:val="24"/>
    </w:rPr>
  </w:style>
  <w:style w:type="paragraph" w:styleId="ListContinue3">
    <w:name w:val="List Continue 3"/>
    <w:basedOn w:val="Normal"/>
    <w:uiPriority w:val="99"/>
    <w:semiHidden/>
    <w:unhideWhenUsed/>
    <w:qFormat/>
    <w:pPr>
      <w:spacing w:after="120"/>
      <w:ind w:left="849"/>
      <w:contextualSpacing/>
    </w:pPr>
  </w:style>
  <w:style w:type="paragraph" w:styleId="Index2">
    <w:name w:val="index 2"/>
    <w:basedOn w:val="Normal"/>
    <w:next w:val="Normal"/>
    <w:autoRedefine/>
    <w:uiPriority w:val="99"/>
    <w:semiHidden/>
    <w:unhideWhenUsed/>
    <w:qFormat/>
    <w:pPr>
      <w:tabs>
        <w:tab w:val="clear" w:pos="567"/>
        <w:tab w:val="clear" w:pos="1134"/>
        <w:tab w:val="clear" w:pos="1701"/>
        <w:tab w:val="clear" w:pos="2268"/>
      </w:tabs>
      <w:ind w:left="440" w:hanging="2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qFormat/>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qFormat/>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qFormat/>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qFormat/>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qFormat/>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pPr>
      <w:tabs>
        <w:tab w:val="left" w:pos="567"/>
        <w:tab w:val="left" w:pos="1134"/>
        <w:tab w:val="left" w:pos="1701"/>
        <w:tab w:val="left" w:pos="2268"/>
      </w:tabs>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qFormat/>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pPr>
      <w:tabs>
        <w:tab w:val="left" w:pos="567"/>
        <w:tab w:val="left" w:pos="1134"/>
        <w:tab w:val="left" w:pos="1701"/>
        <w:tab w:val="left" w:pos="2268"/>
      </w:tabs>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qFormat/>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qFormat/>
    <w:pPr>
      <w:tabs>
        <w:tab w:val="left" w:pos="567"/>
        <w:tab w:val="left" w:pos="1134"/>
        <w:tab w:val="left" w:pos="1701"/>
        <w:tab w:val="left" w:pos="2268"/>
      </w:tabs>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pPr>
      <w:tabs>
        <w:tab w:val="left" w:pos="567"/>
        <w:tab w:val="left" w:pos="1134"/>
        <w:tab w:val="left" w:pos="1701"/>
        <w:tab w:val="left" w:pos="2268"/>
      </w:tabs>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qFormat/>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qFormat/>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qFormat/>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semiHidden/>
    <w:unhideWhenUsed/>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semiHidden/>
    <w:unhideWhenUsed/>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semiHidden/>
    <w:unhideWhenUsed/>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semiHidden/>
    <w:unhideWhenUsed/>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lang w:val="en-GB"/>
    </w:rPr>
  </w:style>
  <w:style w:type="character" w:styleId="EndnoteReference">
    <w:name w:val="endnote reference"/>
    <w:semiHidden/>
    <w:qFormat/>
    <w:rPr>
      <w:vertAlign w:val="superscript"/>
      <w:lang w:val="en-GB"/>
    </w:rPr>
  </w:style>
  <w:style w:type="character" w:styleId="PageNumber">
    <w:name w:val="page number"/>
    <w:rPr>
      <w:rFonts w:ascii="Times New Roman" w:hAnsi="Times New Roman"/>
      <w:sz w:val="22"/>
      <w:lang w:val="en-GB"/>
    </w:rPr>
  </w:style>
  <w:style w:type="character" w:styleId="FollowedHyperlink">
    <w:name w:val="FollowedHyperlink"/>
    <w:qFormat/>
    <w:rPr>
      <w:color w:val="800080"/>
      <w:u w:val="single"/>
      <w:lang w:val="en-GB"/>
    </w:rPr>
  </w:style>
  <w:style w:type="character" w:styleId="Emphasis">
    <w:name w:val="Emphasis"/>
    <w:basedOn w:val="DefaultParagraphFont"/>
    <w:uiPriority w:val="20"/>
    <w:qFormat/>
    <w:rPr>
      <w:i/>
      <w:iCs/>
      <w:lang w:val="en-GB"/>
    </w:rPr>
  </w:style>
  <w:style w:type="character" w:styleId="LineNumber">
    <w:name w:val="line number"/>
    <w:basedOn w:val="DefaultParagraphFont"/>
    <w:uiPriority w:val="99"/>
    <w:semiHidden/>
    <w:unhideWhenUsed/>
    <w:rPr>
      <w:lang w:val="en-GB"/>
    </w:rPr>
  </w:style>
  <w:style w:type="character" w:styleId="HTMLDefinition">
    <w:name w:val="HTML Definition"/>
    <w:basedOn w:val="DefaultParagraphFont"/>
    <w:uiPriority w:val="99"/>
    <w:semiHidden/>
    <w:unhideWhenUsed/>
    <w:rPr>
      <w:i/>
      <w:iCs/>
      <w:lang w:val="en-GB"/>
    </w:rPr>
  </w:style>
  <w:style w:type="character" w:styleId="HTMLTypewriter">
    <w:name w:val="HTML Typewriter"/>
    <w:basedOn w:val="DefaultParagraphFont"/>
    <w:uiPriority w:val="99"/>
    <w:semiHidden/>
    <w:unhideWhenUsed/>
    <w:qFormat/>
    <w:rPr>
      <w:rFonts w:ascii="Consolas" w:hAnsi="Consolas"/>
      <w:sz w:val="20"/>
      <w:szCs w:val="20"/>
      <w:lang w:val="en-GB"/>
    </w:rPr>
  </w:style>
  <w:style w:type="character" w:styleId="HTMLAcronym">
    <w:name w:val="HTML Acronym"/>
    <w:basedOn w:val="DefaultParagraphFont"/>
    <w:uiPriority w:val="99"/>
    <w:semiHidden/>
    <w:unhideWhenUsed/>
    <w:qFormat/>
    <w:rPr>
      <w:lang w:val="en-GB"/>
    </w:rPr>
  </w:style>
  <w:style w:type="character" w:styleId="HTMLVariable">
    <w:name w:val="HTML Variable"/>
    <w:basedOn w:val="DefaultParagraphFont"/>
    <w:uiPriority w:val="99"/>
    <w:semiHidden/>
    <w:unhideWhenUsed/>
    <w:qFormat/>
    <w:rPr>
      <w:i/>
      <w:iCs/>
      <w:lang w:val="en-GB"/>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CommentReference">
    <w:name w:val="annotation reference"/>
    <w:basedOn w:val="DefaultParagraphFont"/>
    <w:uiPriority w:val="99"/>
    <w:semiHidden/>
    <w:unhideWhenUsed/>
    <w:rPr>
      <w:sz w:val="16"/>
      <w:szCs w:val="16"/>
      <w:lang w:val="en-GB"/>
    </w:rPr>
  </w:style>
  <w:style w:type="character" w:styleId="HTMLCite">
    <w:name w:val="HTML Cite"/>
    <w:basedOn w:val="DefaultParagraphFont"/>
    <w:uiPriority w:val="99"/>
    <w:semiHidden/>
    <w:unhideWhenUsed/>
    <w:rPr>
      <w:i/>
      <w:iCs/>
      <w:lang w:val="en-GB"/>
    </w:rPr>
  </w:style>
  <w:style w:type="character" w:styleId="FootnoteReference">
    <w:name w:val="footnote reference"/>
    <w:basedOn w:val="DefaultParagraphFont"/>
    <w:link w:val="BVIfnrChar"/>
    <w:uiPriority w:val="99"/>
    <w:unhideWhenUsed/>
    <w:qFormat/>
    <w:rPr>
      <w:vertAlign w:val="superscript"/>
      <w:lang w:val="en-GB"/>
    </w:rPr>
  </w:style>
  <w:style w:type="paragraph" w:customStyle="1" w:styleId="BVIfnrChar">
    <w:name w:val="BVI fnr Char"/>
    <w:basedOn w:val="Normal"/>
    <w:link w:val="FootnoteReference"/>
    <w:uiPriority w:val="99"/>
    <w:qFormat/>
    <w:pPr>
      <w:spacing w:after="160" w:line="240" w:lineRule="exact"/>
      <w:jc w:val="left"/>
    </w:pPr>
    <w:rPr>
      <w:rFonts w:asciiTheme="minorHAnsi" w:eastAsiaTheme="minorEastAsia" w:hAnsiTheme="minorHAnsi" w:cstheme="minorBidi"/>
      <w:sz w:val="24"/>
      <w:szCs w:val="24"/>
      <w:vertAlign w:val="superscript"/>
    </w:rPr>
  </w:style>
  <w:style w:type="character" w:styleId="HTMLKeyboard">
    <w:name w:val="HTML Keyboard"/>
    <w:basedOn w:val="DefaultParagraphFont"/>
    <w:uiPriority w:val="99"/>
    <w:semiHidden/>
    <w:unhideWhenUsed/>
    <w:qFormat/>
    <w:rPr>
      <w:rFonts w:ascii="Consolas" w:hAnsi="Consolas"/>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customStyle="1" w:styleId="BalloonTextChar">
    <w:name w:val="Balloon Text Char"/>
    <w:basedOn w:val="DefaultParagraphFont"/>
    <w:link w:val="BalloonText"/>
    <w:uiPriority w:val="99"/>
    <w:semiHidden/>
    <w:qFormat/>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Pr>
      <w:color w:val="808080"/>
      <w:lang w:val="en-GB"/>
    </w:rPr>
  </w:style>
  <w:style w:type="character" w:customStyle="1" w:styleId="HeaderChar">
    <w:name w:val="Header Char"/>
    <w:basedOn w:val="DefaultParagraphFont"/>
    <w:link w:val="Header"/>
    <w:qFormat/>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Pr>
      <w:rFonts w:ascii="Times New Roman" w:eastAsia="SimSun" w:hAnsi="Times New Roman" w:cs="Times New Roman"/>
      <w:sz w:val="22"/>
      <w:szCs w:val="22"/>
      <w:lang w:val="en-GB"/>
    </w:rPr>
  </w:style>
  <w:style w:type="character" w:customStyle="1" w:styleId="CommentTextChar">
    <w:name w:val="Comment Text Char"/>
    <w:basedOn w:val="DefaultParagraphFont"/>
    <w:link w:val="CommentText"/>
    <w:uiPriority w:val="99"/>
    <w:semiHidden/>
    <w:qFormat/>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customStyle="1" w:styleId="EndnoteTextChar">
    <w:name w:val="Endnote Text Char"/>
    <w:basedOn w:val="DefaultParagraphFont"/>
    <w:link w:val="EndnoteText"/>
    <w:semiHidden/>
    <w:qFormat/>
    <w:rPr>
      <w:rFonts w:ascii="Courier New" w:eastAsia="SimSun" w:hAnsi="Courier New" w:cs="Times New Roman"/>
      <w:sz w:val="22"/>
      <w:szCs w:val="22"/>
      <w:lang w:val="en-GB"/>
    </w:rPr>
  </w:style>
  <w:style w:type="character" w:customStyle="1" w:styleId="FootnoteTextChar">
    <w:name w:val="Footnote Text Char"/>
    <w:basedOn w:val="DefaultParagraphFont"/>
    <w:link w:val="FootnoteText"/>
    <w:uiPriority w:val="99"/>
    <w:qFormat/>
    <w:rPr>
      <w:rFonts w:ascii="Times New Roman" w:eastAsia="SimSun" w:hAnsi="Times New Roman" w:cs="Times New Roman"/>
      <w:sz w:val="18"/>
      <w:szCs w:val="20"/>
      <w:lang w:val="en-GB"/>
    </w:rPr>
  </w:style>
  <w:style w:type="paragraph" w:customStyle="1" w:styleId="HEADING">
    <w:name w:val="HEADING"/>
    <w:basedOn w:val="Normal"/>
    <w:qFormat/>
    <w:pPr>
      <w:keepNext/>
      <w:spacing w:before="240" w:after="120"/>
      <w:jc w:val="center"/>
    </w:pPr>
    <w:rPr>
      <w:b/>
      <w:bCs/>
      <w:caps/>
    </w:rPr>
  </w:style>
  <w:style w:type="character" w:customStyle="1" w:styleId="Heading2Char">
    <w:name w:val="Heading 2 Char"/>
    <w:basedOn w:val="DefaultParagraphFont"/>
    <w:link w:val="Heading2"/>
    <w:uiPriority w:val="9"/>
    <w:qFormat/>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qFormat/>
  </w:style>
  <w:style w:type="paragraph" w:customStyle="1" w:styleId="Heading1longmultiline">
    <w:name w:val="Heading 1 (long multiline)"/>
    <w:basedOn w:val="Heading1"/>
    <w:qFormat/>
    <w:pPr>
      <w:ind w:left="1843" w:hanging="1134"/>
    </w:pPr>
  </w:style>
  <w:style w:type="paragraph" w:customStyle="1" w:styleId="Heading1multiline">
    <w:name w:val="Heading 1 (multiline)"/>
    <w:basedOn w:val="Heading1"/>
    <w:qFormat/>
    <w:pPr>
      <w:ind w:left="1843" w:right="996"/>
    </w:pPr>
  </w:style>
  <w:style w:type="paragraph" w:customStyle="1" w:styleId="Heading2multiline">
    <w:name w:val="Heading 2 (multiline)"/>
    <w:basedOn w:val="Heading1"/>
    <w:next w:val="Normal"/>
    <w:qFormat/>
    <w:pPr>
      <w:spacing w:before="120"/>
      <w:ind w:left="1843" w:right="998"/>
    </w:pPr>
    <w:rPr>
      <w:i/>
      <w:iCs/>
      <w:caps/>
    </w:rPr>
  </w:style>
  <w:style w:type="paragraph" w:customStyle="1" w:styleId="Heading2longmultiline">
    <w:name w:val="Heading 2 (long multiline)"/>
    <w:basedOn w:val="Heading2multiline"/>
    <w:qFormat/>
    <w:pPr>
      <w:ind w:left="2127" w:hanging="1276"/>
    </w:pPr>
  </w:style>
  <w:style w:type="character" w:customStyle="1" w:styleId="Heading3Char">
    <w:name w:val="Heading 3 Char"/>
    <w:basedOn w:val="DefaultParagraphFont"/>
    <w:link w:val="Heading3"/>
    <w:uiPriority w:val="9"/>
    <w:qFormat/>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qFormat/>
  </w:style>
  <w:style w:type="paragraph" w:customStyle="1" w:styleId="Heading3multiline">
    <w:name w:val="Heading 3 (multiline)"/>
    <w:basedOn w:val="Heading3"/>
    <w:next w:val="Normal"/>
    <w:qFormat/>
    <w:pPr>
      <w:ind w:left="1418" w:hanging="425"/>
    </w:pPr>
  </w:style>
  <w:style w:type="character" w:customStyle="1" w:styleId="Heading4Char">
    <w:name w:val="Heading 4 Char"/>
    <w:basedOn w:val="DefaultParagraphFont"/>
    <w:link w:val="Heading4"/>
    <w:uiPriority w:val="9"/>
    <w:qFormat/>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qFormat/>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qFormat/>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paragraph" w:customStyle="1" w:styleId="Para1">
    <w:name w:val="Para1"/>
    <w:basedOn w:val="Normal"/>
    <w:link w:val="Para1Char"/>
    <w:qFormat/>
    <w:pPr>
      <w:numPr>
        <w:numId w:val="3"/>
      </w:numPr>
      <w:tabs>
        <w:tab w:val="clear" w:pos="360"/>
      </w:tabs>
      <w:spacing w:before="120" w:after="120"/>
      <w:ind w:left="567"/>
    </w:pPr>
    <w:rPr>
      <w:snapToGrid w:val="0"/>
      <w:szCs w:val="18"/>
    </w:rPr>
  </w:style>
  <w:style w:type="paragraph" w:customStyle="1" w:styleId="Para2">
    <w:name w:val="Para2"/>
    <w:basedOn w:val="Para1"/>
    <w:pPr>
      <w:numPr>
        <w:numId w:val="0"/>
      </w:numPr>
      <w:tabs>
        <w:tab w:val="clear" w:pos="360"/>
      </w:tabs>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qFormat/>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character" w:customStyle="1" w:styleId="Para1Char">
    <w:name w:val="Para1 Char"/>
    <w:link w:val="Para1"/>
    <w:qFormat/>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5"/>
      </w:numPr>
      <w:spacing w:after="120"/>
    </w:pPr>
    <w:rPr>
      <w:rFonts w:cs="Angsana New"/>
    </w:rPr>
  </w:style>
  <w:style w:type="paragraph" w:styleId="ListParagraph">
    <w:name w:val="List Paragraph"/>
    <w:basedOn w:val="Normal"/>
    <w:uiPriority w:val="34"/>
    <w:qFormat/>
    <w:pPr>
      <w:ind w:left="720"/>
      <w:contextualSpacing/>
    </w:pPr>
  </w:style>
  <w:style w:type="paragraph" w:customStyle="1" w:styleId="Style1">
    <w:name w:val="Style1"/>
    <w:basedOn w:val="Heading2"/>
    <w:qFormat/>
    <w:rPr>
      <w:i/>
    </w:rPr>
  </w:style>
  <w:style w:type="table" w:customStyle="1" w:styleId="TableGrid10">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rPr>
      <w:rFonts w:ascii="Simplified Arabic" w:eastAsia="Times New Roman" w:hAnsi="Simplified Arabic" w:cs="Simplified Arabic"/>
      <w:sz w:val="24"/>
      <w:szCs w:val="24"/>
    </w:rPr>
  </w:style>
  <w:style w:type="paragraph" w:customStyle="1" w:styleId="DarkList-Accent31">
    <w:name w:val="Dark List - Accent 31"/>
    <w:hidden/>
    <w:uiPriority w:val="99"/>
    <w:semiHidden/>
    <w:qFormat/>
    <w:rPr>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pPr>
      <w:jc w:val="left"/>
    </w:pPr>
  </w:style>
  <w:style w:type="paragraph" w:customStyle="1" w:styleId="AEDistrNormal">
    <w:name w:val="AE_DistrNormal"/>
    <w:basedOn w:val="Normal"/>
    <w:unhideWhenUsed/>
    <w:qFormat/>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qFormat/>
    <w:pPr>
      <w:spacing w:before="120"/>
      <w:contextualSpacing/>
    </w:pPr>
    <w:rPr>
      <w:sz w:val="8"/>
    </w:rPr>
  </w:style>
  <w:style w:type="paragraph" w:customStyle="1" w:styleId="AISpacer">
    <w:name w:val="AI_Spacer"/>
    <w:next w:val="Normal"/>
    <w:unhideWhenUsed/>
    <w:qFormat/>
    <w:rPr>
      <w:sz w:val="2"/>
      <w:szCs w:val="22"/>
      <w:lang w:val="en-GB"/>
    </w:rPr>
  </w:style>
  <w:style w:type="character" w:customStyle="1" w:styleId="CommentSubjectChar">
    <w:name w:val="Comment Subject Char"/>
    <w:basedOn w:val="CommentTextChar"/>
    <w:link w:val="CommentSubject"/>
    <w:uiPriority w:val="99"/>
    <w:semiHidden/>
    <w:qFormat/>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CBDSubTitle">
    <w:name w:val="CBD_SubTitle"/>
    <w:basedOn w:val="CBDNormal"/>
    <w:qFormat/>
    <w:pPr>
      <w:keepNext/>
      <w:keepLines/>
      <w:spacing w:before="240" w:after="240"/>
      <w:ind w:left="567"/>
      <w:jc w:val="left"/>
    </w:pPr>
    <w:rPr>
      <w:b/>
    </w:rPr>
  </w:style>
  <w:style w:type="paragraph" w:customStyle="1" w:styleId="AENormal">
    <w:name w:val="AE_Normal"/>
    <w:basedOn w:val="Normal"/>
    <w:qFormat/>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
    <w:qFormat/>
    <w:pPr>
      <w:keepNext/>
      <w:keepLines/>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qFormat/>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customStyle="1" w:styleId="Bibliography1">
    <w:name w:val="Bibliography1"/>
    <w:basedOn w:val="Normal"/>
    <w:next w:val="Normal"/>
    <w:uiPriority w:val="37"/>
    <w:semiHidden/>
    <w:unhideWhenUsed/>
    <w:qFormat/>
  </w:style>
  <w:style w:type="character" w:customStyle="1" w:styleId="BodyText2Char">
    <w:name w:val="Body Text 2 Char"/>
    <w:basedOn w:val="DefaultParagraphFont"/>
    <w:link w:val="BodyText2"/>
    <w:uiPriority w:val="99"/>
    <w:semiHidden/>
    <w:qFormat/>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customStyle="1" w:styleId="BookTitle1">
    <w:name w:val="Book Title1"/>
    <w:basedOn w:val="DefaultParagraphFont"/>
    <w:uiPriority w:val="33"/>
    <w:qFormat/>
    <w:rPr>
      <w:b/>
      <w:bCs/>
      <w:i/>
      <w:iCs/>
      <w:spacing w:val="5"/>
      <w:lang w:val="en-GB"/>
    </w:r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Pr>
      <w:rFonts w:ascii="Times New Roman" w:eastAsia="SimSun" w:hAnsi="Times New Roman" w:cs="Times New Roman"/>
      <w:sz w:val="22"/>
      <w:szCs w:val="22"/>
      <w:lang w:val="en-GB"/>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Pr>
      <w:color w:val="2B579A"/>
      <w:shd w:val="clear" w:color="auto" w:fill="E1DFDD"/>
      <w:lang w:val="en-GB"/>
    </w:rPr>
  </w:style>
  <w:style w:type="character" w:customStyle="1" w:styleId="HTMLAddressChar">
    <w:name w:val="HTML Address Char"/>
    <w:basedOn w:val="DefaultParagraphFont"/>
    <w:link w:val="HTMLAddress"/>
    <w:uiPriority w:val="99"/>
    <w:semiHidden/>
    <w:qFormat/>
    <w:rPr>
      <w:rFonts w:ascii="Times New Roman" w:eastAsia="SimSun" w:hAnsi="Times New Roman" w:cs="Times New Roman"/>
      <w:i/>
      <w:iCs/>
      <w:sz w:val="22"/>
      <w:szCs w:val="22"/>
      <w:lang w:val="en-GB"/>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customStyle="1" w:styleId="IntenseEmphasis1">
    <w:name w:val="Intense Emphasis1"/>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qFormat/>
    <w:rPr>
      <w:rFonts w:ascii="Times New Roman" w:eastAsia="SimSun" w:hAnsi="Times New Roman" w:cs="Times New Roman"/>
      <w:i/>
      <w:iCs/>
      <w:color w:val="4F81BD" w:themeColor="accent1"/>
      <w:sz w:val="22"/>
      <w:szCs w:val="22"/>
      <w:lang w:val="en-GB"/>
    </w:rPr>
  </w:style>
  <w:style w:type="character" w:customStyle="1" w:styleId="IntenseReference1">
    <w:name w:val="Intense Reference1"/>
    <w:basedOn w:val="DefaultParagraphFont"/>
    <w:uiPriority w:val="32"/>
    <w:qFormat/>
    <w:rPr>
      <w:b/>
      <w:bCs/>
      <w:smallCaps/>
      <w:color w:val="4F81BD" w:themeColor="accent1"/>
      <w:spacing w:val="5"/>
      <w:lang w:val="en-GB"/>
    </w:rPr>
  </w:style>
  <w:style w:type="table" w:customStyle="1" w:styleId="ListTable1Light1">
    <w:name w:val="List Table 1 Light1"/>
    <w:basedOn w:val="TableNormal"/>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color w:val="FFFFFF" w:themeColor="background1"/>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Pr>
      <w:color w:val="FFFFFF" w:themeColor="background1"/>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color w:val="FFFFFF" w:themeColor="background1"/>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Pr>
      <w:color w:val="FFFFFF" w:themeColor="background1"/>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color w:val="FFFFFF" w:themeColor="background1"/>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color w:val="365F91" w:themeColor="accent1" w:themeShade="BF"/>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color w:val="76923C" w:themeColor="accent3" w:themeShade="BF"/>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color w:val="5F497A" w:themeColor="accent4" w:themeShade="BF"/>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Pr>
      <w:color w:val="E36C0A" w:themeColor="accent6" w:themeShade="BF"/>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color w:val="943634" w:themeColor="accent2" w:themeShade="BF"/>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color w:val="76923C" w:themeColor="accent3" w:themeShade="BF"/>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Pr>
      <w:color w:val="5F497A" w:themeColor="accent4" w:themeShade="BF"/>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Pr>
      <w:color w:val="31849B" w:themeColor="accent5" w:themeShade="BF"/>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color w:val="E36C0A" w:themeColor="accent6" w:themeShade="BF"/>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character" w:customStyle="1" w:styleId="Mention1">
    <w:name w:val="Mention1"/>
    <w:basedOn w:val="DefaultParagraphFont"/>
    <w:uiPriority w:val="99"/>
    <w:semiHidden/>
    <w:unhideWhenUsed/>
    <w:rPr>
      <w:color w:val="2B579A"/>
      <w:shd w:val="clear" w:color="auto" w:fill="E1DFDD"/>
      <w:lang w:val="en-GB"/>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sz w:val="22"/>
      <w:szCs w:val="22"/>
      <w:lang w:val="en-GB"/>
    </w:rPr>
  </w:style>
  <w:style w:type="character" w:customStyle="1" w:styleId="NoteHeadingChar">
    <w:name w:val="Note Heading Char"/>
    <w:basedOn w:val="DefaultParagraphFont"/>
    <w:link w:val="NoteHeading"/>
    <w:uiPriority w:val="99"/>
    <w:semiHidden/>
    <w:qFormat/>
    <w:rPr>
      <w:rFonts w:ascii="Times New Roman" w:eastAsia="SimSun" w:hAnsi="Times New Roman" w:cs="Times New Roman"/>
      <w:sz w:val="22"/>
      <w:szCs w:val="22"/>
      <w:lang w:val="en-GB"/>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qFormat/>
    <w:rPr>
      <w:u w:val="dotted"/>
      <w:lang w:val="en-GB"/>
    </w:rPr>
  </w:style>
  <w:style w:type="character" w:customStyle="1" w:styleId="SmartLink1">
    <w:name w:val="SmartLink1"/>
    <w:basedOn w:val="DefaultParagraphFont"/>
    <w:uiPriority w:val="99"/>
    <w:semiHidden/>
    <w:unhideWhenUsed/>
    <w:qFormat/>
    <w:rPr>
      <w:color w:val="0000FF"/>
      <w:u w:val="single"/>
      <w:shd w:val="clear" w:color="auto" w:fill="F3F2F1"/>
      <w:lang w:val="en-GB"/>
    </w:rPr>
  </w:style>
  <w:style w:type="character" w:customStyle="1" w:styleId="SubtleEmphasis1">
    <w:name w:val="Subtle Emphasis1"/>
    <w:basedOn w:val="DefaultParagraphFont"/>
    <w:uiPriority w:val="19"/>
    <w:qFormat/>
    <w:rPr>
      <w:i/>
      <w:iCs/>
      <w:color w:val="404040" w:themeColor="text1" w:themeTint="BF"/>
      <w:lang w:val="en-GB"/>
    </w:rPr>
  </w:style>
  <w:style w:type="character" w:customStyle="1" w:styleId="SubtleReference1">
    <w:name w:val="Subtle Reference1"/>
    <w:basedOn w:val="DefaultParagraphFont"/>
    <w:uiPriority w:val="31"/>
    <w:qFormat/>
    <w:rPr>
      <w:smallCaps/>
      <w:color w:val="595959" w:themeColor="text1" w:themeTint="A6"/>
      <w:lang w:val="en-GB"/>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Heading1">
    <w:name w:val="TOC Heading1"/>
    <w:basedOn w:val="Heading1"/>
    <w:next w:val="Normal"/>
    <w:uiPriority w:val="39"/>
    <w:semiHidden/>
    <w:unhideWhenUsed/>
    <w:qFormat/>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CBDpara-item">
    <w:name w:val="CBD_para-item"/>
    <w:basedOn w:val="Normal"/>
    <w:qFormat/>
    <w:pPr>
      <w:tabs>
        <w:tab w:val="clear" w:pos="567"/>
      </w:tabs>
      <w:spacing w:before="120" w:after="120"/>
      <w:ind w:left="1134" w:hanging="567"/>
      <w:jc w:val="left"/>
    </w:pPr>
  </w:style>
  <w:style w:type="paragraph" w:customStyle="1" w:styleId="CBDsubpara-item">
    <w:name w:val="CBD_subpara-item"/>
    <w:basedOn w:val="CBDpara-item"/>
    <w:qFormat/>
    <w:pPr>
      <w:tabs>
        <w:tab w:val="clear" w:pos="1134"/>
      </w:tabs>
      <w:ind w:left="1701"/>
    </w:pPr>
  </w:style>
  <w:style w:type="paragraph" w:customStyle="1" w:styleId="CBDRecommendText">
    <w:name w:val="CBD_RecommendText"/>
    <w:basedOn w:val="Normal"/>
    <w:qFormat/>
    <w:pPr>
      <w:spacing w:after="120"/>
      <w:ind w:left="567"/>
    </w:pPr>
  </w:style>
  <w:style w:type="paragraph" w:customStyle="1" w:styleId="Venuedate">
    <w:name w:val="Venue&amp;date"/>
    <w:basedOn w:val="Cornernotation"/>
    <w:qFormat/>
    <w:rPr>
      <w:bCs/>
    </w:rPr>
  </w:style>
  <w:style w:type="paragraph" w:styleId="Revision">
    <w:name w:val="Revision"/>
    <w:hidden/>
    <w:uiPriority w:val="99"/>
    <w:unhideWhenUsed/>
    <w:rsid w:val="00BA22C3"/>
    <w:rPr>
      <w:sz w:val="22"/>
      <w:szCs w:val="22"/>
      <w:lang w:val="en-GB"/>
    </w:rPr>
  </w:style>
  <w:style w:type="character" w:styleId="UnresolvedMention">
    <w:name w:val="Unresolved Mention"/>
    <w:basedOn w:val="DefaultParagraphFont"/>
    <w:uiPriority w:val="99"/>
    <w:semiHidden/>
    <w:unhideWhenUsed/>
    <w:rsid w:val="00522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cp-mop-11" TargetMode="Externa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decisions?decisionID=8284" TargetMode="External"/><Relationship Id="rId2" Type="http://schemas.openxmlformats.org/officeDocument/2006/relationships/hyperlink" Target="https://www.cbd.int/doc/c/864b/c11a/720453c0f462d6dfa61384e6/cp-cc-21-05-en.pdf" TargetMode="External"/><Relationship Id="rId1" Type="http://schemas.openxmlformats.org/officeDocument/2006/relationships/hyperlink" Target="https://www.cbd.int/doc/c/6ad5/3b4a/81b758d39b6a601d8bde8f22/cp-cc-20-0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7).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D39685AEA345639560464042483489"/>
        <w:category>
          <w:name w:val="General"/>
          <w:gallery w:val="placeholder"/>
        </w:category>
        <w:types>
          <w:type w:val="bbPlcHdr"/>
        </w:types>
        <w:behaviors>
          <w:behavior w:val="content"/>
        </w:behaviors>
        <w:guid w:val="{D5D5F491-B867-4CD2-8F96-9AFDA7E318A9}"/>
      </w:docPartPr>
      <w:docPartBody>
        <w:p w:rsidR="00774E26" w:rsidRDefault="002765E9">
          <w:pPr>
            <w:pStyle w:val="50D39685AEA345639560464042483489"/>
          </w:pPr>
          <w:r>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2A94" w:rsidRDefault="00A22A94">
      <w:pPr>
        <w:spacing w:line="240" w:lineRule="auto"/>
      </w:pPr>
      <w:r>
        <w:separator/>
      </w:r>
    </w:p>
  </w:endnote>
  <w:endnote w:type="continuationSeparator" w:id="0">
    <w:p w:rsidR="00A22A94" w:rsidRDefault="00A22A94">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2A94" w:rsidRDefault="00A22A94">
      <w:pPr>
        <w:spacing w:after="0"/>
      </w:pPr>
      <w:r>
        <w:separator/>
      </w:r>
    </w:p>
  </w:footnote>
  <w:footnote w:type="continuationSeparator" w:id="0">
    <w:p w:rsidR="00A22A94" w:rsidRDefault="00A22A94">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AED"/>
    <w:rsid w:val="000071A4"/>
    <w:rsid w:val="000216E9"/>
    <w:rsid w:val="00024CEC"/>
    <w:rsid w:val="00057253"/>
    <w:rsid w:val="00080348"/>
    <w:rsid w:val="000D0E2D"/>
    <w:rsid w:val="00161B5A"/>
    <w:rsid w:val="00174393"/>
    <w:rsid w:val="00185793"/>
    <w:rsid w:val="0019546A"/>
    <w:rsid w:val="0020190C"/>
    <w:rsid w:val="0022104B"/>
    <w:rsid w:val="00235B6F"/>
    <w:rsid w:val="002765E9"/>
    <w:rsid w:val="002D4564"/>
    <w:rsid w:val="00343487"/>
    <w:rsid w:val="003C50C4"/>
    <w:rsid w:val="004202BD"/>
    <w:rsid w:val="004628E4"/>
    <w:rsid w:val="00467AA2"/>
    <w:rsid w:val="004A7EE5"/>
    <w:rsid w:val="004F1722"/>
    <w:rsid w:val="0051606B"/>
    <w:rsid w:val="005B716C"/>
    <w:rsid w:val="005F7F4D"/>
    <w:rsid w:val="0060088D"/>
    <w:rsid w:val="00643D2E"/>
    <w:rsid w:val="00657687"/>
    <w:rsid w:val="00661668"/>
    <w:rsid w:val="00661DD4"/>
    <w:rsid w:val="00683DD4"/>
    <w:rsid w:val="006B34D4"/>
    <w:rsid w:val="00700D70"/>
    <w:rsid w:val="00774E26"/>
    <w:rsid w:val="0078688D"/>
    <w:rsid w:val="007B412D"/>
    <w:rsid w:val="00801490"/>
    <w:rsid w:val="00860CAD"/>
    <w:rsid w:val="00963E2A"/>
    <w:rsid w:val="009D37BD"/>
    <w:rsid w:val="009E7CBE"/>
    <w:rsid w:val="00A04931"/>
    <w:rsid w:val="00A22A94"/>
    <w:rsid w:val="00A22FF0"/>
    <w:rsid w:val="00A44BEC"/>
    <w:rsid w:val="00AA02BF"/>
    <w:rsid w:val="00AB2F76"/>
    <w:rsid w:val="00AF614D"/>
    <w:rsid w:val="00B23F86"/>
    <w:rsid w:val="00B26773"/>
    <w:rsid w:val="00BD3CEA"/>
    <w:rsid w:val="00C53F4F"/>
    <w:rsid w:val="00C5684E"/>
    <w:rsid w:val="00CC6AED"/>
    <w:rsid w:val="00CF659D"/>
    <w:rsid w:val="00D128CC"/>
    <w:rsid w:val="00D27015"/>
    <w:rsid w:val="00D3472D"/>
    <w:rsid w:val="00D43C56"/>
    <w:rsid w:val="00D71F3C"/>
    <w:rsid w:val="00D86245"/>
    <w:rsid w:val="00DB4EFE"/>
    <w:rsid w:val="00E01A8B"/>
    <w:rsid w:val="00E461EB"/>
    <w:rsid w:val="00E64C7E"/>
    <w:rsid w:val="00EE54B1"/>
    <w:rsid w:val="00F40D82"/>
    <w:rsid w:val="00F41099"/>
    <w:rsid w:val="00F44740"/>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E64C7E"/>
    <w:rPr>
      <w:color w:val="808080"/>
    </w:rPr>
  </w:style>
  <w:style w:type="paragraph" w:customStyle="1" w:styleId="50D39685AEA345639560464042483489">
    <w:name w:val="50D39685AEA345639560464042483489"/>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BBE25FB-6B06-4DB4-A8B2-A5B790139836}"/>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(7).dotm</Template>
  <TotalTime>1073</TotalTime>
  <Pages>9</Pages>
  <Words>3675</Words>
  <Characters>20950</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Informe del Comité de Cumplimiento establecido en virtud del Protocolo de Cartagena sobre Seguridad de la Biotecnología sobre sus reuniones 20ª y 21ª</vt:lpstr>
      <vt:lpstr>Introducción</vt:lpstr>
      <vt:lpstr>Resumen consolidado de los debates y resultados</vt:lpstr>
      <vt:lpstr>I.	Cumplimiento</vt:lpstr>
      <vt:lpstr>II.	Funcionamiento y actividades del Centro de Intercambio de Información sobre </vt:lpstr>
      <vt:lpstr>III.	Seguimiento y presentación de informes</vt:lpstr>
      <vt:lpstr>IV.	Cuestiones relacionadas con el mecanismo financiero y los recursos</vt:lpstr>
    </vt:vector>
  </TitlesOfParts>
  <Company>SCBD</Company>
  <LinksUpToDate>false</LinksUpToDate>
  <CharactersWithSpaces>24576</CharactersWithSpaces>
  <SharedDoc>false</SharedDoc>
  <HLinks>
    <vt:vector size="72" baseType="variant">
      <vt:variant>
        <vt:i4>7405681</vt:i4>
      </vt:variant>
      <vt:variant>
        <vt:i4>18</vt:i4>
      </vt:variant>
      <vt:variant>
        <vt:i4>0</vt:i4>
      </vt:variant>
      <vt:variant>
        <vt:i4>5</vt:i4>
      </vt:variant>
      <vt:variant>
        <vt:lpwstr>https://www.cbd.int/decisions/mop/?m=cp-mop-11</vt:lpwstr>
      </vt:variant>
      <vt:variant>
        <vt:lpwstr/>
      </vt:variant>
      <vt:variant>
        <vt:i4>6029399</vt:i4>
      </vt:variant>
      <vt:variant>
        <vt:i4>15</vt:i4>
      </vt:variant>
      <vt:variant>
        <vt:i4>0</vt:i4>
      </vt:variant>
      <vt:variant>
        <vt:i4>5</vt:i4>
      </vt:variant>
      <vt:variant>
        <vt:lpwstr>https://bch.cbd.int/protocol/cpb_art34_info.shtml</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6029399</vt:i4>
      </vt:variant>
      <vt:variant>
        <vt:i4>0</vt:i4>
      </vt:variant>
      <vt:variant>
        <vt:i4>0</vt:i4>
      </vt:variant>
      <vt:variant>
        <vt:i4>5</vt:i4>
      </vt:variant>
      <vt:variant>
        <vt:lpwstr>https://bch.cbd.int/protocol/cpb_art34_info.shtml</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7929915</vt:i4>
      </vt:variant>
      <vt:variant>
        <vt:i4>9</vt:i4>
      </vt:variant>
      <vt:variant>
        <vt:i4>0</vt:i4>
      </vt:variant>
      <vt:variant>
        <vt:i4>5</vt:i4>
      </vt:variant>
      <vt:variant>
        <vt:lpwstr>https://bch.cbd.int/protocol/decisions?decisionID=8284</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7602231</vt:i4>
      </vt:variant>
      <vt:variant>
        <vt:i4>3</vt:i4>
      </vt:variant>
      <vt:variant>
        <vt:i4>0</vt:i4>
      </vt:variant>
      <vt:variant>
        <vt:i4>5</vt:i4>
      </vt:variant>
      <vt:variant>
        <vt:lpwstr>https://www.cbd.int/doc/c/6ad5/3b4a/81b758d39b6a601d8bde8f22/cp-cc-20-06-en.pdf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establecido en virtud del Protocolo de Cartagena sobre Seguridad de la Biotecnología sobre sus reuniones 20ª y 21ª</dc:title>
  <dc:subject>CBD/CP/MOP/12/3</dc:subject>
  <dc:creator>scbd</dc:creator>
  <cp:keywords>Convention on Biological Diversity</cp:keywords>
  <cp:lastModifiedBy>Mariko Nishi</cp:lastModifiedBy>
  <cp:revision>26</cp:revision>
  <cp:lastPrinted>2026-08-25T09:49:00Z</cp:lastPrinted>
  <dcterms:created xsi:type="dcterms:W3CDTF">2026-08-24T21:55:00Z</dcterms:created>
  <dcterms:modified xsi:type="dcterms:W3CDTF">2026-08-26T19:11:00Z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KSOTemplateDocerSaveRecord">
    <vt:lpwstr>eyJoZGlkIjoiODhjYTk3ZDRiOGRlZDBhNGYxOGYxZGU1ZmI0YmFkZDMiLCJ1c2VySWQiOiIzOTA5MTE5NDcifQ==</vt:lpwstr>
  </property>
  <property fmtid="{D5CDD505-2E9C-101B-9397-08002B2CF9AE}" pid="10" name="KSOProductBuildVer">
    <vt:lpwstr>2052-12.1.0.26381</vt:lpwstr>
  </property>
  <property fmtid="{D5CDD505-2E9C-101B-9397-08002B2CF9AE}" pid="11" name="ICV">
    <vt:lpwstr>9162E0EFA42041CD96FF9BB11BEDEB55_12</vt:lpwstr>
  </property>
  <property fmtid="{D5CDD505-2E9C-101B-9397-08002B2CF9AE}" pid="12" name="ContentTypeId">
    <vt:lpwstr>0x0101007A328EB00E67F346B6174BE96D327B2B</vt:lpwstr>
  </property>
</Properties>
</file>