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106" w:type="dxa"/>
        <w:tblLook w:val="00A0" w:firstRow="1" w:lastRow="0" w:firstColumn="1" w:lastColumn="0" w:noHBand="0" w:noVBand="0"/>
      </w:tblPr>
      <w:tblGrid>
        <w:gridCol w:w="976"/>
        <w:gridCol w:w="5141"/>
        <w:gridCol w:w="4090"/>
      </w:tblGrid>
      <w:tr w:rsidR="00E94960" w:rsidRPr="00CC4D15" w14:paraId="33E7804A" w14:textId="77777777">
        <w:trPr>
          <w:trHeight w:val="844"/>
        </w:trPr>
        <w:tc>
          <w:tcPr>
            <w:tcW w:w="976" w:type="dxa"/>
            <w:tcBorders>
              <w:bottom w:val="single" w:sz="12" w:space="0" w:color="auto"/>
            </w:tcBorders>
          </w:tcPr>
          <w:p w14:paraId="33E78047" w14:textId="77777777" w:rsidR="00E94960" w:rsidRPr="00CC4D15" w:rsidRDefault="005A796F" w:rsidP="00D92D9F">
            <w:pPr>
              <w:rPr>
                <w:rFonts w:ascii="Cambria" w:eastAsia="SimSun" w:hAnsi="Cambria"/>
                <w:lang w:val="ru-RU"/>
              </w:rPr>
            </w:pPr>
            <w:bookmarkStart w:id="0" w:name="_Hlk505247837"/>
            <w:r>
              <w:rPr>
                <w:noProof/>
                <w:lang w:val="ru-RU" w:eastAsia="ru-RU"/>
              </w:rPr>
              <w:pict w14:anchorId="33E781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Macintosh HD:Users:bilodeau:Desktop:logos:template 2017:un.emf" style="position:absolute;left:0;text-align:left;margin-left:.05pt;margin-top:0;width:37.5pt;height:31.7pt;z-index:251658240;visibility:visible;mso-position-vertical-relative:page">
                  <v:imagedata r:id="rId7" o:title=""/>
                  <w10:wrap anchory="page"/>
                </v:shape>
              </w:pict>
            </w:r>
          </w:p>
        </w:tc>
        <w:tc>
          <w:tcPr>
            <w:tcW w:w="5141" w:type="dxa"/>
            <w:tcBorders>
              <w:bottom w:val="single" w:sz="12" w:space="0" w:color="auto"/>
            </w:tcBorders>
            <w:tcFitText/>
          </w:tcPr>
          <w:p w14:paraId="33E78048" w14:textId="77777777" w:rsidR="00E94960" w:rsidRPr="00CC4D15" w:rsidRDefault="005A796F" w:rsidP="00D92D9F">
            <w:pPr>
              <w:rPr>
                <w:rFonts w:ascii="Cambria" w:eastAsia="SimSun" w:hAnsi="Cambria"/>
                <w:lang w:val="ru-RU"/>
              </w:rPr>
            </w:pPr>
            <w:r>
              <w:rPr>
                <w:rFonts w:ascii="Cambria" w:eastAsia="SimSun" w:hAnsi="Cambria"/>
                <w:lang w:val="ru-RU"/>
              </w:rPr>
              <w:pict w14:anchorId="33E78147">
                <v:shape id="Image 2" o:spid="_x0000_i1025" type="#_x0000_t75" alt="unep-2017-ru-blk-sm2" style="width:67.5pt;height:28pt;visibility:visible">
                  <v:imagedata r:id="rId8" o:title="" cropbottom="26850f"/>
                </v:shape>
              </w:pict>
            </w:r>
          </w:p>
        </w:tc>
        <w:tc>
          <w:tcPr>
            <w:tcW w:w="4090" w:type="dxa"/>
            <w:tcBorders>
              <w:bottom w:val="single" w:sz="12" w:space="0" w:color="auto"/>
            </w:tcBorders>
          </w:tcPr>
          <w:p w14:paraId="33E78049" w14:textId="77777777" w:rsidR="00E94960" w:rsidRPr="00CC4D15" w:rsidRDefault="00E94960" w:rsidP="000361A6">
            <w:pPr>
              <w:jc w:val="right"/>
              <w:rPr>
                <w:rFonts w:ascii="Arial" w:eastAsia="SimSun" w:hAnsi="Arial" w:cs="Arial"/>
                <w:b/>
                <w:bCs/>
                <w:lang w:val="ru-RU"/>
              </w:rPr>
            </w:pPr>
            <w:r w:rsidRPr="00CC4D15">
              <w:rPr>
                <w:rFonts w:ascii="Arial" w:eastAsia="SimSun" w:hAnsi="Arial" w:cs="Arial"/>
                <w:b/>
                <w:bCs/>
                <w:lang w:val="ru-RU"/>
              </w:rPr>
              <w:t>CBD</w:t>
            </w:r>
          </w:p>
        </w:tc>
      </w:tr>
      <w:bookmarkEnd w:id="0"/>
    </w:tbl>
    <w:p w14:paraId="33E7804B" w14:textId="77777777" w:rsidR="00E94960" w:rsidRPr="00CC4D15" w:rsidRDefault="00E94960" w:rsidP="000361A6">
      <w:pPr>
        <w:rPr>
          <w:vanish/>
          <w:lang w:val="ru-RU"/>
        </w:rPr>
      </w:pPr>
    </w:p>
    <w:tbl>
      <w:tblPr>
        <w:tblW w:w="10207" w:type="dxa"/>
        <w:tblInd w:w="-106" w:type="dxa"/>
        <w:tblLook w:val="00A0" w:firstRow="1" w:lastRow="0" w:firstColumn="1" w:lastColumn="0" w:noHBand="0" w:noVBand="0"/>
      </w:tblPr>
      <w:tblGrid>
        <w:gridCol w:w="6117"/>
        <w:gridCol w:w="4090"/>
      </w:tblGrid>
      <w:tr w:rsidR="00E94960" w:rsidRPr="00CC4D15" w14:paraId="33E78056" w14:textId="77777777">
        <w:tc>
          <w:tcPr>
            <w:tcW w:w="6117" w:type="dxa"/>
            <w:tcBorders>
              <w:top w:val="single" w:sz="12" w:space="0" w:color="auto"/>
              <w:bottom w:val="single" w:sz="36" w:space="0" w:color="auto"/>
            </w:tcBorders>
            <w:vAlign w:val="center"/>
          </w:tcPr>
          <w:p w14:paraId="33E7804C" w14:textId="77777777" w:rsidR="00E94960" w:rsidRPr="00CC4D15" w:rsidRDefault="005A796F" w:rsidP="000361A6">
            <w:pPr>
              <w:suppressLineNumbers/>
              <w:suppressAutoHyphens/>
              <w:kinsoku w:val="0"/>
              <w:overflowPunct w:val="0"/>
              <w:autoSpaceDE w:val="0"/>
              <w:autoSpaceDN w:val="0"/>
              <w:rPr>
                <w:rFonts w:ascii="Cambria" w:eastAsia="SimSun" w:hAnsi="Cambria"/>
                <w:lang w:val="ru-RU"/>
              </w:rPr>
            </w:pPr>
            <w:r>
              <w:rPr>
                <w:rFonts w:ascii="Cambria" w:eastAsia="SimSun" w:hAnsi="Cambria"/>
                <w:lang w:val="ru-RU"/>
              </w:rPr>
              <w:pict w14:anchorId="33E78148">
                <v:shape id="Image 4" o:spid="_x0000_i1026" type="#_x0000_t75" style="width:204.5pt;height:85pt;visibility:visible">
                  <v:imagedata r:id="rId9" o:title=""/>
                </v:shape>
              </w:pict>
            </w:r>
          </w:p>
        </w:tc>
        <w:tc>
          <w:tcPr>
            <w:tcW w:w="4090" w:type="dxa"/>
            <w:tcBorders>
              <w:top w:val="single" w:sz="12" w:space="0" w:color="auto"/>
              <w:bottom w:val="single" w:sz="36" w:space="0" w:color="auto"/>
            </w:tcBorders>
          </w:tcPr>
          <w:p w14:paraId="33E7804D" w14:textId="77777777" w:rsidR="00E94960" w:rsidRPr="0019057B" w:rsidRDefault="00E94960" w:rsidP="000361A6">
            <w:pPr>
              <w:suppressLineNumbers/>
              <w:suppressAutoHyphens/>
              <w:kinsoku w:val="0"/>
              <w:overflowPunct w:val="0"/>
              <w:autoSpaceDE w:val="0"/>
              <w:autoSpaceDN w:val="0"/>
              <w:ind w:left="1215"/>
              <w:rPr>
                <w:rFonts w:eastAsia="SimSun"/>
                <w:lang w:val="en-US"/>
              </w:rPr>
            </w:pPr>
            <w:r w:rsidRPr="0019057B">
              <w:rPr>
                <w:rFonts w:eastAsia="SimSun"/>
                <w:lang w:val="en-US"/>
              </w:rPr>
              <w:t>Distr.</w:t>
            </w:r>
          </w:p>
          <w:p w14:paraId="33E7804E" w14:textId="77777777" w:rsidR="00E94960" w:rsidRPr="0019057B" w:rsidRDefault="00E94960" w:rsidP="000361A6">
            <w:pPr>
              <w:suppressLineNumbers/>
              <w:suppressAutoHyphens/>
              <w:kinsoku w:val="0"/>
              <w:overflowPunct w:val="0"/>
              <w:autoSpaceDE w:val="0"/>
              <w:autoSpaceDN w:val="0"/>
              <w:ind w:left="1215"/>
              <w:rPr>
                <w:rFonts w:eastAsia="SimSun"/>
                <w:lang w:val="en-US"/>
              </w:rPr>
            </w:pPr>
            <w:r w:rsidRPr="0019057B">
              <w:rPr>
                <w:rFonts w:eastAsia="SimSun"/>
                <w:caps/>
                <w:lang w:val="en-US"/>
              </w:rPr>
              <w:t>GENERAL</w:t>
            </w:r>
          </w:p>
          <w:p w14:paraId="33E7804F" w14:textId="77777777" w:rsidR="00E94960" w:rsidRPr="0019057B" w:rsidRDefault="00E94960" w:rsidP="000361A6">
            <w:pPr>
              <w:suppressLineNumbers/>
              <w:suppressAutoHyphens/>
              <w:kinsoku w:val="0"/>
              <w:overflowPunct w:val="0"/>
              <w:autoSpaceDE w:val="0"/>
              <w:autoSpaceDN w:val="0"/>
              <w:ind w:left="1215"/>
              <w:rPr>
                <w:rFonts w:eastAsia="SimSun"/>
                <w:lang w:val="en-US"/>
              </w:rPr>
            </w:pPr>
          </w:p>
          <w:p w14:paraId="33E78050" w14:textId="77777777" w:rsidR="00E94960" w:rsidRPr="0019057B" w:rsidRDefault="00E94960" w:rsidP="000361A6">
            <w:pPr>
              <w:ind w:left="1215"/>
              <w:jc w:val="left"/>
              <w:rPr>
                <w:rFonts w:eastAsia="SimSun"/>
                <w:snapToGrid w:val="0"/>
                <w:kern w:val="22"/>
                <w:lang w:val="en-US"/>
              </w:rPr>
            </w:pPr>
            <w:r w:rsidRPr="0019057B">
              <w:rPr>
                <w:rFonts w:eastAsia="SimSun"/>
                <w:snapToGrid w:val="0"/>
                <w:kern w:val="22"/>
                <w:lang w:val="en-US"/>
              </w:rPr>
              <w:t>CBD/COP/15/9/Add.1</w:t>
            </w:r>
          </w:p>
          <w:p w14:paraId="33E78051" w14:textId="77777777" w:rsidR="00E94960" w:rsidRPr="00CC4D15" w:rsidRDefault="00E94960" w:rsidP="000361A6">
            <w:pPr>
              <w:suppressLineNumbers/>
              <w:suppressAutoHyphens/>
              <w:kinsoku w:val="0"/>
              <w:overflowPunct w:val="0"/>
              <w:autoSpaceDE w:val="0"/>
              <w:autoSpaceDN w:val="0"/>
              <w:ind w:left="1215"/>
              <w:rPr>
                <w:rFonts w:eastAsia="SimSun"/>
                <w:lang w:val="ru-RU"/>
              </w:rPr>
            </w:pPr>
            <w:r w:rsidRPr="00CC4D15">
              <w:rPr>
                <w:rFonts w:eastAsia="SimSun"/>
                <w:lang w:val="ru-RU"/>
              </w:rPr>
              <w:t>17 October 2022</w:t>
            </w:r>
          </w:p>
          <w:p w14:paraId="33E78052" w14:textId="77777777" w:rsidR="00E94960" w:rsidRPr="00CC4D15" w:rsidRDefault="00E94960" w:rsidP="000361A6">
            <w:pPr>
              <w:suppressLineNumbers/>
              <w:suppressAutoHyphens/>
              <w:kinsoku w:val="0"/>
              <w:overflowPunct w:val="0"/>
              <w:autoSpaceDE w:val="0"/>
              <w:autoSpaceDN w:val="0"/>
              <w:ind w:left="1215"/>
              <w:rPr>
                <w:rFonts w:eastAsia="SimSun"/>
                <w:lang w:val="ru-RU"/>
              </w:rPr>
            </w:pPr>
          </w:p>
          <w:p w14:paraId="33E78053" w14:textId="77777777" w:rsidR="00E94960" w:rsidRPr="00CC4D15" w:rsidRDefault="00E94960" w:rsidP="000361A6">
            <w:pPr>
              <w:suppressLineNumbers/>
              <w:suppressAutoHyphens/>
              <w:kinsoku w:val="0"/>
              <w:overflowPunct w:val="0"/>
              <w:autoSpaceDE w:val="0"/>
              <w:autoSpaceDN w:val="0"/>
              <w:ind w:left="1215"/>
              <w:rPr>
                <w:rFonts w:eastAsia="SimSun"/>
                <w:lang w:val="ru-RU"/>
              </w:rPr>
            </w:pPr>
            <w:r w:rsidRPr="00CC4D15">
              <w:rPr>
                <w:rFonts w:eastAsia="SimSun"/>
                <w:lang w:val="ru-RU"/>
              </w:rPr>
              <w:t>RUSSIAN</w:t>
            </w:r>
          </w:p>
          <w:p w14:paraId="33E78054" w14:textId="77777777" w:rsidR="00E94960" w:rsidRPr="00CC4D15" w:rsidRDefault="00E94960" w:rsidP="000361A6">
            <w:pPr>
              <w:suppressLineNumbers/>
              <w:suppressAutoHyphens/>
              <w:kinsoku w:val="0"/>
              <w:overflowPunct w:val="0"/>
              <w:autoSpaceDE w:val="0"/>
              <w:autoSpaceDN w:val="0"/>
              <w:ind w:left="1215"/>
              <w:rPr>
                <w:rFonts w:eastAsia="SimSun"/>
                <w:lang w:val="ru-RU"/>
              </w:rPr>
            </w:pPr>
            <w:r w:rsidRPr="00CC4D15">
              <w:rPr>
                <w:rFonts w:eastAsia="SimSun"/>
                <w:lang w:val="ru-RU"/>
              </w:rPr>
              <w:t>ORIGINAL: ENGLISH</w:t>
            </w:r>
          </w:p>
          <w:p w14:paraId="33E78055" w14:textId="77777777" w:rsidR="00E94960" w:rsidRPr="00CC4D15" w:rsidRDefault="00E94960" w:rsidP="000361A6">
            <w:pPr>
              <w:suppressLineNumbers/>
              <w:suppressAutoHyphens/>
              <w:kinsoku w:val="0"/>
              <w:overflowPunct w:val="0"/>
              <w:autoSpaceDE w:val="0"/>
              <w:autoSpaceDN w:val="0"/>
              <w:rPr>
                <w:rFonts w:ascii="Cambria" w:eastAsia="SimSun" w:hAnsi="Cambria"/>
                <w:lang w:val="ru-RU"/>
              </w:rPr>
            </w:pPr>
          </w:p>
        </w:tc>
      </w:tr>
    </w:tbl>
    <w:p w14:paraId="33E78057" w14:textId="77777777" w:rsidR="00E94960" w:rsidRPr="00CC4D15" w:rsidRDefault="00E94960" w:rsidP="00AA2CE3">
      <w:pPr>
        <w:pStyle w:val="meetingname"/>
        <w:suppressLineNumbers/>
        <w:suppressAutoHyphens/>
        <w:ind w:left="0" w:right="4398" w:firstLine="0"/>
        <w:rPr>
          <w:kern w:val="22"/>
          <w:lang w:val="ru-RU"/>
        </w:rPr>
      </w:pPr>
      <w:bookmarkStart w:id="1" w:name="Meeting"/>
      <w:r w:rsidRPr="00CC4D15">
        <w:rPr>
          <w:kern w:val="22"/>
          <w:lang w:val="ru-RU"/>
        </w:rPr>
        <w:t>КОНФЕРЕНЦИЯ СТОРОН КОНВЕНЦИИ О БИОЛОГИЧЕСКОМ РАЗНООБРАЗИИ</w:t>
      </w:r>
      <w:bookmarkEnd w:id="1"/>
    </w:p>
    <w:p w14:paraId="33E78058" w14:textId="77777777" w:rsidR="00E94960" w:rsidRPr="00CC4D15" w:rsidRDefault="00E94960" w:rsidP="00261973">
      <w:pPr>
        <w:suppressLineNumbers/>
        <w:suppressAutoHyphens/>
        <w:rPr>
          <w:snapToGrid w:val="0"/>
          <w:kern w:val="22"/>
          <w:lang w:val="ru-RU" w:eastAsia="nb-NO"/>
        </w:rPr>
      </w:pPr>
      <w:r w:rsidRPr="00CC4D15">
        <w:rPr>
          <w:snapToGrid w:val="0"/>
          <w:kern w:val="22"/>
          <w:lang w:val="ru-RU" w:eastAsia="nb-NO"/>
        </w:rPr>
        <w:t>Пятнадцатое совещание – часть II</w:t>
      </w:r>
    </w:p>
    <w:p w14:paraId="33E78059" w14:textId="77777777" w:rsidR="00E94960" w:rsidRPr="00CC4D15" w:rsidRDefault="00E94960" w:rsidP="00261973">
      <w:pPr>
        <w:suppressLineNumbers/>
        <w:suppressAutoHyphens/>
        <w:rPr>
          <w:snapToGrid w:val="0"/>
          <w:kern w:val="22"/>
          <w:lang w:val="ru-RU" w:eastAsia="nb-NO"/>
        </w:rPr>
      </w:pPr>
      <w:r w:rsidRPr="00CC4D15">
        <w:rPr>
          <w:snapToGrid w:val="0"/>
          <w:kern w:val="22"/>
          <w:lang w:val="ru-RU" w:eastAsia="nb-NO"/>
        </w:rPr>
        <w:t>Монреаль, Канада, 7–19 декабря 2022 года</w:t>
      </w:r>
    </w:p>
    <w:p w14:paraId="33E7805A" w14:textId="77777777" w:rsidR="00E94960" w:rsidRPr="00CC4D15" w:rsidRDefault="00E94960" w:rsidP="00261973">
      <w:pPr>
        <w:pStyle w:val="Header"/>
        <w:suppressLineNumbers/>
        <w:tabs>
          <w:tab w:val="left" w:pos="708"/>
        </w:tabs>
        <w:suppressAutoHyphens/>
        <w:rPr>
          <w:snapToGrid w:val="0"/>
          <w:kern w:val="22"/>
          <w:sz w:val="22"/>
          <w:szCs w:val="22"/>
          <w:lang w:val="ru-RU"/>
        </w:rPr>
      </w:pPr>
      <w:r w:rsidRPr="00CC4D15">
        <w:rPr>
          <w:snapToGrid w:val="0"/>
          <w:kern w:val="22"/>
          <w:sz w:val="22"/>
          <w:szCs w:val="22"/>
          <w:lang w:val="ru-RU"/>
        </w:rPr>
        <w:t>Пункт 8 повестки дня</w:t>
      </w:r>
    </w:p>
    <w:p w14:paraId="33E7805B" w14:textId="77777777" w:rsidR="00E94960" w:rsidRPr="00CC4D15" w:rsidRDefault="00E94960" w:rsidP="005C5B5F">
      <w:pPr>
        <w:pStyle w:val="Heading2"/>
        <w:suppressLineNumbers/>
        <w:tabs>
          <w:tab w:val="clear" w:pos="720"/>
        </w:tabs>
        <w:suppressAutoHyphens/>
        <w:kinsoku w:val="0"/>
        <w:overflowPunct w:val="0"/>
        <w:autoSpaceDE w:val="0"/>
        <w:autoSpaceDN w:val="0"/>
        <w:adjustRightInd w:val="0"/>
        <w:snapToGrid w:val="0"/>
        <w:spacing w:before="240" w:after="240"/>
        <w:rPr>
          <w:caps/>
          <w:snapToGrid w:val="0"/>
          <w:kern w:val="22"/>
          <w:lang w:val="ru-RU"/>
        </w:rPr>
      </w:pPr>
      <w:r w:rsidRPr="00CC4D15">
        <w:rPr>
          <w:caps/>
          <w:snapToGrid w:val="0"/>
          <w:kern w:val="22"/>
          <w:lang w:val="ru-RU"/>
        </w:rPr>
        <w:t>Обновленные сведения о результатах пересмотра/обновления и осуществления национальных стратегий и планов действий по сохранению биоразнообразия, включая национальные целевые задачи</w:t>
      </w:r>
    </w:p>
    <w:p w14:paraId="33E7805C" w14:textId="77777777" w:rsidR="00E94960" w:rsidRPr="00CC4D15" w:rsidRDefault="00E94960" w:rsidP="005C5B5F">
      <w:pPr>
        <w:pStyle w:val="Heading2"/>
        <w:suppressLineNumbers/>
        <w:tabs>
          <w:tab w:val="clear" w:pos="720"/>
        </w:tabs>
        <w:suppressAutoHyphens/>
        <w:kinsoku w:val="0"/>
        <w:overflowPunct w:val="0"/>
        <w:autoSpaceDE w:val="0"/>
        <w:autoSpaceDN w:val="0"/>
        <w:adjustRightInd w:val="0"/>
        <w:snapToGrid w:val="0"/>
        <w:spacing w:after="240"/>
        <w:rPr>
          <w:i/>
          <w:iCs/>
          <w:snapToGrid w:val="0"/>
          <w:kern w:val="22"/>
          <w:lang w:val="ru-RU"/>
        </w:rPr>
      </w:pPr>
      <w:r w:rsidRPr="00CC4D15">
        <w:rPr>
          <w:b w:val="0"/>
          <w:bCs w:val="0"/>
          <w:i/>
          <w:iCs/>
          <w:snapToGrid w:val="0"/>
          <w:kern w:val="22"/>
          <w:lang w:val="ru-RU"/>
        </w:rPr>
        <w:t>Записка Исполнительного секретаря</w:t>
      </w:r>
    </w:p>
    <w:p w14:paraId="33E7805D" w14:textId="77777777" w:rsidR="00E94960" w:rsidRPr="00CC4D15" w:rsidRDefault="00E94960" w:rsidP="008E0FCD">
      <w:pPr>
        <w:pStyle w:val="Heading1"/>
        <w:suppressLineNumbers/>
        <w:tabs>
          <w:tab w:val="clear" w:pos="720"/>
        </w:tabs>
        <w:suppressAutoHyphens/>
        <w:kinsoku w:val="0"/>
        <w:overflowPunct w:val="0"/>
        <w:autoSpaceDE w:val="0"/>
        <w:autoSpaceDN w:val="0"/>
        <w:adjustRightInd w:val="0"/>
        <w:snapToGrid w:val="0"/>
        <w:spacing w:before="120"/>
        <w:rPr>
          <w:snapToGrid w:val="0"/>
          <w:kern w:val="22"/>
          <w:sz w:val="22"/>
          <w:szCs w:val="22"/>
          <w:lang w:val="ru-RU"/>
        </w:rPr>
      </w:pPr>
      <w:r w:rsidRPr="00CC4D15">
        <w:rPr>
          <w:snapToGrid w:val="0"/>
          <w:kern w:val="22"/>
          <w:sz w:val="22"/>
          <w:szCs w:val="22"/>
          <w:lang w:val="ru-RU"/>
        </w:rPr>
        <w:t>I.</w:t>
      </w:r>
      <w:r w:rsidRPr="00CC4D15">
        <w:rPr>
          <w:snapToGrid w:val="0"/>
          <w:kern w:val="22"/>
          <w:sz w:val="22"/>
          <w:szCs w:val="22"/>
          <w:lang w:val="ru-RU"/>
        </w:rPr>
        <w:tab/>
      </w:r>
      <w:r w:rsidRPr="00CC4D15">
        <w:rPr>
          <w:caps w:val="0"/>
          <w:snapToGrid w:val="0"/>
          <w:kern w:val="22"/>
          <w:sz w:val="22"/>
          <w:szCs w:val="22"/>
          <w:lang w:val="ru-RU"/>
        </w:rPr>
        <w:t>ВВЕДЕНИЕ</w:t>
      </w:r>
    </w:p>
    <w:p w14:paraId="33E7805E"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Основными инструментами планирования для осуществления Конвенции на национальном уровне являются национальные стратегии и планы действий по сохранению биоразнообразия (НСПДСБ). В статье 6 Конвенции о биологическом разнообразии говорится, что каждая Договаривающаяся Сторона «в соответствии с ее конкретными условиями и возможностями разрабатывает национальные стратегии, планы или программы сохранения и устойчивого использования биологического разнообразия или адаптирует с этой целью существующие стратегии, планы или программы, которые отражают, в частности, изложенные в Конвенции меры, относящиеся к соответствующей Договаривающейся Стороне». С момента присоединения к Конвенции почти все Стороны (99%) разработали как минимум один вариант НСПДСБ.</w:t>
      </w:r>
    </w:p>
    <w:p w14:paraId="33E7805F" w14:textId="77777777" w:rsidR="00E94960" w:rsidRPr="00CC4D15" w:rsidRDefault="00E94960" w:rsidP="00D6123A">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решении X/2 Конференция Сторон настоятельно призвала Стороны рассмотреть, пересмотреть и обновить в соответствующих случаях свои НСПДСБ в соответствии со Стратегическим планом в области сохранения и устойчивого использования биоразнообразия на 2011–2020 гг. В Айтинской целевой задаче 17 в области биоразнообразия, которая должна была быть завершена в 2015 году, предусматривалось, что Стороны разработают и примут в качестве политического инструмента эффективные, коллективные и обновленные НСПДСБ и приступят к их реализации. Стороны также обязались установить национальные целевые задачи, используя Стратегический план в области сохранения и устойчивого использования биоразнообразия на 2011–2020 гг. и Айтинские целевые задачи в области биоразнообразия в качестве гибкой структуры.</w:t>
      </w:r>
    </w:p>
    <w:p w14:paraId="33E78060"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Настоящая записка обновлена на основе записки, представленной Вспомогательному органу по осуществлению на его 3-м совещании (CBD/SBI/3/2/Add.1), с целью отражения дальнейших мероприятий на национальном уровне, проведенных со времени подготовки предыдущего документа, с использованием информации, представленной странами, и тех НСПДСБ, которые были получены секретариатом на одном из официальных языков Организации Объединенных Наций к 17 октября 2022 года.</w:t>
      </w:r>
    </w:p>
    <w:p w14:paraId="33E78061" w14:textId="77777777" w:rsidR="00E94960" w:rsidRPr="00CC4D15" w:rsidRDefault="00E94960" w:rsidP="00FA05B8">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lang w:val="ru-RU"/>
        </w:rPr>
      </w:pPr>
      <w:r w:rsidRPr="00CC4D15">
        <w:rPr>
          <w:snapToGrid w:val="0"/>
          <w:kern w:val="22"/>
          <w:lang w:val="ru-RU"/>
        </w:rPr>
        <w:t xml:space="preserve">Результаты разработки или пересмотра/обновления НСПДСБ обобщены в разделе II. Краткое описание результатов постановки национальных целевых задач, в том числе касательно </w:t>
      </w:r>
      <w:r w:rsidRPr="00CC4D15">
        <w:rPr>
          <w:snapToGrid w:val="0"/>
          <w:kern w:val="22"/>
          <w:lang w:val="ru-RU"/>
        </w:rPr>
        <w:lastRenderedPageBreak/>
        <w:t>выполнения Айтинских целевых задач в области биоразнообразия, приведено в разделе III. Анализ содержания НСПДСБ, представленных со времени принятия Стратегического плана в области сохранения и устойчивого использования биоразнообразия на 2011–2020 гг., приведен в разделе IV. Соответствующая информация также представлена в документе о ходе осуществления Конвенции и Стратегического плана в области сохранения и устойчивого использования биоразнообразия на 2011–2020 гг. и выполнения Айтинских целевых задач в области биоразнообразия (CBD/COP/15/9).</w:t>
      </w:r>
    </w:p>
    <w:p w14:paraId="33E78062" w14:textId="77777777" w:rsidR="00E94960" w:rsidRPr="00CC4D15" w:rsidRDefault="00E94960" w:rsidP="00AF1DBA">
      <w:pPr>
        <w:pStyle w:val="Heading1"/>
        <w:ind w:left="1701" w:right="146" w:hanging="708"/>
        <w:jc w:val="left"/>
        <w:rPr>
          <w:snapToGrid w:val="0"/>
          <w:sz w:val="22"/>
          <w:szCs w:val="22"/>
          <w:lang w:val="ru-RU"/>
        </w:rPr>
      </w:pPr>
      <w:r w:rsidRPr="00CC4D15">
        <w:rPr>
          <w:snapToGrid w:val="0"/>
          <w:sz w:val="22"/>
          <w:szCs w:val="22"/>
          <w:lang w:val="ru-RU"/>
        </w:rPr>
        <w:t>II.</w:t>
      </w:r>
      <w:r w:rsidRPr="00CC4D15">
        <w:rPr>
          <w:snapToGrid w:val="0"/>
          <w:sz w:val="22"/>
          <w:szCs w:val="22"/>
          <w:lang w:val="ru-RU"/>
        </w:rPr>
        <w:tab/>
        <w:t>Результаты разработки или пересмотра и обновления национальных стратегий и планов действий по сохранению биоразнообразия</w:t>
      </w:r>
    </w:p>
    <w:p w14:paraId="33E78063"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С 1993 года 193 Стороны (99%) разработали не менее одного НСПДСБ, в то время как 3 Стороны еще не представили первые НСПДСБ. По состоянию на 17 октября 2022 года из 193 Сторон, которые подготовили НСПДСБ, 160 Сторон пересмотрели их по крайней мере один раз.</w:t>
      </w:r>
    </w:p>
    <w:p w14:paraId="33E78064"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 xml:space="preserve">В период после 10-го совещания Конференции Сторон большинство Сторон провело дальнейший пересмотр своих НСПДСБ с учетом решения </w:t>
      </w:r>
      <w:hyperlink r:id="rId10" w:history="1">
        <w:r w:rsidRPr="00CC4D15">
          <w:rPr>
            <w:rStyle w:val="Hyperlink"/>
            <w:snapToGrid w:val="0"/>
            <w:kern w:val="22"/>
            <w:lang w:val="ru-RU"/>
          </w:rPr>
          <w:t>X/2</w:t>
        </w:r>
      </w:hyperlink>
      <w:r w:rsidRPr="00CC4D15">
        <w:rPr>
          <w:snapToGrid w:val="0"/>
          <w:kern w:val="22"/>
          <w:lang w:val="ru-RU"/>
        </w:rPr>
        <w:t xml:space="preserve">. Из 145 стран, отвечающих критериям финансирования по линии Глобального экологического фонда (ГЭФ), 141 страна получила средства, зарезервированные в рамках ГЭФ-5 и ГЭФ-6 для мероприятий, стимулирующих деятельность по сохранению и устойчивому использованию биоразнообразия </w:t>
      </w:r>
      <w:r w:rsidRPr="00CC4D15">
        <w:rPr>
          <w:snapToGrid w:val="0"/>
          <w:kern w:val="22"/>
          <w:lang w:val="ru-RU"/>
        </w:rPr>
        <w:br/>
        <w:t>(49 стран через ПРООН, 84 страны через ЮНЕП, 1 страна через ФАО, 1 страна через Межамериканский банк развития (МАБР) и 6 стран посредством прямого доступа). Общий объем инвестиций в эти проекты пересмотра составил 31 231 908 долл. США из гранта ГЭФ (30 263 908 долл. США в рамках ГЭФ-5 и 968 000 долл. США в рамках ГЭФ-6) и 53 049 355 долл. США в виде общего совместного финансирования наличными и в нематериальной форме (52 219 355 долл. США в рамках ГЭФ-5 и 830 000 долл. США в рамках ГЭФ-6). Ряд Сторон, включая правительство Японии, действуя через Японский фонд биоразнообразия, оказали дополнительную поддержку процессу пересмотра НСПДСБ</w:t>
      </w:r>
      <w:r w:rsidRPr="00CC4D15">
        <w:rPr>
          <w:rStyle w:val="FootnoteReference"/>
          <w:snapToGrid w:val="0"/>
          <w:kern w:val="22"/>
          <w:sz w:val="22"/>
          <w:szCs w:val="22"/>
          <w:u w:val="none"/>
          <w:vertAlign w:val="superscript"/>
          <w:lang w:val="ru-RU"/>
        </w:rPr>
        <w:footnoteReference w:id="1"/>
      </w:r>
      <w:r w:rsidRPr="00CC4D15">
        <w:rPr>
          <w:snapToGrid w:val="0"/>
          <w:kern w:val="22"/>
          <w:lang w:val="ru-RU"/>
        </w:rPr>
        <w:t>.</w:t>
      </w:r>
    </w:p>
    <w:p w14:paraId="33E78065" w14:textId="77777777" w:rsidR="00E94960" w:rsidRPr="00CC4D15" w:rsidRDefault="00E94960" w:rsidP="0094438C">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lang w:val="ru-RU"/>
        </w:rPr>
      </w:pPr>
      <w:r w:rsidRPr="00CC4D15">
        <w:rPr>
          <w:snapToGrid w:val="0"/>
          <w:kern w:val="22"/>
          <w:lang w:val="ru-RU"/>
        </w:rPr>
        <w:t xml:space="preserve">К крайнему сроку, установленному в Айтинской целевой задаче 17 в области биоразнообразия на декабрь 2015 года, всего только 69 Сторон представили НСПДСБ, подготовленные или пересмотренные/обновленные в период после того, как был принят Стратегический план в области сохранения и устойчивого использования биоразнообразия на 2011–2020 гг. По состоянию на 17 октября 2022 года еще 108 стран представили НСПДСБ, в </w:t>
      </w:r>
      <w:r w:rsidRPr="00CC4D15">
        <w:rPr>
          <w:snapToGrid w:val="0"/>
          <w:kern w:val="22"/>
          <w:lang w:val="ru-RU"/>
        </w:rPr>
        <w:lastRenderedPageBreak/>
        <w:t>результате чего общее количество стран, представивших НСПДСБ, составило 177</w:t>
      </w:r>
      <w:r w:rsidRPr="00CC4D15">
        <w:rPr>
          <w:snapToGrid w:val="0"/>
          <w:kern w:val="22"/>
          <w:vertAlign w:val="superscript"/>
          <w:lang w:val="ru-RU"/>
        </w:rPr>
        <w:footnoteReference w:id="2"/>
      </w:r>
      <w:r w:rsidRPr="00CC4D15">
        <w:rPr>
          <w:snapToGrid w:val="0"/>
          <w:kern w:val="22"/>
          <w:lang w:val="ru-RU"/>
        </w:rPr>
        <w:t>. Из этого общего числа Сторон 154 Стороны представили пересмотренные НСПДСБ</w:t>
      </w:r>
      <w:r w:rsidRPr="00CC4D15">
        <w:rPr>
          <w:snapToGrid w:val="0"/>
          <w:kern w:val="22"/>
          <w:vertAlign w:val="superscript"/>
          <w:lang w:val="ru-RU"/>
        </w:rPr>
        <w:footnoteReference w:id="3"/>
      </w:r>
      <w:r w:rsidRPr="00CC4D15">
        <w:rPr>
          <w:snapToGrid w:val="0"/>
          <w:kern w:val="22"/>
          <w:vertAlign w:val="superscript"/>
          <w:lang w:val="ru-RU"/>
        </w:rPr>
        <w:t>,</w:t>
      </w:r>
      <w:r w:rsidRPr="00CC4D15">
        <w:rPr>
          <w:vertAlign w:val="superscript"/>
          <w:lang w:val="ru-RU"/>
        </w:rPr>
        <w:footnoteReference w:id="4"/>
      </w:r>
      <w:r w:rsidRPr="00CC4D15">
        <w:rPr>
          <w:snapToGrid w:val="0"/>
          <w:kern w:val="22"/>
          <w:lang w:val="ru-RU"/>
        </w:rPr>
        <w:t>. Несмотря на различные формы представления материалов, все представленные материалы рассматриваются как НСПДСБ для целей настоящего документа.</w:t>
      </w:r>
    </w:p>
    <w:p w14:paraId="33E78066" w14:textId="77777777" w:rsidR="00E94960" w:rsidRPr="00CC4D15" w:rsidRDefault="00E94960" w:rsidP="0094438C">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lang w:val="ru-RU"/>
        </w:rPr>
      </w:pPr>
      <w:r w:rsidRPr="00CC4D15">
        <w:rPr>
          <w:snapToGrid w:val="0"/>
          <w:kern w:val="22"/>
          <w:lang w:val="ru-RU"/>
        </w:rPr>
        <w:t>Ниже приводится нынешнее положение дел с подготовкой и пересмотром/обновлением НСПДСБ, неофициально сообщенное секретариату:</w:t>
      </w:r>
    </w:p>
    <w:p w14:paraId="33E78067" w14:textId="77777777" w:rsidR="00E94960" w:rsidRPr="00CC4D15" w:rsidRDefault="00E94960" w:rsidP="008F5C95">
      <w:pPr>
        <w:keepNext/>
        <w:suppressLineNumbers/>
        <w:suppressAutoHyphens/>
        <w:spacing w:before="120" w:after="120"/>
        <w:ind w:left="2170" w:hanging="1177"/>
        <w:jc w:val="left"/>
        <w:rPr>
          <w:snapToGrid w:val="0"/>
          <w:kern w:val="22"/>
          <w:lang w:val="ru-RU"/>
        </w:rPr>
      </w:pPr>
      <w:r w:rsidRPr="00CC4D15">
        <w:rPr>
          <w:b/>
          <w:bCs/>
          <w:snapToGrid w:val="0"/>
          <w:color w:val="000000"/>
          <w:kern w:val="22"/>
          <w:lang w:val="ru-RU"/>
        </w:rPr>
        <w:t>Таблица 1. Положение дел с подготовкой и пересмотром/обновлением НСПДСБ</w:t>
      </w:r>
      <w:r w:rsidRPr="00CC4D15">
        <w:rPr>
          <w:b/>
          <w:bCs/>
          <w:snapToGrid w:val="0"/>
          <w:color w:val="000000"/>
          <w:kern w:val="22"/>
          <w:lang w:val="ru-RU"/>
        </w:rPr>
        <w:br/>
        <w:t>на 17 октября 2022 года</w:t>
      </w:r>
    </w:p>
    <w:tbl>
      <w:tblPr>
        <w:tblW w:w="8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286"/>
        <w:gridCol w:w="1781"/>
      </w:tblGrid>
      <w:tr w:rsidR="00E94960" w:rsidRPr="00CC4D15" w14:paraId="33E7806A" w14:textId="77777777">
        <w:trPr>
          <w:cantSplit/>
          <w:jc w:val="center"/>
        </w:trPr>
        <w:tc>
          <w:tcPr>
            <w:tcW w:w="6286" w:type="dxa"/>
            <w:noWrap/>
            <w:tcMar>
              <w:top w:w="0" w:type="dxa"/>
              <w:left w:w="70" w:type="dxa"/>
              <w:bottom w:w="0" w:type="dxa"/>
              <w:right w:w="70" w:type="dxa"/>
            </w:tcMar>
          </w:tcPr>
          <w:p w14:paraId="33E78068" w14:textId="77777777" w:rsidR="00E94960" w:rsidRPr="00CC4D15" w:rsidRDefault="00E94960" w:rsidP="00232464">
            <w:pPr>
              <w:suppressLineNumbers/>
              <w:suppressAutoHyphens/>
              <w:kinsoku w:val="0"/>
              <w:overflowPunct w:val="0"/>
              <w:autoSpaceDE w:val="0"/>
              <w:autoSpaceDN w:val="0"/>
              <w:adjustRightInd w:val="0"/>
              <w:snapToGrid w:val="0"/>
              <w:jc w:val="left"/>
              <w:rPr>
                <w:snapToGrid w:val="0"/>
                <w:color w:val="000000"/>
                <w:kern w:val="22"/>
                <w:lang w:val="ru-RU"/>
              </w:rPr>
            </w:pPr>
            <w:r w:rsidRPr="00CC4D15">
              <w:rPr>
                <w:snapToGrid w:val="0"/>
                <w:color w:val="000000"/>
                <w:kern w:val="22"/>
                <w:lang w:val="ru-RU"/>
              </w:rPr>
              <w:t>НСПДСБ, представленные в секретариат</w:t>
            </w:r>
          </w:p>
        </w:tc>
        <w:tc>
          <w:tcPr>
            <w:tcW w:w="1781" w:type="dxa"/>
            <w:noWrap/>
            <w:tcMar>
              <w:top w:w="0" w:type="dxa"/>
              <w:left w:w="70" w:type="dxa"/>
              <w:bottom w:w="0" w:type="dxa"/>
              <w:right w:w="720" w:type="dxa"/>
            </w:tcMar>
          </w:tcPr>
          <w:p w14:paraId="33E78069" w14:textId="77777777" w:rsidR="00E94960" w:rsidRPr="00CC4D15" w:rsidRDefault="00E94960" w:rsidP="00232464">
            <w:pPr>
              <w:suppressLineNumbers/>
              <w:suppressAutoHyphens/>
              <w:kinsoku w:val="0"/>
              <w:overflowPunct w:val="0"/>
              <w:autoSpaceDE w:val="0"/>
              <w:autoSpaceDN w:val="0"/>
              <w:adjustRightInd w:val="0"/>
              <w:snapToGrid w:val="0"/>
              <w:jc w:val="right"/>
              <w:rPr>
                <w:snapToGrid w:val="0"/>
                <w:kern w:val="22"/>
                <w:lang w:val="ru-RU"/>
              </w:rPr>
            </w:pPr>
            <w:r w:rsidRPr="00CC4D15">
              <w:rPr>
                <w:snapToGrid w:val="0"/>
                <w:kern w:val="22"/>
                <w:lang w:val="ru-RU"/>
              </w:rPr>
              <w:t>177</w:t>
            </w:r>
          </w:p>
        </w:tc>
      </w:tr>
      <w:tr w:rsidR="00E94960" w:rsidRPr="00CC4D15" w14:paraId="33E7806D" w14:textId="77777777">
        <w:trPr>
          <w:cantSplit/>
          <w:jc w:val="center"/>
        </w:trPr>
        <w:tc>
          <w:tcPr>
            <w:tcW w:w="6286" w:type="dxa"/>
            <w:tcMar>
              <w:top w:w="0" w:type="dxa"/>
              <w:left w:w="70" w:type="dxa"/>
              <w:bottom w:w="0" w:type="dxa"/>
              <w:right w:w="70" w:type="dxa"/>
            </w:tcMar>
          </w:tcPr>
          <w:p w14:paraId="33E7806B" w14:textId="77777777" w:rsidR="00E94960" w:rsidRPr="00CC4D15" w:rsidRDefault="00E94960" w:rsidP="00627FB6">
            <w:pPr>
              <w:suppressLineNumbers/>
              <w:suppressAutoHyphens/>
              <w:kinsoku w:val="0"/>
              <w:overflowPunct w:val="0"/>
              <w:autoSpaceDE w:val="0"/>
              <w:autoSpaceDN w:val="0"/>
              <w:adjustRightInd w:val="0"/>
              <w:snapToGrid w:val="0"/>
              <w:jc w:val="left"/>
              <w:rPr>
                <w:snapToGrid w:val="0"/>
                <w:color w:val="000000"/>
                <w:kern w:val="22"/>
                <w:lang w:val="ru-RU"/>
              </w:rPr>
            </w:pPr>
            <w:r w:rsidRPr="00CC4D15">
              <w:rPr>
                <w:snapToGrid w:val="0"/>
                <w:color w:val="000000"/>
                <w:kern w:val="22"/>
                <w:lang w:val="ru-RU"/>
              </w:rPr>
              <w:t>НСПДСБ, находящиеся в процессе подготовки или пересмотра либо подготовленные и ожидающие окончательного утверждения</w:t>
            </w:r>
          </w:p>
        </w:tc>
        <w:tc>
          <w:tcPr>
            <w:tcW w:w="1781" w:type="dxa"/>
            <w:noWrap/>
            <w:tcMar>
              <w:top w:w="0" w:type="dxa"/>
              <w:left w:w="70" w:type="dxa"/>
              <w:bottom w:w="0" w:type="dxa"/>
              <w:right w:w="720" w:type="dxa"/>
            </w:tcMar>
          </w:tcPr>
          <w:p w14:paraId="33E7806C" w14:textId="77777777" w:rsidR="00E94960" w:rsidRPr="00CC4D15" w:rsidRDefault="00E94960" w:rsidP="00232464">
            <w:pPr>
              <w:suppressLineNumbers/>
              <w:suppressAutoHyphens/>
              <w:kinsoku w:val="0"/>
              <w:overflowPunct w:val="0"/>
              <w:autoSpaceDE w:val="0"/>
              <w:autoSpaceDN w:val="0"/>
              <w:adjustRightInd w:val="0"/>
              <w:snapToGrid w:val="0"/>
              <w:jc w:val="right"/>
              <w:rPr>
                <w:snapToGrid w:val="0"/>
                <w:kern w:val="22"/>
                <w:lang w:val="ru-RU"/>
              </w:rPr>
            </w:pPr>
            <w:r w:rsidRPr="00CC4D15">
              <w:rPr>
                <w:snapToGrid w:val="0"/>
                <w:kern w:val="22"/>
                <w:lang w:val="ru-RU"/>
              </w:rPr>
              <w:t>16</w:t>
            </w:r>
          </w:p>
        </w:tc>
      </w:tr>
      <w:tr w:rsidR="00E94960" w:rsidRPr="005A796F" w14:paraId="33E78070" w14:textId="77777777">
        <w:trPr>
          <w:cantSplit/>
          <w:jc w:val="center"/>
        </w:trPr>
        <w:tc>
          <w:tcPr>
            <w:tcW w:w="6286" w:type="dxa"/>
            <w:noWrap/>
            <w:tcMar>
              <w:top w:w="0" w:type="dxa"/>
              <w:left w:w="70" w:type="dxa"/>
              <w:bottom w:w="0" w:type="dxa"/>
              <w:right w:w="70" w:type="dxa"/>
            </w:tcMar>
          </w:tcPr>
          <w:p w14:paraId="33E7806E" w14:textId="77777777" w:rsidR="00E94960" w:rsidRPr="00CC4D15" w:rsidRDefault="00E94960" w:rsidP="00232464">
            <w:pPr>
              <w:suppressLineNumbers/>
              <w:suppressAutoHyphens/>
              <w:kinsoku w:val="0"/>
              <w:overflowPunct w:val="0"/>
              <w:autoSpaceDE w:val="0"/>
              <w:autoSpaceDN w:val="0"/>
              <w:adjustRightInd w:val="0"/>
              <w:snapToGrid w:val="0"/>
              <w:jc w:val="left"/>
              <w:rPr>
                <w:snapToGrid w:val="0"/>
                <w:color w:val="000000"/>
                <w:kern w:val="22"/>
                <w:lang w:val="ru-RU"/>
              </w:rPr>
            </w:pPr>
            <w:r w:rsidRPr="00CC4D15">
              <w:rPr>
                <w:snapToGrid w:val="0"/>
                <w:color w:val="000000"/>
                <w:kern w:val="22"/>
                <w:lang w:val="ru-RU"/>
              </w:rPr>
              <w:t>Обновление НСПДСБ в ближайшем будущем не предусмотрено</w:t>
            </w:r>
          </w:p>
        </w:tc>
        <w:tc>
          <w:tcPr>
            <w:tcW w:w="1781" w:type="dxa"/>
            <w:noWrap/>
            <w:tcMar>
              <w:top w:w="0" w:type="dxa"/>
              <w:left w:w="70" w:type="dxa"/>
              <w:bottom w:w="0" w:type="dxa"/>
              <w:right w:w="720" w:type="dxa"/>
            </w:tcMar>
          </w:tcPr>
          <w:p w14:paraId="33E7806F" w14:textId="77777777" w:rsidR="00E94960" w:rsidRPr="00CC4D15" w:rsidRDefault="00E94960" w:rsidP="00232464">
            <w:pPr>
              <w:pStyle w:val="ListParagraph"/>
              <w:suppressLineNumbers/>
              <w:suppressAutoHyphens/>
              <w:kinsoku w:val="0"/>
              <w:overflowPunct w:val="0"/>
              <w:autoSpaceDE w:val="0"/>
              <w:autoSpaceDN w:val="0"/>
              <w:adjustRightInd w:val="0"/>
              <w:snapToGrid w:val="0"/>
              <w:jc w:val="right"/>
              <w:rPr>
                <w:snapToGrid w:val="0"/>
                <w:color w:val="000000"/>
                <w:kern w:val="22"/>
                <w:lang w:val="ru-RU"/>
              </w:rPr>
            </w:pPr>
          </w:p>
        </w:tc>
      </w:tr>
      <w:tr w:rsidR="00E94960" w:rsidRPr="00CC4D15" w14:paraId="33E78073" w14:textId="77777777">
        <w:trPr>
          <w:cantSplit/>
          <w:jc w:val="center"/>
        </w:trPr>
        <w:tc>
          <w:tcPr>
            <w:tcW w:w="6286" w:type="dxa"/>
            <w:tcMar>
              <w:top w:w="0" w:type="dxa"/>
              <w:left w:w="70" w:type="dxa"/>
              <w:bottom w:w="0" w:type="dxa"/>
              <w:right w:w="70" w:type="dxa"/>
            </w:tcMar>
          </w:tcPr>
          <w:p w14:paraId="33E78071" w14:textId="77777777" w:rsidR="00E94960" w:rsidRPr="00CC4D15" w:rsidRDefault="00E94960" w:rsidP="00232464">
            <w:pPr>
              <w:suppressLineNumbers/>
              <w:suppressAutoHyphens/>
              <w:kinsoku w:val="0"/>
              <w:overflowPunct w:val="0"/>
              <w:autoSpaceDE w:val="0"/>
              <w:autoSpaceDN w:val="0"/>
              <w:adjustRightInd w:val="0"/>
              <w:snapToGrid w:val="0"/>
              <w:jc w:val="left"/>
              <w:rPr>
                <w:snapToGrid w:val="0"/>
                <w:color w:val="000000"/>
                <w:kern w:val="22"/>
                <w:lang w:val="ru-RU"/>
              </w:rPr>
            </w:pPr>
            <w:r w:rsidRPr="00CC4D15">
              <w:rPr>
                <w:snapToGrid w:val="0"/>
                <w:color w:val="000000"/>
                <w:kern w:val="22"/>
                <w:lang w:val="ru-RU"/>
              </w:rPr>
              <w:t>Нет сведений</w:t>
            </w:r>
          </w:p>
        </w:tc>
        <w:tc>
          <w:tcPr>
            <w:tcW w:w="1781" w:type="dxa"/>
            <w:noWrap/>
            <w:tcMar>
              <w:top w:w="0" w:type="dxa"/>
              <w:left w:w="70" w:type="dxa"/>
              <w:bottom w:w="0" w:type="dxa"/>
              <w:right w:w="720" w:type="dxa"/>
            </w:tcMar>
          </w:tcPr>
          <w:p w14:paraId="33E78072" w14:textId="77777777" w:rsidR="00E94960" w:rsidRPr="00CC4D15" w:rsidRDefault="00E94960" w:rsidP="00232464">
            <w:pPr>
              <w:suppressLineNumbers/>
              <w:suppressAutoHyphens/>
              <w:kinsoku w:val="0"/>
              <w:overflowPunct w:val="0"/>
              <w:autoSpaceDE w:val="0"/>
              <w:autoSpaceDN w:val="0"/>
              <w:adjustRightInd w:val="0"/>
              <w:snapToGrid w:val="0"/>
              <w:jc w:val="right"/>
              <w:rPr>
                <w:snapToGrid w:val="0"/>
                <w:color w:val="000000"/>
                <w:kern w:val="22"/>
                <w:lang w:val="ru-RU"/>
              </w:rPr>
            </w:pPr>
            <w:r w:rsidRPr="00CC4D15">
              <w:rPr>
                <w:snapToGrid w:val="0"/>
                <w:color w:val="000000"/>
                <w:kern w:val="22"/>
                <w:lang w:val="ru-RU"/>
              </w:rPr>
              <w:t xml:space="preserve">3 </w:t>
            </w:r>
          </w:p>
        </w:tc>
      </w:tr>
      <w:tr w:rsidR="00E94960" w:rsidRPr="00CC4D15" w14:paraId="33E78076" w14:textId="77777777">
        <w:trPr>
          <w:cantSplit/>
          <w:jc w:val="center"/>
        </w:trPr>
        <w:tc>
          <w:tcPr>
            <w:tcW w:w="6286" w:type="dxa"/>
            <w:noWrap/>
            <w:tcMar>
              <w:top w:w="0" w:type="dxa"/>
              <w:left w:w="70" w:type="dxa"/>
              <w:bottom w:w="0" w:type="dxa"/>
              <w:right w:w="70" w:type="dxa"/>
            </w:tcMar>
          </w:tcPr>
          <w:p w14:paraId="33E78074" w14:textId="77777777" w:rsidR="00E94960" w:rsidRPr="00CC4D15" w:rsidRDefault="00E94960" w:rsidP="00232464">
            <w:pPr>
              <w:suppressLineNumbers/>
              <w:suppressAutoHyphens/>
              <w:kinsoku w:val="0"/>
              <w:overflowPunct w:val="0"/>
              <w:autoSpaceDE w:val="0"/>
              <w:autoSpaceDN w:val="0"/>
              <w:adjustRightInd w:val="0"/>
              <w:snapToGrid w:val="0"/>
              <w:jc w:val="left"/>
              <w:rPr>
                <w:b/>
                <w:bCs/>
                <w:snapToGrid w:val="0"/>
                <w:color w:val="000000"/>
                <w:kern w:val="22"/>
                <w:lang w:val="ru-RU"/>
              </w:rPr>
            </w:pPr>
            <w:r w:rsidRPr="00CC4D15">
              <w:rPr>
                <w:b/>
                <w:bCs/>
                <w:snapToGrid w:val="0"/>
                <w:color w:val="000000"/>
                <w:kern w:val="22"/>
                <w:lang w:val="ru-RU"/>
              </w:rPr>
              <w:t>ИТОГО</w:t>
            </w:r>
          </w:p>
        </w:tc>
        <w:tc>
          <w:tcPr>
            <w:tcW w:w="1781" w:type="dxa"/>
            <w:noWrap/>
            <w:tcMar>
              <w:top w:w="0" w:type="dxa"/>
              <w:left w:w="70" w:type="dxa"/>
              <w:bottom w:w="0" w:type="dxa"/>
              <w:right w:w="720" w:type="dxa"/>
            </w:tcMar>
          </w:tcPr>
          <w:p w14:paraId="33E78075" w14:textId="77777777" w:rsidR="00E94960" w:rsidRPr="00CC4D15" w:rsidRDefault="00E94960" w:rsidP="00232464">
            <w:pPr>
              <w:suppressLineNumbers/>
              <w:suppressAutoHyphens/>
              <w:kinsoku w:val="0"/>
              <w:overflowPunct w:val="0"/>
              <w:autoSpaceDE w:val="0"/>
              <w:autoSpaceDN w:val="0"/>
              <w:adjustRightInd w:val="0"/>
              <w:snapToGrid w:val="0"/>
              <w:jc w:val="right"/>
              <w:rPr>
                <w:b/>
                <w:bCs/>
                <w:snapToGrid w:val="0"/>
                <w:color w:val="000000"/>
                <w:kern w:val="22"/>
                <w:lang w:val="ru-RU"/>
              </w:rPr>
            </w:pPr>
            <w:r w:rsidRPr="00CC4D15">
              <w:rPr>
                <w:b/>
                <w:bCs/>
                <w:snapToGrid w:val="0"/>
                <w:color w:val="000000"/>
                <w:kern w:val="22"/>
                <w:lang w:val="ru-RU"/>
              </w:rPr>
              <w:t>196</w:t>
            </w:r>
          </w:p>
        </w:tc>
      </w:tr>
    </w:tbl>
    <w:p w14:paraId="33E78077" w14:textId="77777777" w:rsidR="00E94960" w:rsidRPr="00CC4D15" w:rsidRDefault="00E94960" w:rsidP="007C63E4">
      <w:pPr>
        <w:pStyle w:val="Heading1"/>
        <w:ind w:left="1418" w:hanging="709"/>
        <w:jc w:val="left"/>
        <w:rPr>
          <w:snapToGrid w:val="0"/>
          <w:sz w:val="22"/>
          <w:szCs w:val="22"/>
          <w:lang w:val="ru-RU"/>
        </w:rPr>
      </w:pPr>
      <w:bookmarkStart w:id="3" w:name="_Hlk32244040"/>
      <w:r w:rsidRPr="00CC4D15">
        <w:rPr>
          <w:snapToGrid w:val="0"/>
          <w:sz w:val="22"/>
          <w:szCs w:val="22"/>
          <w:lang w:val="ru-RU"/>
        </w:rPr>
        <w:lastRenderedPageBreak/>
        <w:t>III.</w:t>
      </w:r>
      <w:r w:rsidRPr="00CC4D15">
        <w:rPr>
          <w:snapToGrid w:val="0"/>
          <w:sz w:val="22"/>
          <w:szCs w:val="22"/>
          <w:lang w:val="ru-RU"/>
        </w:rPr>
        <w:tab/>
        <w:t>Прогресс в установлении национальных целевых задач применительно к ВЫПОЛНЕНИЮ АЙТИНСКИХ целевых задач В ОБЛАСТИ биоразнообразия</w:t>
      </w:r>
    </w:p>
    <w:p w14:paraId="33E78078"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bookmarkStart w:id="4" w:name="_Ref320369045"/>
      <w:r w:rsidRPr="00CC4D15">
        <w:rPr>
          <w:snapToGrid w:val="0"/>
          <w:kern w:val="22"/>
          <w:lang w:val="ru-RU"/>
        </w:rPr>
        <w:t>В решении X/2 Конференция Сторон призвала Стороны и другие правительства разработать национальные и региональные целевые задачи, используя Стратегический план в области сохранения и устойчивого использования биоразнообразия на 2011–2020 гг. и Айтинские целевые задачи в области биоразнообразия как гибкую структуру, в соответствии с национальными приоритетами и возможностями и с учетом положения дел и тенденций в области биологического разнообразия в стране и ресурсов, обеспечиваемых за счет стратегии мобилизации ресурсов, и, кроме того, с учетом национального вклада в достижение глобальных целевых задач и сообщить о результатах Конференции Сторон на ее 11-м совещании. Лишь очень немногие Стороны справились с данной задачей в указанный срок. Однако по состоянию на 17 октября 2022 года 173 Стороны представили национальные целевые задачи.</w:t>
      </w:r>
      <w:bookmarkEnd w:id="4"/>
    </w:p>
    <w:p w14:paraId="33E78079" w14:textId="77777777" w:rsidR="00E94960" w:rsidRPr="00CC4D15" w:rsidRDefault="00E94960" w:rsidP="007C63E4">
      <w:pPr>
        <w:numPr>
          <w:ilvl w:val="0"/>
          <w:numId w:val="6"/>
        </w:numPr>
        <w:suppressLineNumbers/>
        <w:tabs>
          <w:tab w:val="clear" w:pos="540"/>
        </w:tabs>
        <w:suppressAutoHyphens/>
        <w:kinsoku w:val="0"/>
        <w:overflowPunct w:val="0"/>
        <w:autoSpaceDE w:val="0"/>
        <w:autoSpaceDN w:val="0"/>
        <w:adjustRightInd w:val="0"/>
        <w:snapToGrid w:val="0"/>
        <w:spacing w:before="120"/>
        <w:ind w:left="0" w:firstLine="0"/>
        <w:rPr>
          <w:b/>
          <w:bCs/>
          <w:caps/>
          <w:snapToGrid w:val="0"/>
          <w:kern w:val="22"/>
          <w:lang w:val="ru-RU"/>
        </w:rPr>
      </w:pPr>
      <w:r w:rsidRPr="00CC4D15">
        <w:rPr>
          <w:snapToGrid w:val="0"/>
          <w:kern w:val="22"/>
          <w:lang w:val="ru-RU"/>
        </w:rPr>
        <w:t>Секретариат составил базу данных всех «целевых задач»</w:t>
      </w:r>
      <w:r w:rsidRPr="00CC4D15">
        <w:rPr>
          <w:snapToGrid w:val="0"/>
          <w:kern w:val="22"/>
          <w:vertAlign w:val="superscript"/>
          <w:lang w:val="ru-RU"/>
        </w:rPr>
        <w:footnoteReference w:id="5"/>
      </w:r>
      <w:r w:rsidRPr="00CC4D15">
        <w:rPr>
          <w:snapToGrid w:val="0"/>
          <w:kern w:val="22"/>
          <w:lang w:val="ru-RU"/>
        </w:rPr>
        <w:t>, включенных в НСПДСБ, пятые национальные доклады или в отдельные документы, которые были представлены в период после 10-го совещания Конференции Сторон. По состоянию на 17 октября 2022 года база данных содержит 4464 отдельных «целевых задач». В базе данных отражены все случаи увязывания соответствующей Стороной своих национальных целевых задач с глобальными. На сегодняшний день это сделали 104 Стороны</w:t>
      </w:r>
      <w:r w:rsidRPr="00CC4D15">
        <w:rPr>
          <w:snapToGrid w:val="0"/>
          <w:kern w:val="22"/>
          <w:vertAlign w:val="superscript"/>
          <w:lang w:val="ru-RU"/>
        </w:rPr>
        <w:footnoteReference w:id="6"/>
      </w:r>
      <w:r w:rsidRPr="00CC4D15">
        <w:rPr>
          <w:snapToGrid w:val="0"/>
          <w:kern w:val="22"/>
          <w:lang w:val="ru-RU"/>
        </w:rPr>
        <w:t>. Дальнейший анализ национальных целевых задач приведен в обновленном анализе вклада целевых задач, поставленных Сторонами, и результатов выполнения Айтинских целевых задач в области биоразнообразия (CBD/COP/15/9/Add.2).</w:t>
      </w:r>
      <w:bookmarkEnd w:id="3"/>
    </w:p>
    <w:p w14:paraId="33E7807A" w14:textId="77777777" w:rsidR="00E94960" w:rsidRPr="00CC4D15" w:rsidRDefault="00E94960" w:rsidP="002A700F">
      <w:pPr>
        <w:pStyle w:val="Heading1"/>
        <w:ind w:left="1418" w:right="429" w:hanging="709"/>
        <w:jc w:val="left"/>
        <w:rPr>
          <w:snapToGrid w:val="0"/>
          <w:sz w:val="22"/>
          <w:szCs w:val="22"/>
          <w:lang w:val="ru-RU"/>
        </w:rPr>
      </w:pPr>
      <w:r w:rsidRPr="00CC4D15">
        <w:rPr>
          <w:snapToGrid w:val="0"/>
          <w:sz w:val="22"/>
          <w:szCs w:val="22"/>
          <w:lang w:val="ru-RU"/>
        </w:rPr>
        <w:t>IV.</w:t>
      </w:r>
      <w:r w:rsidRPr="00CC4D15">
        <w:rPr>
          <w:snapToGrid w:val="0"/>
          <w:sz w:val="22"/>
          <w:szCs w:val="22"/>
          <w:lang w:val="ru-RU"/>
        </w:rPr>
        <w:tab/>
        <w:t>Анализ содержания НСПДСБ, ПОЛУЧЕННЫХ в период ПОСЛЕ ПРИНЯТИЯ СТРАТЕГИЧЕСКОГО ПЛАНА В ОБЛАСТИ СОХРАНЕНИЯ И УСТОЙЧИВОГО ИСПОЛЬЗОВАНИЯ БИОРАЗНООБРАЗИЯ НА 2011-2020 ГОДЫ</w:t>
      </w:r>
    </w:p>
    <w:p w14:paraId="33E7807B"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настоящем разделе представлены обновленные основные выводы по результатам внутреннего анализа 175 НСПДСБ, представленных на одном из официальных языков Организации Объединенных Наций в период между принятием Стратегического плана в области сохранения и устойчивого использования биоразнообразия и 17 октября 2022 года</w:t>
      </w:r>
      <w:r w:rsidRPr="00CC4D15">
        <w:rPr>
          <w:rStyle w:val="FootnoteReference"/>
          <w:snapToGrid w:val="0"/>
          <w:kern w:val="22"/>
          <w:sz w:val="22"/>
          <w:szCs w:val="22"/>
          <w:u w:val="none"/>
          <w:vertAlign w:val="superscript"/>
          <w:lang w:val="ru-RU"/>
        </w:rPr>
        <w:footnoteReference w:id="7"/>
      </w:r>
      <w:r w:rsidRPr="00CC4D15">
        <w:rPr>
          <w:snapToGrid w:val="0"/>
          <w:kern w:val="22"/>
          <w:lang w:val="ru-RU"/>
        </w:rPr>
        <w:t xml:space="preserve">. Критерии для данного анализа основаны на руководящих указаниях касательно НСПДСБ, принятых в </w:t>
      </w:r>
      <w:hyperlink r:id="rId11" w:history="1">
        <w:r w:rsidRPr="00CC4D15">
          <w:rPr>
            <w:rStyle w:val="Hyperlink"/>
            <w:snapToGrid w:val="0"/>
            <w:kern w:val="22"/>
            <w:lang w:val="ru-RU"/>
          </w:rPr>
          <w:t>решении IX/8</w:t>
        </w:r>
      </w:hyperlink>
      <w:r w:rsidRPr="00CC4D15">
        <w:rPr>
          <w:rStyle w:val="Hyperlink"/>
          <w:snapToGrid w:val="0"/>
          <w:color w:val="auto"/>
          <w:kern w:val="22"/>
          <w:u w:val="none"/>
          <w:lang w:val="ru-RU"/>
        </w:rPr>
        <w:t>. Он включает следующие категории</w:t>
      </w:r>
      <w:r w:rsidRPr="00CC4D15">
        <w:rPr>
          <w:snapToGrid w:val="0"/>
          <w:kern w:val="22"/>
          <w:lang w:val="ru-RU"/>
        </w:rPr>
        <w:t xml:space="preserve">: a) основная информация; b) процесс пересмотра; c) элементы НСПДСБ и d) учет проблематики. Если не указано иное, представленная </w:t>
      </w:r>
      <w:r w:rsidRPr="00CC4D15">
        <w:rPr>
          <w:snapToGrid w:val="0"/>
          <w:kern w:val="22"/>
          <w:lang w:val="ru-RU"/>
        </w:rPr>
        <w:lastRenderedPageBreak/>
        <w:t>в анализе информация взята из контента НСПДСБ. Далее приводится ограниченное число примеров для иллюстрации критериев настоящего анализа.</w:t>
      </w:r>
    </w:p>
    <w:p w14:paraId="33E7807C" w14:textId="77777777" w:rsidR="00E94960" w:rsidRPr="00CC4D15" w:rsidRDefault="00E94960" w:rsidP="007062D8">
      <w:pPr>
        <w:pStyle w:val="ListParagraph"/>
        <w:keepNext/>
        <w:numPr>
          <w:ilvl w:val="0"/>
          <w:numId w:val="34"/>
        </w:numPr>
        <w:suppressLineNumbers/>
        <w:suppressAutoHyphens/>
        <w:kinsoku w:val="0"/>
        <w:overflowPunct w:val="0"/>
        <w:autoSpaceDE w:val="0"/>
        <w:autoSpaceDN w:val="0"/>
        <w:adjustRightInd w:val="0"/>
        <w:snapToGrid w:val="0"/>
        <w:spacing w:before="120" w:after="120"/>
        <w:jc w:val="center"/>
        <w:outlineLvl w:val="1"/>
        <w:rPr>
          <w:b/>
          <w:bCs/>
          <w:i/>
          <w:iCs/>
          <w:snapToGrid w:val="0"/>
          <w:kern w:val="22"/>
          <w:lang w:val="ru-RU"/>
        </w:rPr>
      </w:pPr>
      <w:r w:rsidRPr="00CC4D15">
        <w:rPr>
          <w:b/>
          <w:bCs/>
          <w:snapToGrid w:val="0"/>
          <w:kern w:val="22"/>
          <w:lang w:val="ru-RU"/>
        </w:rPr>
        <w:t>Основная информация</w:t>
      </w:r>
    </w:p>
    <w:p w14:paraId="33E7807D" w14:textId="77777777" w:rsidR="00E94960" w:rsidRPr="00CC4D15" w:rsidRDefault="00E94960" w:rsidP="00D0136E">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lang w:val="ru-RU"/>
        </w:rPr>
      </w:pPr>
      <w:r w:rsidRPr="00CC4D15">
        <w:rPr>
          <w:snapToGrid w:val="0"/>
          <w:kern w:val="22"/>
          <w:lang w:val="ru-RU"/>
        </w:rPr>
        <w:t>Как указано в разделе II, НСПДСБ представлены в секретариат в различных формах. Однако</w:t>
      </w:r>
      <w:r w:rsidRPr="00CC4D15">
        <w:rPr>
          <w:kern w:val="22"/>
          <w:lang w:val="ru-RU" w:eastAsia="ru-RU"/>
        </w:rPr>
        <w:t xml:space="preserve"> </w:t>
      </w:r>
      <w:r w:rsidRPr="00CC4D15">
        <w:rPr>
          <w:snapToGrid w:val="0"/>
          <w:kern w:val="22"/>
          <w:lang w:val="ru-RU"/>
        </w:rPr>
        <w:t>для целей настоящего анализа все такие документы считаются НСПДСБ, и таковыми же их называет секретариат. 148 рассмотренных документов</w:t>
      </w:r>
      <w:r w:rsidRPr="00CC4D15">
        <w:rPr>
          <w:vertAlign w:val="superscript"/>
          <w:lang w:val="ru-RU"/>
        </w:rPr>
        <w:footnoteReference w:id="8"/>
      </w:r>
      <w:r w:rsidRPr="00CC4D15">
        <w:rPr>
          <w:snapToGrid w:val="0"/>
          <w:kern w:val="22"/>
          <w:lang w:val="ru-RU"/>
        </w:rPr>
        <w:t xml:space="preserve"> представляют собой национальные стратегии </w:t>
      </w:r>
      <w:r w:rsidRPr="00CC4D15">
        <w:rPr>
          <w:i/>
          <w:iCs/>
          <w:snapToGrid w:val="0"/>
          <w:kern w:val="22"/>
          <w:lang w:val="ru-RU"/>
        </w:rPr>
        <w:t>и</w:t>
      </w:r>
      <w:r w:rsidRPr="00CC4D15">
        <w:rPr>
          <w:snapToGrid w:val="0"/>
          <w:kern w:val="22"/>
          <w:lang w:val="ru-RU"/>
        </w:rPr>
        <w:t xml:space="preserve"> планы действий по сохранению биоразнообразия (НСПДСБ) </w:t>
      </w:r>
      <w:r w:rsidRPr="00CC4D15">
        <w:rPr>
          <w:i/>
          <w:iCs/>
          <w:snapToGrid w:val="0"/>
          <w:kern w:val="22"/>
          <w:lang w:val="ru-RU"/>
        </w:rPr>
        <w:t>или</w:t>
      </w:r>
      <w:r w:rsidRPr="00CC4D15">
        <w:rPr>
          <w:snapToGrid w:val="0"/>
          <w:kern w:val="22"/>
          <w:lang w:val="ru-RU"/>
        </w:rPr>
        <w:t xml:space="preserve"> только планы действий, а 24 документа представляют собой стратегические или политические документы</w:t>
      </w:r>
      <w:r w:rsidRPr="00CC4D15">
        <w:rPr>
          <w:vertAlign w:val="superscript"/>
          <w:lang w:val="ru-RU"/>
        </w:rPr>
        <w:footnoteReference w:id="9"/>
      </w:r>
      <w:r w:rsidRPr="00CC4D15">
        <w:rPr>
          <w:snapToGrid w:val="0"/>
          <w:kern w:val="22"/>
          <w:lang w:val="ru-RU"/>
        </w:rPr>
        <w:t>. Семь Сторон</w:t>
      </w:r>
      <w:r w:rsidRPr="00CC4D15">
        <w:rPr>
          <w:vertAlign w:val="superscript"/>
          <w:lang w:val="ru-RU"/>
        </w:rPr>
        <w:footnoteReference w:id="10"/>
      </w:r>
      <w:r w:rsidRPr="00CC4D15">
        <w:rPr>
          <w:snapToGrid w:val="0"/>
          <w:kern w:val="22"/>
          <w:lang w:val="ru-RU"/>
        </w:rPr>
        <w:t>, представивших такие стратегии, намереваются разработать планы действий, из них две Стороны сообщили о намерении принять меры для приведения своих планов в соответствие с глобальной рамочной программой по сохранению биоразнообразия на период после 2020 года</w:t>
      </w:r>
      <w:r w:rsidRPr="00CC4D15">
        <w:rPr>
          <w:vertAlign w:val="superscript"/>
          <w:lang w:val="ru-RU"/>
        </w:rPr>
        <w:footnoteReference w:id="11"/>
      </w:r>
      <w:r w:rsidRPr="00CC4D15">
        <w:rPr>
          <w:snapToGrid w:val="0"/>
          <w:kern w:val="22"/>
          <w:lang w:val="ru-RU"/>
        </w:rPr>
        <w:t>. Кроме того, три Стороны</w:t>
      </w:r>
      <w:r w:rsidRPr="00CC4D15">
        <w:rPr>
          <w:rStyle w:val="FootnoteReference"/>
          <w:snapToGrid w:val="0"/>
          <w:kern w:val="22"/>
          <w:sz w:val="22"/>
          <w:szCs w:val="22"/>
          <w:u w:val="none"/>
          <w:vertAlign w:val="superscript"/>
          <w:lang w:val="ru-RU"/>
        </w:rPr>
        <w:footnoteReference w:id="12"/>
      </w:r>
      <w:r w:rsidRPr="00CC4D15">
        <w:rPr>
          <w:snapToGrid w:val="0"/>
          <w:kern w:val="22"/>
          <w:lang w:val="ru-RU"/>
        </w:rPr>
        <w:t xml:space="preserve"> представили добавления к стратегиям или планам действий, подготовленным до 10-го совещания Конференции Сторон, содержащие национальные целевые задачи и меры по выполнению Айтинских целевых задач в области биоразнообразия.</w:t>
      </w:r>
    </w:p>
    <w:p w14:paraId="33E7807E" w14:textId="77777777" w:rsidR="00E94960" w:rsidRPr="00CC4D15" w:rsidRDefault="00E94960" w:rsidP="00490254">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lang w:val="ru-RU"/>
        </w:rPr>
      </w:pPr>
      <w:r w:rsidRPr="00CC4D15">
        <w:rPr>
          <w:snapToGrid w:val="0"/>
          <w:kern w:val="22"/>
          <w:lang w:val="ru-RU"/>
        </w:rPr>
        <w:t>Сроки, предусмотренные в представленных на сегодняшний день НСПДСБ, также различаются. Семь НСПДСБ</w:t>
      </w:r>
      <w:r w:rsidRPr="00CC4D15">
        <w:rPr>
          <w:snapToGrid w:val="0"/>
          <w:kern w:val="22"/>
          <w:vertAlign w:val="superscript"/>
          <w:lang w:val="ru-RU"/>
        </w:rPr>
        <w:footnoteReference w:id="13"/>
      </w:r>
      <w:r w:rsidRPr="00CC4D15">
        <w:rPr>
          <w:snapToGrid w:val="0"/>
          <w:kern w:val="22"/>
          <w:lang w:val="ru-RU"/>
        </w:rPr>
        <w:t xml:space="preserve"> составлены на период с 2015 по 2018 год, 81 НСПДСБ составлены на период до 2020 года</w:t>
      </w:r>
      <w:r w:rsidRPr="00CC4D15">
        <w:rPr>
          <w:snapToGrid w:val="0"/>
          <w:kern w:val="22"/>
          <w:vertAlign w:val="superscript"/>
          <w:lang w:val="ru-RU"/>
        </w:rPr>
        <w:footnoteReference w:id="14"/>
      </w:r>
      <w:r w:rsidRPr="00CC4D15">
        <w:rPr>
          <w:snapToGrid w:val="0"/>
          <w:kern w:val="22"/>
          <w:lang w:val="ru-RU"/>
        </w:rPr>
        <w:t xml:space="preserve"> и 71 НСПДСБ – на период до 2030 года</w:t>
      </w:r>
      <w:r w:rsidRPr="00CC4D15">
        <w:rPr>
          <w:snapToGrid w:val="0"/>
          <w:kern w:val="22"/>
          <w:vertAlign w:val="superscript"/>
          <w:lang w:val="ru-RU"/>
        </w:rPr>
        <w:footnoteReference w:id="15"/>
      </w:r>
      <w:r w:rsidRPr="00CC4D15">
        <w:rPr>
          <w:snapToGrid w:val="0"/>
          <w:kern w:val="22"/>
          <w:lang w:val="ru-RU"/>
        </w:rPr>
        <w:t xml:space="preserve">. Одна  НСПДСБ охватывает </w:t>
      </w:r>
      <w:r w:rsidRPr="00CC4D15">
        <w:rPr>
          <w:snapToGrid w:val="0"/>
          <w:kern w:val="22"/>
          <w:lang w:val="ru-RU"/>
        </w:rPr>
        <w:lastRenderedPageBreak/>
        <w:t>период с 2020 года по 2035 год</w:t>
      </w:r>
      <w:r w:rsidRPr="00CC4D15">
        <w:rPr>
          <w:vertAlign w:val="superscript"/>
          <w:lang w:val="ru-RU"/>
        </w:rPr>
        <w:footnoteReference w:id="16"/>
      </w:r>
      <w:r w:rsidRPr="00CC4D15">
        <w:rPr>
          <w:snapToGrid w:val="0"/>
          <w:kern w:val="22"/>
          <w:lang w:val="ru-RU"/>
        </w:rPr>
        <w:t>, а еще одна НСПДСБ  содержит стратегию в отношении биоразнообразия на период до 2050 года</w:t>
      </w:r>
      <w:r w:rsidRPr="00CC4D15">
        <w:rPr>
          <w:vertAlign w:val="superscript"/>
          <w:lang w:val="ru-RU"/>
        </w:rPr>
        <w:footnoteReference w:id="17"/>
      </w:r>
      <w:r w:rsidRPr="00CC4D15">
        <w:rPr>
          <w:snapToGrid w:val="0"/>
          <w:kern w:val="22"/>
          <w:lang w:val="ru-RU"/>
        </w:rPr>
        <w:t>. В 14 НСПДСБ сроки не указаны</w:t>
      </w:r>
      <w:r w:rsidRPr="00CC4D15">
        <w:rPr>
          <w:vertAlign w:val="superscript"/>
          <w:lang w:val="ru-RU"/>
        </w:rPr>
        <w:footnoteReference w:id="18"/>
      </w:r>
      <w:r w:rsidRPr="00CC4D15">
        <w:rPr>
          <w:snapToGrid w:val="0"/>
          <w:kern w:val="22"/>
          <w:lang w:val="ru-RU"/>
        </w:rPr>
        <w:t>.</w:t>
      </w:r>
    </w:p>
    <w:p w14:paraId="33E7807F" w14:textId="77777777" w:rsidR="00E94960" w:rsidRPr="00CC4D15" w:rsidRDefault="00E94960" w:rsidP="00232464">
      <w:pPr>
        <w:pStyle w:val="Para1"/>
        <w:keepNext/>
        <w:numPr>
          <w:ilvl w:val="0"/>
          <w:numId w:val="0"/>
        </w:numPr>
        <w:suppressLineNumbers/>
        <w:suppressAutoHyphens/>
        <w:kinsoku w:val="0"/>
        <w:overflowPunct w:val="0"/>
        <w:autoSpaceDE w:val="0"/>
        <w:autoSpaceDN w:val="0"/>
        <w:adjustRightInd w:val="0"/>
        <w:snapToGrid w:val="0"/>
        <w:jc w:val="center"/>
        <w:rPr>
          <w:i/>
          <w:iCs/>
          <w:kern w:val="22"/>
          <w:sz w:val="22"/>
          <w:szCs w:val="22"/>
          <w:lang w:val="ru-RU"/>
        </w:rPr>
      </w:pPr>
      <w:r w:rsidRPr="00CC4D15">
        <w:rPr>
          <w:i/>
          <w:iCs/>
          <w:kern w:val="22"/>
          <w:sz w:val="22"/>
          <w:szCs w:val="22"/>
          <w:lang w:val="ru-RU"/>
        </w:rPr>
        <w:t>Принятие в качестве политических документов</w:t>
      </w:r>
    </w:p>
    <w:p w14:paraId="33E78080"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spacing w:val="-2"/>
          <w:kern w:val="22"/>
          <w:lang w:val="ru-RU"/>
        </w:rPr>
      </w:pPr>
      <w:r w:rsidRPr="00CC4D15">
        <w:rPr>
          <w:snapToGrid w:val="0"/>
          <w:spacing w:val="-2"/>
          <w:kern w:val="22"/>
          <w:lang w:val="ru-RU"/>
        </w:rPr>
        <w:t xml:space="preserve">В тексте Айтинской целевой задачи 17 </w:t>
      </w:r>
      <w:r w:rsidRPr="00CC4D15">
        <w:rPr>
          <w:snapToGrid w:val="0"/>
          <w:kern w:val="22"/>
          <w:lang w:val="ru-RU"/>
        </w:rPr>
        <w:t>в области биоразнообразия</w:t>
      </w:r>
      <w:r w:rsidRPr="00CC4D15">
        <w:rPr>
          <w:snapToGrid w:val="0"/>
          <w:spacing w:val="-2"/>
          <w:kern w:val="22"/>
          <w:lang w:val="ru-RU"/>
        </w:rPr>
        <w:t xml:space="preserve"> и в тексте решения X/2 предусмотрено, что Стороны принимают обновленные НСПДСБ в качестве политических документов. Это предусмотрено с той целью, чтобы НСПДСБ использовались в качестве общегосударственных политик, тем самым упрощая учет проблематики биоразнообразия на всех уровнях государственного управления и процесса принятия решений.</w:t>
      </w:r>
    </w:p>
    <w:p w14:paraId="33E78081"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разных странах фактические последствия принятия НСПДСБ в качестве политического документа могут проявляться по-разному и зависеть от уровня, на котором принимаются НСПДСБ. При этом трудно понять, действительно ли принятие в качестве политического документа способствует учету проблематики биоразнообразия в отраслевой и межотраслевой политике и практике, и если да, то в каком объеме. По имеющейся у секретариата информации, в настоящее время отдельные Стороны выполнили данный элемент Айтинской целевой задачи 17 в области биоразнообразия, обеспечив принятие своих НСПДСБ различными органами власти, в том числе королевской властью, кабинетами министров и советами министров. Другие Стороны обеспечили такое принятие исключительно в рамках сектора окружающей среды. Ниже приведены некоторые примеры</w:t>
      </w:r>
      <w:r w:rsidRPr="00CC4D15">
        <w:rPr>
          <w:vertAlign w:val="superscript"/>
          <w:lang w:val="ru-RU"/>
        </w:rPr>
        <w:footnoteReference w:id="19"/>
      </w:r>
      <w:r w:rsidRPr="00CC4D15">
        <w:rPr>
          <w:snapToGrid w:val="0"/>
          <w:kern w:val="22"/>
          <w:lang w:val="ru-RU"/>
        </w:rPr>
        <w:t>.</w:t>
      </w:r>
    </w:p>
    <w:p w14:paraId="33E78082"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общей сложности 73 НСПДСБ</w:t>
      </w:r>
      <w:r w:rsidRPr="00CC4D15">
        <w:rPr>
          <w:snapToGrid w:val="0"/>
          <w:kern w:val="22"/>
          <w:vertAlign w:val="superscript"/>
          <w:lang w:val="ru-RU"/>
        </w:rPr>
        <w:footnoteReference w:id="20"/>
      </w:r>
      <w:r w:rsidRPr="00CC4D15">
        <w:rPr>
          <w:snapToGrid w:val="0"/>
          <w:kern w:val="22"/>
          <w:lang w:val="ru-RU"/>
        </w:rPr>
        <w:t xml:space="preserve"> приняты в качестве документов, применяемых на общегосударственном уровне. Например:</w:t>
      </w:r>
    </w:p>
    <w:p w14:paraId="33E78083" w14:textId="77777777" w:rsidR="00E94960" w:rsidRPr="00CC4D15" w:rsidRDefault="00E94960" w:rsidP="00232464">
      <w:pPr>
        <w:pStyle w:val="Para1"/>
        <w:numPr>
          <w:ilvl w:val="0"/>
          <w:numId w:val="7"/>
        </w:numPr>
        <w:suppressLineNumbers/>
        <w:tabs>
          <w:tab w:val="clear" w:pos="1080"/>
        </w:tabs>
        <w:suppressAutoHyphens/>
        <w:kinsoku w:val="0"/>
        <w:overflowPunct w:val="0"/>
        <w:autoSpaceDE w:val="0"/>
        <w:autoSpaceDN w:val="0"/>
        <w:adjustRightInd w:val="0"/>
        <w:snapToGrid w:val="0"/>
        <w:ind w:left="0" w:firstLine="763"/>
        <w:rPr>
          <w:kern w:val="22"/>
          <w:sz w:val="22"/>
          <w:szCs w:val="22"/>
          <w:lang w:val="ru-RU"/>
        </w:rPr>
      </w:pPr>
      <w:r w:rsidRPr="00CC4D15">
        <w:rPr>
          <w:kern w:val="22"/>
          <w:sz w:val="22"/>
          <w:szCs w:val="22"/>
          <w:lang w:val="ru-RU"/>
        </w:rPr>
        <w:lastRenderedPageBreak/>
        <w:t>НСПДСБ Венгрии, Гайаны, Германии, Грузии, Зимбабве, Индии, Камбоджи, Мьянмы, Намибии, Непала, Норвегии, Республики Корея, Сейшельских Островов, Таиланда, Тувалу, Украины, Хорватии, Шри-Ланки и Японии были приняты/утверждены их кабинетами министров или аналогичными органами;</w:t>
      </w:r>
    </w:p>
    <w:p w14:paraId="33E78084" w14:textId="77777777" w:rsidR="00E94960" w:rsidRPr="00CC4D15" w:rsidRDefault="00E94960" w:rsidP="00232464">
      <w:pPr>
        <w:pStyle w:val="Para1"/>
        <w:numPr>
          <w:ilvl w:val="0"/>
          <w:numId w:val="7"/>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НСПДСБ Беларуси, Бенина, Боснии и Герцеговины, Греции, Ливана, Люксембурга, Мавритании, Польши, Судана, Чили и Швейцарии были утверждены советами министров;</w:t>
      </w:r>
    </w:p>
    <w:p w14:paraId="33E78085" w14:textId="77777777" w:rsidR="00E94960" w:rsidRPr="00CC4D15" w:rsidRDefault="00E94960"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НСПДСБ Азербайджана, Испании, Камбоджи, Палау, Папуа – Новой Гвинеи и Франции были утверждены их главами правительств;</w:t>
      </w:r>
    </w:p>
    <w:p w14:paraId="33E78086" w14:textId="77777777" w:rsidR="00E94960" w:rsidRPr="00CC4D15" w:rsidRDefault="00E94960" w:rsidP="00232464">
      <w:pPr>
        <w:pStyle w:val="Para1"/>
        <w:numPr>
          <w:ilvl w:val="0"/>
          <w:numId w:val="7"/>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 xml:space="preserve">НСПДСБ Коста-Рики являются частью национальной политики по сохранению биоразнообразия (2015-2030 гг.) (PNB), принятой указом. Аналогичным образом, НСПДСБ Панамы были приняты указом в 2018 г. после рассмотрения Айтинских целевых задач в области биоразнообразия и Целей в области устойчивого развития, а также национальной политики по сохранению биоразнообразия, принятой указом в 2008 г. Албания также приняла свои НСПДСБ указом в </w:t>
      </w:r>
      <w:r w:rsidRPr="00CC4D15">
        <w:rPr>
          <w:sz w:val="22"/>
          <w:szCs w:val="22"/>
          <w:lang w:val="ru-RU" w:eastAsia="en-GB"/>
        </w:rPr>
        <w:t xml:space="preserve">2016 г. </w:t>
      </w:r>
      <w:r w:rsidRPr="00CC4D15">
        <w:rPr>
          <w:spacing w:val="-2"/>
          <w:kern w:val="22"/>
          <w:sz w:val="22"/>
          <w:szCs w:val="22"/>
          <w:lang w:val="ru-RU" w:eastAsia="en-GB"/>
        </w:rPr>
        <w:t>Аналогичным образом, Ангола приняла свои НСПДСБ указом в 2020 г.</w:t>
      </w:r>
      <w:r w:rsidRPr="00CC4D15">
        <w:rPr>
          <w:sz w:val="22"/>
          <w:szCs w:val="22"/>
          <w:lang w:val="ru-RU" w:eastAsia="en-GB"/>
        </w:rPr>
        <w:t>;</w:t>
      </w:r>
    </w:p>
    <w:p w14:paraId="33E78087" w14:textId="77777777" w:rsidR="00E94960" w:rsidRPr="00CC4D15" w:rsidRDefault="00E94960"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НСПДСБ Европейского союза были приняты Комиссией и утверждены Советом министров и Европейским парламентом;</w:t>
      </w:r>
    </w:p>
    <w:p w14:paraId="33E78088" w14:textId="77777777" w:rsidR="00E94960" w:rsidRPr="00CC4D15" w:rsidRDefault="00E94960" w:rsidP="00A857AE">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Словении резолюцией Национального собрания в 2020 году была принята Национальная программа действий в области окружающей среды (на 2020–2030 года), которая включает в себя Стратегический план сохранения биоразнообразия и Национальную программу защиты природы;</w:t>
      </w:r>
    </w:p>
    <w:p w14:paraId="33E78089" w14:textId="77777777" w:rsidR="00E94960" w:rsidRPr="00CC4D15" w:rsidRDefault="00E94960"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НСПДСБ Швеции были приняты Парламентом;</w:t>
      </w:r>
    </w:p>
    <w:p w14:paraId="33E7808A" w14:textId="77777777" w:rsidR="00E94960" w:rsidRPr="00CC4D15" w:rsidRDefault="00E94960"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НСПДСБ Китая были приняты Государственным советом.</w:t>
      </w:r>
    </w:p>
    <w:p w14:paraId="33E7808B" w14:textId="77777777" w:rsidR="00E94960" w:rsidRPr="00CC4D15" w:rsidRDefault="00E94960" w:rsidP="00C75434">
      <w:pPr>
        <w:numPr>
          <w:ilvl w:val="0"/>
          <w:numId w:val="6"/>
        </w:numPr>
        <w:suppressLineNumbers/>
        <w:tabs>
          <w:tab w:val="clear" w:pos="540"/>
        </w:tabs>
        <w:suppressAutoHyphens/>
        <w:kinsoku w:val="0"/>
        <w:overflowPunct w:val="0"/>
        <w:autoSpaceDE w:val="0"/>
        <w:autoSpaceDN w:val="0"/>
        <w:adjustRightInd w:val="0"/>
        <w:snapToGrid w:val="0"/>
        <w:spacing w:before="240" w:after="120"/>
        <w:ind w:left="0" w:firstLine="0"/>
        <w:rPr>
          <w:snapToGrid w:val="0"/>
          <w:kern w:val="22"/>
          <w:lang w:val="ru-RU"/>
        </w:rPr>
      </w:pPr>
      <w:r w:rsidRPr="00CC4D15">
        <w:rPr>
          <w:snapToGrid w:val="0"/>
          <w:kern w:val="22"/>
          <w:lang w:val="ru-RU"/>
        </w:rPr>
        <w:t>В общей сложности 18 других стран</w:t>
      </w:r>
      <w:r w:rsidRPr="00CC4D15">
        <w:rPr>
          <w:rStyle w:val="FootnoteReference"/>
          <w:snapToGrid w:val="0"/>
          <w:kern w:val="22"/>
          <w:sz w:val="22"/>
          <w:szCs w:val="22"/>
          <w:u w:val="none"/>
          <w:vertAlign w:val="superscript"/>
          <w:lang w:val="ru-RU"/>
        </w:rPr>
        <w:footnoteReference w:id="21"/>
      </w:r>
      <w:r w:rsidRPr="00CC4D15">
        <w:rPr>
          <w:snapToGrid w:val="0"/>
          <w:kern w:val="22"/>
          <w:lang w:val="ru-RU"/>
        </w:rPr>
        <w:t xml:space="preserve"> заявили о намерении принять свои</w:t>
      </w:r>
      <w:r w:rsidRPr="00CC4D15">
        <w:rPr>
          <w:kern w:val="22"/>
          <w:lang w:val="ru-RU"/>
        </w:rPr>
        <w:t xml:space="preserve"> НСПДСБ</w:t>
      </w:r>
      <w:r w:rsidRPr="00CC4D15">
        <w:rPr>
          <w:snapToGrid w:val="0"/>
          <w:kern w:val="22"/>
          <w:lang w:val="ru-RU"/>
        </w:rPr>
        <w:t xml:space="preserve"> в качестве политических документов.</w:t>
      </w:r>
    </w:p>
    <w:p w14:paraId="33E7808C" w14:textId="77777777" w:rsidR="00E94960" w:rsidRPr="00CC4D15" w:rsidRDefault="00E94960" w:rsidP="00C75434">
      <w:pPr>
        <w:numPr>
          <w:ilvl w:val="0"/>
          <w:numId w:val="6"/>
        </w:numPr>
        <w:suppressLineNumbers/>
        <w:tabs>
          <w:tab w:val="clear" w:pos="540"/>
        </w:tabs>
        <w:suppressAutoHyphens/>
        <w:kinsoku w:val="0"/>
        <w:overflowPunct w:val="0"/>
        <w:autoSpaceDE w:val="0"/>
        <w:autoSpaceDN w:val="0"/>
        <w:adjustRightInd w:val="0"/>
        <w:snapToGrid w:val="0"/>
        <w:spacing w:before="240" w:after="120"/>
        <w:ind w:left="0" w:firstLine="0"/>
        <w:rPr>
          <w:snapToGrid w:val="0"/>
          <w:kern w:val="22"/>
          <w:lang w:val="ru-RU"/>
        </w:rPr>
      </w:pPr>
      <w:r w:rsidRPr="00CC4D15">
        <w:rPr>
          <w:snapToGrid w:val="0"/>
          <w:kern w:val="22"/>
          <w:lang w:val="ru-RU"/>
        </w:rPr>
        <w:t>Еще девять</w:t>
      </w:r>
      <w:r w:rsidRPr="00CC4D15">
        <w:rPr>
          <w:kern w:val="22"/>
          <w:lang w:val="ru-RU"/>
        </w:rPr>
        <w:t xml:space="preserve"> НСПДСБ</w:t>
      </w:r>
      <w:r w:rsidRPr="00CC4D15">
        <w:rPr>
          <w:snapToGrid w:val="0"/>
          <w:kern w:val="22"/>
          <w:vertAlign w:val="superscript"/>
          <w:lang w:val="ru-RU"/>
        </w:rPr>
        <w:footnoteReference w:id="22"/>
      </w:r>
      <w:r w:rsidRPr="00CC4D15">
        <w:rPr>
          <w:snapToGrid w:val="0"/>
          <w:kern w:val="22"/>
          <w:lang w:val="ru-RU"/>
        </w:rPr>
        <w:t xml:space="preserve"> были приняты в качестве инструментов, относящихся к сектору окружающей среды. В Австралии, например, стратегия сохранения биоразнообразия была принята на уровне правительства, и теперь эта стратегия функционирует в качестве зонтичной политики, объединяющей другие более специфические национальные экологические структуры. Стратегия также используется в качестве руководящих политических рамок, регулирующих подходы правительств Австралии, штатов, территорий и муниципалитетов и частного сектора к сохранению биоразнообразия. В Фиджи Национальная стратегия и план действий в области биоразнообразия (на 2020–2025 года) была принята согласно Закону об управлении окружающей средой (2005 года), после чего она была утверждения Национальным советом по вопросам окружающей среды.</w:t>
      </w:r>
    </w:p>
    <w:p w14:paraId="33E7808D" w14:textId="77777777" w:rsidR="00E94960" w:rsidRPr="00CC4D15" w:rsidRDefault="00E94960" w:rsidP="002A12E8">
      <w:pPr>
        <w:numPr>
          <w:ilvl w:val="0"/>
          <w:numId w:val="6"/>
        </w:numPr>
        <w:suppressLineNumbers/>
        <w:tabs>
          <w:tab w:val="clear" w:pos="540"/>
        </w:tabs>
        <w:suppressAutoHyphens/>
        <w:kinsoku w:val="0"/>
        <w:overflowPunct w:val="0"/>
        <w:autoSpaceDE w:val="0"/>
        <w:autoSpaceDN w:val="0"/>
        <w:adjustRightInd w:val="0"/>
        <w:snapToGrid w:val="0"/>
        <w:spacing w:before="120" w:after="360"/>
        <w:ind w:left="0" w:firstLine="0"/>
        <w:rPr>
          <w:snapToGrid w:val="0"/>
          <w:kern w:val="22"/>
          <w:lang w:val="ru-RU"/>
        </w:rPr>
      </w:pPr>
      <w:r w:rsidRPr="00CC4D15">
        <w:rPr>
          <w:snapToGrid w:val="0"/>
          <w:kern w:val="22"/>
          <w:lang w:val="ru-RU"/>
        </w:rPr>
        <w:t>В остающихся 75 НСПДСБ не приводится достаточной информации для определения, были ли они приняты в качестве политического документа или, если были, к какому типу документов они относятся. Графическое представление принятия НСПДСБ в качестве политического документа приведено на рис. 1.</w:t>
      </w:r>
    </w:p>
    <w:p w14:paraId="33E7808E" w14:textId="77777777" w:rsidR="00E94960" w:rsidRPr="00CC4D15" w:rsidRDefault="00E94960">
      <w:pPr>
        <w:jc w:val="left"/>
        <w:rPr>
          <w:snapToGrid w:val="0"/>
          <w:kern w:val="22"/>
          <w:lang w:val="ru-RU"/>
        </w:rPr>
      </w:pPr>
      <w:r w:rsidRPr="00CC4D15">
        <w:rPr>
          <w:snapToGrid w:val="0"/>
          <w:kern w:val="22"/>
          <w:lang w:val="ru-RU"/>
        </w:rPr>
        <w:br w:type="page"/>
      </w:r>
    </w:p>
    <w:p w14:paraId="33E7808F" w14:textId="77777777" w:rsidR="00E94960" w:rsidRPr="00CC4D15" w:rsidRDefault="00E94960" w:rsidP="005E02EC">
      <w:pPr>
        <w:suppressLineNumbers/>
        <w:suppressAutoHyphens/>
        <w:kinsoku w:val="0"/>
        <w:overflowPunct w:val="0"/>
        <w:autoSpaceDE w:val="0"/>
        <w:autoSpaceDN w:val="0"/>
        <w:adjustRightInd w:val="0"/>
        <w:snapToGrid w:val="0"/>
        <w:spacing w:before="360" w:after="120"/>
        <w:jc w:val="left"/>
        <w:rPr>
          <w:b/>
          <w:bCs/>
          <w:snapToGrid w:val="0"/>
          <w:kern w:val="22"/>
          <w:lang w:val="ru-RU"/>
        </w:rPr>
      </w:pPr>
      <w:r w:rsidRPr="00CC4D15">
        <w:rPr>
          <w:b/>
          <w:bCs/>
          <w:snapToGrid w:val="0"/>
          <w:kern w:val="22"/>
          <w:lang w:val="ru-RU"/>
        </w:rPr>
        <w:t>Рис. 1. Принятие</w:t>
      </w:r>
      <w:r w:rsidRPr="00CC4D15">
        <w:rPr>
          <w:snapToGrid w:val="0"/>
          <w:kern w:val="22"/>
          <w:lang w:val="ru-RU"/>
        </w:rPr>
        <w:t xml:space="preserve"> </w:t>
      </w:r>
      <w:r w:rsidRPr="00CC4D15">
        <w:rPr>
          <w:b/>
          <w:bCs/>
          <w:snapToGrid w:val="0"/>
          <w:kern w:val="22"/>
          <w:lang w:val="ru-RU"/>
        </w:rPr>
        <w:t>НСПДСБ</w:t>
      </w:r>
      <w:r w:rsidRPr="00CC4D15">
        <w:rPr>
          <w:snapToGrid w:val="0"/>
          <w:kern w:val="22"/>
          <w:lang w:val="ru-RU"/>
        </w:rPr>
        <w:t xml:space="preserve"> </w:t>
      </w:r>
      <w:r w:rsidRPr="00CC4D15">
        <w:rPr>
          <w:b/>
          <w:bCs/>
          <w:snapToGrid w:val="0"/>
          <w:kern w:val="22"/>
          <w:lang w:val="ru-RU"/>
        </w:rPr>
        <w:t>в качестве политического документа</w:t>
      </w:r>
    </w:p>
    <w:p w14:paraId="33E78090" w14:textId="77777777" w:rsidR="00E94960" w:rsidRPr="0019057B" w:rsidRDefault="005A796F" w:rsidP="002A12E8">
      <w:pPr>
        <w:suppressLineNumbers/>
        <w:suppressAutoHyphens/>
        <w:kinsoku w:val="0"/>
        <w:overflowPunct w:val="0"/>
        <w:autoSpaceDE w:val="0"/>
        <w:autoSpaceDN w:val="0"/>
        <w:adjustRightInd w:val="0"/>
        <w:snapToGrid w:val="0"/>
        <w:spacing w:before="240" w:after="120"/>
        <w:jc w:val="left"/>
        <w:rPr>
          <w:b/>
          <w:bCs/>
          <w:snapToGrid w:val="0"/>
          <w:kern w:val="22"/>
          <w:lang w:val="ru-RU"/>
        </w:rPr>
      </w:pPr>
      <w:r>
        <w:pict w14:anchorId="33E78149">
          <v:shape id="_x0000_i1027" type="#_x0000_t75" style="width:466pt;height:235.5pt">
            <v:imagedata r:id="rId12" o:title=""/>
          </v:shape>
        </w:pict>
      </w:r>
    </w:p>
    <w:p w14:paraId="33E78091" w14:textId="77777777" w:rsidR="00E94960" w:rsidRPr="00CC4D15" w:rsidRDefault="00E94960" w:rsidP="0029684E">
      <w:pPr>
        <w:numPr>
          <w:ilvl w:val="0"/>
          <w:numId w:val="6"/>
        </w:numPr>
        <w:suppressLineNumbers/>
        <w:tabs>
          <w:tab w:val="clear" w:pos="540"/>
        </w:tabs>
        <w:suppressAutoHyphens/>
        <w:kinsoku w:val="0"/>
        <w:overflowPunct w:val="0"/>
        <w:autoSpaceDE w:val="0"/>
        <w:autoSpaceDN w:val="0"/>
        <w:adjustRightInd w:val="0"/>
        <w:snapToGrid w:val="0"/>
        <w:spacing w:before="360" w:after="240"/>
        <w:ind w:left="0" w:firstLine="0"/>
        <w:rPr>
          <w:snapToGrid w:val="0"/>
          <w:kern w:val="22"/>
          <w:lang w:val="ru-RU"/>
        </w:rPr>
      </w:pPr>
      <w:r w:rsidRPr="00CC4D15">
        <w:rPr>
          <w:snapToGrid w:val="0"/>
          <w:kern w:val="22"/>
          <w:lang w:val="ru-RU"/>
        </w:rPr>
        <w:t>Доля Сторон, проинформировавших секретариат о принятии их НСПДСБ в качестве документов, применяемых на общегосударственном уровне, менялась в зависимости от источника финансирования. Тогда как более 50 % Сторон, не отвечающих критериям финансирования по линии Глобального экологического фонда, приняли свои НСПДСБ в качестве политических документов, применяемых на общегосударственном уровне, это сделали лишь 36 % Сторон, сотрудничавших с Программой развития Организации Объединенных Наций, и 22 % Сторон, сотрудничавших с Программой Организации Объединенных Наций по окружающей среде как осуществляющим учреждением. В общей сложности 33 % Сторон, имеющих доступ к средствам ГЭФ через механизм прямого доступа, приняли свои НСПДСБ в качестве документов, применяемых на общегосударственном уровне. Даже если бы все Стороны, выразившие намерение принять свои НСПДСБ в качестве политических документов, приняли бы их в качестве политических документов, применяемых на общегосударственном уровне, доля Сторон, не получающих финансирования ГЭФ, была бы значительно больше. Однако в отношении более чем половины НСПДСБ (52 %) не было возможности сделать вывод касательно их статуса политического документа. В таблице 2 эта информация представлена с разбивкой по источникам финансирования</w:t>
      </w:r>
      <w:r w:rsidRPr="00CC4D15">
        <w:rPr>
          <w:vertAlign w:val="superscript"/>
          <w:lang w:val="ru-RU"/>
        </w:rPr>
        <w:footnoteReference w:id="23"/>
      </w:r>
      <w:r w:rsidRPr="00CC4D15">
        <w:rPr>
          <w:snapToGrid w:val="0"/>
          <w:kern w:val="22"/>
          <w:lang w:val="ru-RU"/>
        </w:rPr>
        <w:t>.</w:t>
      </w:r>
    </w:p>
    <w:p w14:paraId="33E78092" w14:textId="77777777" w:rsidR="00E94960" w:rsidRPr="00CC4D15" w:rsidRDefault="00E94960">
      <w:pPr>
        <w:jc w:val="left"/>
        <w:rPr>
          <w:b/>
          <w:bCs/>
          <w:snapToGrid w:val="0"/>
          <w:kern w:val="22"/>
          <w:lang w:val="ru-RU"/>
        </w:rPr>
      </w:pPr>
    </w:p>
    <w:p w14:paraId="33E78093" w14:textId="77777777" w:rsidR="00E94960" w:rsidRPr="00CC4D15" w:rsidRDefault="00E94960" w:rsidP="00B06E11">
      <w:pPr>
        <w:pStyle w:val="Para1"/>
        <w:keepNext/>
        <w:numPr>
          <w:ilvl w:val="0"/>
          <w:numId w:val="0"/>
        </w:numPr>
        <w:suppressLineNumbers/>
        <w:suppressAutoHyphens/>
        <w:kinsoku w:val="0"/>
        <w:overflowPunct w:val="0"/>
        <w:autoSpaceDE w:val="0"/>
        <w:autoSpaceDN w:val="0"/>
        <w:adjustRightInd w:val="0"/>
        <w:snapToGrid w:val="0"/>
        <w:ind w:left="2590" w:hanging="1172"/>
        <w:jc w:val="left"/>
        <w:rPr>
          <w:b/>
          <w:bCs/>
          <w:kern w:val="22"/>
          <w:sz w:val="22"/>
          <w:szCs w:val="22"/>
          <w:lang w:val="ru-RU"/>
        </w:rPr>
      </w:pPr>
      <w:r w:rsidRPr="00CC4D15">
        <w:rPr>
          <w:b/>
          <w:bCs/>
          <w:kern w:val="22"/>
          <w:sz w:val="22"/>
          <w:szCs w:val="22"/>
          <w:lang w:val="ru-RU"/>
        </w:rPr>
        <w:t>Таблица 2. Принятие НСПДСБ в качестве политических документов с разбивкой по источникам финансирования</w:t>
      </w:r>
    </w:p>
    <w:tbl>
      <w:tblPr>
        <w:tblW w:w="93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2385"/>
        <w:gridCol w:w="2268"/>
        <w:gridCol w:w="1701"/>
        <w:gridCol w:w="1276"/>
        <w:gridCol w:w="1679"/>
      </w:tblGrid>
      <w:tr w:rsidR="00E94960" w:rsidRPr="00CC4D15" w14:paraId="33E78096" w14:textId="77777777">
        <w:trPr>
          <w:cantSplit/>
          <w:jc w:val="center"/>
        </w:trPr>
        <w:tc>
          <w:tcPr>
            <w:tcW w:w="2385" w:type="dxa"/>
            <w:vAlign w:val="bottom"/>
          </w:tcPr>
          <w:p w14:paraId="33E78094" w14:textId="77777777" w:rsidR="00E94960" w:rsidRPr="00CC4D15" w:rsidRDefault="00E94960" w:rsidP="00014202">
            <w:pPr>
              <w:suppressLineNumbers/>
              <w:suppressAutoHyphens/>
              <w:rPr>
                <w:color w:val="000000"/>
                <w:lang w:val="ru-RU"/>
              </w:rPr>
            </w:pPr>
          </w:p>
        </w:tc>
        <w:tc>
          <w:tcPr>
            <w:tcW w:w="6924" w:type="dxa"/>
            <w:gridSpan w:val="4"/>
            <w:vAlign w:val="center"/>
          </w:tcPr>
          <w:p w14:paraId="33E78095" w14:textId="77777777" w:rsidR="00E94960" w:rsidRPr="00CC4D15" w:rsidRDefault="00E94960" w:rsidP="00014202">
            <w:pPr>
              <w:suppressLineNumbers/>
              <w:suppressAutoHyphens/>
              <w:jc w:val="center"/>
              <w:rPr>
                <w:i/>
                <w:iCs/>
                <w:color w:val="000000"/>
                <w:lang w:val="ru-RU"/>
              </w:rPr>
            </w:pPr>
            <w:r w:rsidRPr="00CC4D15">
              <w:rPr>
                <w:i/>
                <w:iCs/>
                <w:color w:val="000000"/>
                <w:lang w:val="ru-RU"/>
              </w:rPr>
              <w:t>Виды документов</w:t>
            </w:r>
          </w:p>
        </w:tc>
      </w:tr>
      <w:tr w:rsidR="00E94960" w:rsidRPr="00CC4D15" w14:paraId="33E7809C" w14:textId="77777777">
        <w:trPr>
          <w:cantSplit/>
          <w:trHeight w:val="1265"/>
          <w:jc w:val="center"/>
        </w:trPr>
        <w:tc>
          <w:tcPr>
            <w:tcW w:w="2385" w:type="dxa"/>
            <w:vAlign w:val="center"/>
          </w:tcPr>
          <w:p w14:paraId="33E78097" w14:textId="77777777" w:rsidR="00E94960" w:rsidRPr="00CC4D15" w:rsidRDefault="00E94960" w:rsidP="00B06E11">
            <w:pPr>
              <w:suppressLineNumbers/>
              <w:suppressAutoHyphens/>
              <w:ind w:left="-49" w:right="-36"/>
              <w:jc w:val="center"/>
              <w:rPr>
                <w:i/>
                <w:iCs/>
                <w:color w:val="000000"/>
                <w:lang w:val="ru-RU"/>
              </w:rPr>
            </w:pPr>
            <w:r w:rsidRPr="00CC4D15">
              <w:rPr>
                <w:i/>
                <w:iCs/>
                <w:color w:val="000000"/>
                <w:lang w:val="ru-RU"/>
              </w:rPr>
              <w:lastRenderedPageBreak/>
              <w:t>Осуществляющее учреждение</w:t>
            </w:r>
          </w:p>
        </w:tc>
        <w:tc>
          <w:tcPr>
            <w:tcW w:w="2268" w:type="dxa"/>
            <w:vAlign w:val="center"/>
          </w:tcPr>
          <w:p w14:paraId="33E78098" w14:textId="77777777" w:rsidR="00E94960" w:rsidRPr="00CC4D15" w:rsidRDefault="00E94960" w:rsidP="00B06E11">
            <w:pPr>
              <w:suppressLineNumbers/>
              <w:suppressAutoHyphens/>
              <w:ind w:left="-54" w:right="-64"/>
              <w:jc w:val="center"/>
              <w:rPr>
                <w:i/>
                <w:iCs/>
                <w:color w:val="000000"/>
                <w:lang w:val="ru-RU"/>
              </w:rPr>
            </w:pPr>
            <w:r w:rsidRPr="00CC4D15">
              <w:rPr>
                <w:i/>
                <w:iCs/>
                <w:color w:val="000000"/>
                <w:lang w:val="ru-RU"/>
              </w:rPr>
              <w:t>Документ, применяемый на общегосударственном уровне</w:t>
            </w:r>
          </w:p>
        </w:tc>
        <w:tc>
          <w:tcPr>
            <w:tcW w:w="1701" w:type="dxa"/>
            <w:vAlign w:val="center"/>
          </w:tcPr>
          <w:p w14:paraId="33E78099" w14:textId="77777777" w:rsidR="00E94960" w:rsidRPr="00CC4D15" w:rsidRDefault="00E94960" w:rsidP="00B06E11">
            <w:pPr>
              <w:suppressLineNumbers/>
              <w:suppressAutoHyphens/>
              <w:ind w:right="-36"/>
              <w:jc w:val="center"/>
              <w:rPr>
                <w:i/>
                <w:iCs/>
                <w:color w:val="000000"/>
                <w:lang w:val="ru-RU"/>
              </w:rPr>
            </w:pPr>
            <w:r w:rsidRPr="00CC4D15">
              <w:rPr>
                <w:i/>
                <w:iCs/>
                <w:color w:val="000000"/>
                <w:lang w:val="ru-RU"/>
              </w:rPr>
              <w:t>Документ, относящийся к окружающей среде</w:t>
            </w:r>
          </w:p>
        </w:tc>
        <w:tc>
          <w:tcPr>
            <w:tcW w:w="1276" w:type="dxa"/>
            <w:vAlign w:val="center"/>
          </w:tcPr>
          <w:p w14:paraId="33E7809A" w14:textId="77777777" w:rsidR="00E94960" w:rsidRPr="00CC4D15" w:rsidRDefault="00E94960" w:rsidP="00B06E11">
            <w:pPr>
              <w:suppressLineNumbers/>
              <w:suppressAutoHyphens/>
              <w:ind w:right="-36"/>
              <w:jc w:val="center"/>
              <w:rPr>
                <w:i/>
                <w:iCs/>
                <w:color w:val="000000"/>
                <w:lang w:val="ru-RU"/>
              </w:rPr>
            </w:pPr>
            <w:r w:rsidRPr="00CC4D15">
              <w:rPr>
                <w:i/>
                <w:iCs/>
                <w:color w:val="000000"/>
                <w:lang w:val="ru-RU"/>
              </w:rPr>
              <w:t>Планы принятия НСПДСБ</w:t>
            </w:r>
          </w:p>
        </w:tc>
        <w:tc>
          <w:tcPr>
            <w:tcW w:w="1679" w:type="dxa"/>
            <w:vAlign w:val="center"/>
          </w:tcPr>
          <w:p w14:paraId="33E7809B" w14:textId="77777777" w:rsidR="00E94960" w:rsidRPr="00CC4D15" w:rsidRDefault="00E94960" w:rsidP="00B06E11">
            <w:pPr>
              <w:suppressLineNumbers/>
              <w:suppressAutoHyphens/>
              <w:ind w:right="-36"/>
              <w:jc w:val="center"/>
              <w:rPr>
                <w:i/>
                <w:iCs/>
                <w:color w:val="000000"/>
                <w:lang w:val="ru-RU"/>
              </w:rPr>
            </w:pPr>
            <w:r w:rsidRPr="00CC4D15">
              <w:rPr>
                <w:i/>
                <w:iCs/>
                <w:color w:val="000000"/>
                <w:lang w:val="ru-RU"/>
              </w:rPr>
              <w:t>Недостаточно данных</w:t>
            </w:r>
          </w:p>
        </w:tc>
      </w:tr>
      <w:tr w:rsidR="00E94960" w:rsidRPr="00CC4D15" w14:paraId="33E780A2" w14:textId="77777777">
        <w:trPr>
          <w:cantSplit/>
          <w:jc w:val="center"/>
        </w:trPr>
        <w:tc>
          <w:tcPr>
            <w:tcW w:w="2385" w:type="dxa"/>
            <w:vAlign w:val="bottom"/>
          </w:tcPr>
          <w:p w14:paraId="33E7809D" w14:textId="77777777" w:rsidR="00E94960" w:rsidRPr="00CC4D15" w:rsidRDefault="00E94960" w:rsidP="00B06E11">
            <w:pPr>
              <w:suppressLineNumbers/>
              <w:suppressAutoHyphens/>
              <w:ind w:left="-49" w:right="-36"/>
              <w:jc w:val="left"/>
              <w:rPr>
                <w:color w:val="000000"/>
                <w:lang w:val="ru-RU"/>
              </w:rPr>
            </w:pPr>
            <w:r w:rsidRPr="00CC4D15">
              <w:rPr>
                <w:snapToGrid w:val="0"/>
                <w:color w:val="000000"/>
                <w:kern w:val="22"/>
                <w:lang w:val="ru-RU"/>
              </w:rPr>
              <w:t>ЮНЕП</w:t>
            </w:r>
          </w:p>
        </w:tc>
        <w:tc>
          <w:tcPr>
            <w:tcW w:w="2268" w:type="dxa"/>
            <w:vAlign w:val="center"/>
          </w:tcPr>
          <w:p w14:paraId="33E7809E"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15 (22%)</w:t>
            </w:r>
          </w:p>
        </w:tc>
        <w:tc>
          <w:tcPr>
            <w:tcW w:w="1701" w:type="dxa"/>
            <w:vAlign w:val="center"/>
          </w:tcPr>
          <w:p w14:paraId="33E7809F"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3 (4%)</w:t>
            </w:r>
          </w:p>
        </w:tc>
        <w:tc>
          <w:tcPr>
            <w:tcW w:w="1276" w:type="dxa"/>
            <w:vAlign w:val="center"/>
          </w:tcPr>
          <w:p w14:paraId="33E780A0"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12 (17%)</w:t>
            </w:r>
          </w:p>
        </w:tc>
        <w:tc>
          <w:tcPr>
            <w:tcW w:w="1679" w:type="dxa"/>
            <w:vAlign w:val="center"/>
          </w:tcPr>
          <w:p w14:paraId="33E780A1"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40 (57%)</w:t>
            </w:r>
          </w:p>
        </w:tc>
      </w:tr>
      <w:tr w:rsidR="00E94960" w:rsidRPr="00CC4D15" w14:paraId="33E780A8" w14:textId="77777777">
        <w:trPr>
          <w:cantSplit/>
          <w:jc w:val="center"/>
        </w:trPr>
        <w:tc>
          <w:tcPr>
            <w:tcW w:w="2385" w:type="dxa"/>
            <w:vAlign w:val="bottom"/>
          </w:tcPr>
          <w:p w14:paraId="33E780A3" w14:textId="77777777" w:rsidR="00E94960" w:rsidRPr="00CC4D15" w:rsidRDefault="00E94960" w:rsidP="00B06E11">
            <w:pPr>
              <w:suppressLineNumbers/>
              <w:suppressAutoHyphens/>
              <w:ind w:left="-49" w:right="-36"/>
              <w:jc w:val="left"/>
              <w:rPr>
                <w:color w:val="000000"/>
                <w:lang w:val="ru-RU"/>
              </w:rPr>
            </w:pPr>
            <w:r w:rsidRPr="00CC4D15">
              <w:rPr>
                <w:snapToGrid w:val="0"/>
                <w:color w:val="000000"/>
                <w:kern w:val="22"/>
                <w:lang w:val="ru-RU"/>
              </w:rPr>
              <w:t>ПРООН</w:t>
            </w:r>
          </w:p>
        </w:tc>
        <w:tc>
          <w:tcPr>
            <w:tcW w:w="2268" w:type="dxa"/>
            <w:vAlign w:val="center"/>
          </w:tcPr>
          <w:p w14:paraId="33E780A4"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16 (36%)</w:t>
            </w:r>
          </w:p>
        </w:tc>
        <w:tc>
          <w:tcPr>
            <w:tcW w:w="1701" w:type="dxa"/>
            <w:vAlign w:val="center"/>
          </w:tcPr>
          <w:p w14:paraId="33E780A5" w14:textId="77777777" w:rsidR="00E94960" w:rsidRPr="00CC4D15" w:rsidRDefault="00E94960" w:rsidP="00014202">
            <w:pPr>
              <w:suppressLineNumbers/>
              <w:suppressAutoHyphens/>
              <w:jc w:val="center"/>
              <w:rPr>
                <w:color w:val="000000"/>
                <w:lang w:val="ru-RU"/>
              </w:rPr>
            </w:pPr>
            <w:r w:rsidRPr="00CC4D15">
              <w:rPr>
                <w:color w:val="000000"/>
                <w:lang w:val="ru-RU"/>
              </w:rPr>
              <w:t>1 (2%)</w:t>
            </w:r>
          </w:p>
        </w:tc>
        <w:tc>
          <w:tcPr>
            <w:tcW w:w="1276" w:type="dxa"/>
            <w:vAlign w:val="center"/>
          </w:tcPr>
          <w:p w14:paraId="33E780A6"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3 (7%)</w:t>
            </w:r>
          </w:p>
        </w:tc>
        <w:tc>
          <w:tcPr>
            <w:tcW w:w="1679" w:type="dxa"/>
            <w:vAlign w:val="center"/>
          </w:tcPr>
          <w:p w14:paraId="33E780A7"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24 (55%)</w:t>
            </w:r>
          </w:p>
        </w:tc>
      </w:tr>
      <w:tr w:rsidR="00E94960" w:rsidRPr="00CC4D15" w14:paraId="33E780AE" w14:textId="77777777">
        <w:trPr>
          <w:cantSplit/>
          <w:jc w:val="center"/>
        </w:trPr>
        <w:tc>
          <w:tcPr>
            <w:tcW w:w="2385" w:type="dxa"/>
            <w:vAlign w:val="bottom"/>
          </w:tcPr>
          <w:p w14:paraId="33E780A9" w14:textId="77777777" w:rsidR="00E94960" w:rsidRPr="00CC4D15" w:rsidRDefault="00E94960" w:rsidP="00B06E11">
            <w:pPr>
              <w:suppressLineNumbers/>
              <w:suppressAutoHyphens/>
              <w:ind w:left="-49" w:right="-36"/>
              <w:jc w:val="left"/>
              <w:rPr>
                <w:color w:val="000000"/>
                <w:lang w:val="ru-RU"/>
              </w:rPr>
            </w:pPr>
            <w:r w:rsidRPr="00CC4D15">
              <w:rPr>
                <w:snapToGrid w:val="0"/>
                <w:color w:val="000000"/>
                <w:kern w:val="22"/>
                <w:lang w:val="ru-RU"/>
              </w:rPr>
              <w:t>ФАО</w:t>
            </w:r>
          </w:p>
        </w:tc>
        <w:tc>
          <w:tcPr>
            <w:tcW w:w="2268" w:type="dxa"/>
            <w:vAlign w:val="center"/>
          </w:tcPr>
          <w:p w14:paraId="33E780AA"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0</w:t>
            </w:r>
          </w:p>
        </w:tc>
        <w:tc>
          <w:tcPr>
            <w:tcW w:w="1701" w:type="dxa"/>
            <w:vAlign w:val="center"/>
          </w:tcPr>
          <w:p w14:paraId="33E780AB"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0</w:t>
            </w:r>
          </w:p>
        </w:tc>
        <w:tc>
          <w:tcPr>
            <w:tcW w:w="1276" w:type="dxa"/>
            <w:vAlign w:val="center"/>
          </w:tcPr>
          <w:p w14:paraId="33E780AC"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0</w:t>
            </w:r>
          </w:p>
        </w:tc>
        <w:tc>
          <w:tcPr>
            <w:tcW w:w="1679" w:type="dxa"/>
            <w:vAlign w:val="center"/>
          </w:tcPr>
          <w:p w14:paraId="33E780AD"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 (100%)</w:t>
            </w:r>
          </w:p>
        </w:tc>
      </w:tr>
      <w:tr w:rsidR="00E94960" w:rsidRPr="00CC4D15" w14:paraId="33E780B4" w14:textId="77777777">
        <w:trPr>
          <w:cantSplit/>
          <w:jc w:val="center"/>
        </w:trPr>
        <w:tc>
          <w:tcPr>
            <w:tcW w:w="2385" w:type="dxa"/>
            <w:vAlign w:val="bottom"/>
          </w:tcPr>
          <w:p w14:paraId="33E780AF" w14:textId="77777777" w:rsidR="00E94960" w:rsidRPr="00CC4D15" w:rsidRDefault="00E94960" w:rsidP="00B06E11">
            <w:pPr>
              <w:suppressLineNumbers/>
              <w:suppressAutoHyphens/>
              <w:ind w:left="-49" w:right="-36"/>
              <w:jc w:val="left"/>
              <w:rPr>
                <w:color w:val="000000"/>
                <w:lang w:val="ru-RU"/>
              </w:rPr>
            </w:pPr>
            <w:r w:rsidRPr="00CC4D15">
              <w:rPr>
                <w:snapToGrid w:val="0"/>
                <w:color w:val="000000"/>
                <w:kern w:val="22"/>
                <w:lang w:val="ru-RU"/>
              </w:rPr>
              <w:t>Прямой доступ</w:t>
            </w:r>
          </w:p>
        </w:tc>
        <w:tc>
          <w:tcPr>
            <w:tcW w:w="2268" w:type="dxa"/>
            <w:vAlign w:val="center"/>
          </w:tcPr>
          <w:p w14:paraId="33E780B0"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2 (33%)</w:t>
            </w:r>
          </w:p>
        </w:tc>
        <w:tc>
          <w:tcPr>
            <w:tcW w:w="1701" w:type="dxa"/>
            <w:vAlign w:val="center"/>
          </w:tcPr>
          <w:p w14:paraId="33E780B1"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0</w:t>
            </w:r>
          </w:p>
        </w:tc>
        <w:tc>
          <w:tcPr>
            <w:tcW w:w="1276" w:type="dxa"/>
            <w:vAlign w:val="center"/>
          </w:tcPr>
          <w:p w14:paraId="33E780B2"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 (17%)</w:t>
            </w:r>
          </w:p>
        </w:tc>
        <w:tc>
          <w:tcPr>
            <w:tcW w:w="1679" w:type="dxa"/>
            <w:vAlign w:val="center"/>
          </w:tcPr>
          <w:p w14:paraId="33E780B3"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3 (50%)</w:t>
            </w:r>
          </w:p>
        </w:tc>
      </w:tr>
      <w:tr w:rsidR="00E94960" w:rsidRPr="00CC4D15" w14:paraId="33E780BB" w14:textId="77777777">
        <w:trPr>
          <w:cantSplit/>
          <w:jc w:val="center"/>
        </w:trPr>
        <w:tc>
          <w:tcPr>
            <w:tcW w:w="2385" w:type="dxa"/>
            <w:vAlign w:val="center"/>
          </w:tcPr>
          <w:p w14:paraId="33E780B5" w14:textId="77777777" w:rsidR="00E94960" w:rsidRPr="00CC4D15" w:rsidRDefault="00E94960" w:rsidP="00B06E11">
            <w:pPr>
              <w:suppressLineNumbers/>
              <w:suppressAutoHyphens/>
              <w:ind w:left="-49" w:right="-36"/>
              <w:jc w:val="left"/>
              <w:rPr>
                <w:snapToGrid w:val="0"/>
                <w:color w:val="000000"/>
                <w:kern w:val="22"/>
                <w:lang w:val="ru-RU"/>
              </w:rPr>
            </w:pPr>
            <w:r w:rsidRPr="00CC4D15">
              <w:rPr>
                <w:snapToGrid w:val="0"/>
                <w:color w:val="000000"/>
                <w:kern w:val="22"/>
                <w:lang w:val="ru-RU"/>
              </w:rPr>
              <w:t>Нет информации об учреждении/</w:t>
            </w:r>
          </w:p>
          <w:p w14:paraId="33E780B6" w14:textId="77777777" w:rsidR="00E94960" w:rsidRPr="00CC4D15" w:rsidRDefault="00E94960" w:rsidP="00B06E11">
            <w:pPr>
              <w:suppressLineNumbers/>
              <w:suppressAutoHyphens/>
              <w:ind w:left="-49" w:right="-36"/>
              <w:jc w:val="left"/>
              <w:rPr>
                <w:color w:val="000000"/>
                <w:lang w:val="ru-RU"/>
              </w:rPr>
            </w:pPr>
            <w:r w:rsidRPr="00CC4D15">
              <w:rPr>
                <w:snapToGrid w:val="0"/>
                <w:color w:val="000000"/>
                <w:kern w:val="22"/>
                <w:lang w:val="ru-RU"/>
              </w:rPr>
              <w:t>Не обращались за финансированием ГЭФ</w:t>
            </w:r>
          </w:p>
        </w:tc>
        <w:tc>
          <w:tcPr>
            <w:tcW w:w="2268" w:type="dxa"/>
            <w:vAlign w:val="center"/>
          </w:tcPr>
          <w:p w14:paraId="33E780B7"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 (50%)</w:t>
            </w:r>
          </w:p>
        </w:tc>
        <w:tc>
          <w:tcPr>
            <w:tcW w:w="1701" w:type="dxa"/>
            <w:vAlign w:val="center"/>
          </w:tcPr>
          <w:p w14:paraId="33E780B8"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0</w:t>
            </w:r>
          </w:p>
        </w:tc>
        <w:tc>
          <w:tcPr>
            <w:tcW w:w="1276" w:type="dxa"/>
            <w:vAlign w:val="center"/>
          </w:tcPr>
          <w:p w14:paraId="33E780B9"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0</w:t>
            </w:r>
          </w:p>
        </w:tc>
        <w:tc>
          <w:tcPr>
            <w:tcW w:w="1679" w:type="dxa"/>
            <w:vAlign w:val="center"/>
          </w:tcPr>
          <w:p w14:paraId="33E780BA"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 (50%)</w:t>
            </w:r>
          </w:p>
        </w:tc>
      </w:tr>
      <w:tr w:rsidR="00E94960" w:rsidRPr="00CC4D15" w14:paraId="33E780C1" w14:textId="77777777">
        <w:trPr>
          <w:cantSplit/>
          <w:jc w:val="center"/>
        </w:trPr>
        <w:tc>
          <w:tcPr>
            <w:tcW w:w="2385" w:type="dxa"/>
            <w:vAlign w:val="center"/>
          </w:tcPr>
          <w:p w14:paraId="33E780BC" w14:textId="77777777" w:rsidR="00E94960" w:rsidRPr="00CC4D15" w:rsidRDefault="00E94960" w:rsidP="00B06E11">
            <w:pPr>
              <w:suppressLineNumbers/>
              <w:suppressAutoHyphens/>
              <w:ind w:left="-49" w:right="-36"/>
              <w:jc w:val="left"/>
              <w:rPr>
                <w:color w:val="000000"/>
                <w:lang w:val="ru-RU"/>
              </w:rPr>
            </w:pPr>
            <w:r w:rsidRPr="00CC4D15">
              <w:rPr>
                <w:snapToGrid w:val="0"/>
                <w:color w:val="000000"/>
                <w:kern w:val="22"/>
                <w:lang w:val="ru-RU"/>
              </w:rPr>
              <w:t xml:space="preserve">Не отвечают </w:t>
            </w:r>
            <w:r w:rsidRPr="00CC4D15">
              <w:rPr>
                <w:snapToGrid w:val="0"/>
                <w:color w:val="000000"/>
                <w:kern w:val="22"/>
                <w:lang w:val="ru-RU"/>
              </w:rPr>
              <w:br/>
              <w:t>критериям ГЭФ</w:t>
            </w:r>
          </w:p>
        </w:tc>
        <w:tc>
          <w:tcPr>
            <w:tcW w:w="2268" w:type="dxa"/>
            <w:vAlign w:val="center"/>
          </w:tcPr>
          <w:p w14:paraId="33E780BD"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22 (54%)</w:t>
            </w:r>
          </w:p>
        </w:tc>
        <w:tc>
          <w:tcPr>
            <w:tcW w:w="1701" w:type="dxa"/>
            <w:vAlign w:val="center"/>
          </w:tcPr>
          <w:p w14:paraId="33E780BE"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2 (5%)</w:t>
            </w:r>
          </w:p>
        </w:tc>
        <w:tc>
          <w:tcPr>
            <w:tcW w:w="1276" w:type="dxa"/>
            <w:vAlign w:val="center"/>
          </w:tcPr>
          <w:p w14:paraId="33E780BF"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 (2%)</w:t>
            </w:r>
          </w:p>
        </w:tc>
        <w:tc>
          <w:tcPr>
            <w:tcW w:w="1679" w:type="dxa"/>
            <w:vAlign w:val="center"/>
          </w:tcPr>
          <w:p w14:paraId="33E780C0" w14:textId="77777777" w:rsidR="00E94960" w:rsidRPr="00CC4D15" w:rsidRDefault="00E94960" w:rsidP="00014202">
            <w:pPr>
              <w:suppressLineNumbers/>
              <w:suppressAutoHyphens/>
              <w:jc w:val="center"/>
              <w:rPr>
                <w:color w:val="000000"/>
                <w:lang w:val="ru-RU"/>
              </w:rPr>
            </w:pPr>
            <w:r w:rsidRPr="00CC4D15">
              <w:rPr>
                <w:snapToGrid w:val="0"/>
                <w:color w:val="000000"/>
                <w:kern w:val="22"/>
                <w:lang w:val="ru-RU"/>
              </w:rPr>
              <w:t>16 (39%)</w:t>
            </w:r>
          </w:p>
        </w:tc>
      </w:tr>
      <w:tr w:rsidR="00E94960" w:rsidRPr="00CC4D15" w14:paraId="33E780C7" w14:textId="77777777">
        <w:trPr>
          <w:cantSplit/>
          <w:jc w:val="center"/>
        </w:trPr>
        <w:tc>
          <w:tcPr>
            <w:tcW w:w="2385" w:type="dxa"/>
            <w:vAlign w:val="center"/>
          </w:tcPr>
          <w:p w14:paraId="33E780C2" w14:textId="77777777" w:rsidR="00E94960" w:rsidRPr="00CC4D15" w:rsidRDefault="00E94960" w:rsidP="00B06E11">
            <w:pPr>
              <w:suppressLineNumbers/>
              <w:suppressAutoHyphens/>
              <w:ind w:left="-49" w:right="-36"/>
              <w:jc w:val="left"/>
              <w:rPr>
                <w:b/>
                <w:bCs/>
                <w:color w:val="000000"/>
                <w:lang w:val="ru-RU"/>
              </w:rPr>
            </w:pPr>
            <w:r w:rsidRPr="00CC4D15">
              <w:rPr>
                <w:b/>
                <w:bCs/>
                <w:snapToGrid w:val="0"/>
                <w:color w:val="000000"/>
                <w:kern w:val="22"/>
                <w:lang w:val="ru-RU"/>
              </w:rPr>
              <w:t>ИТОГО</w:t>
            </w:r>
          </w:p>
        </w:tc>
        <w:tc>
          <w:tcPr>
            <w:tcW w:w="2268" w:type="dxa"/>
            <w:vAlign w:val="center"/>
          </w:tcPr>
          <w:p w14:paraId="33E780C3" w14:textId="77777777" w:rsidR="00E94960" w:rsidRPr="00CC4D15" w:rsidRDefault="00E94960" w:rsidP="00014202">
            <w:pPr>
              <w:suppressLineNumbers/>
              <w:suppressAutoHyphens/>
              <w:jc w:val="center"/>
              <w:rPr>
                <w:b/>
                <w:bCs/>
                <w:color w:val="000000"/>
                <w:lang w:val="ru-RU"/>
              </w:rPr>
            </w:pPr>
            <w:r w:rsidRPr="00CC4D15">
              <w:rPr>
                <w:b/>
                <w:bCs/>
                <w:snapToGrid w:val="0"/>
                <w:color w:val="000000"/>
                <w:kern w:val="22"/>
                <w:lang w:val="ru-RU"/>
              </w:rPr>
              <w:t>56 (34%)</w:t>
            </w:r>
          </w:p>
        </w:tc>
        <w:tc>
          <w:tcPr>
            <w:tcW w:w="1701" w:type="dxa"/>
            <w:vAlign w:val="center"/>
          </w:tcPr>
          <w:p w14:paraId="33E780C4" w14:textId="77777777" w:rsidR="00E94960" w:rsidRPr="00CC4D15" w:rsidRDefault="00E94960" w:rsidP="00014202">
            <w:pPr>
              <w:suppressLineNumbers/>
              <w:suppressAutoHyphens/>
              <w:jc w:val="center"/>
              <w:rPr>
                <w:b/>
                <w:bCs/>
                <w:color w:val="000000"/>
                <w:lang w:val="ru-RU"/>
              </w:rPr>
            </w:pPr>
            <w:r w:rsidRPr="00CC4D15">
              <w:rPr>
                <w:b/>
                <w:bCs/>
                <w:snapToGrid w:val="0"/>
                <w:color w:val="000000"/>
                <w:kern w:val="22"/>
                <w:lang w:val="ru-RU"/>
              </w:rPr>
              <w:t>6 (4%)</w:t>
            </w:r>
          </w:p>
        </w:tc>
        <w:tc>
          <w:tcPr>
            <w:tcW w:w="1276" w:type="dxa"/>
            <w:vAlign w:val="center"/>
          </w:tcPr>
          <w:p w14:paraId="33E780C5" w14:textId="77777777" w:rsidR="00E94960" w:rsidRPr="00CC4D15" w:rsidRDefault="00E94960" w:rsidP="00014202">
            <w:pPr>
              <w:suppressLineNumbers/>
              <w:suppressAutoHyphens/>
              <w:jc w:val="center"/>
              <w:rPr>
                <w:b/>
                <w:bCs/>
                <w:color w:val="000000"/>
                <w:lang w:val="ru-RU"/>
              </w:rPr>
            </w:pPr>
            <w:r w:rsidRPr="00CC4D15">
              <w:rPr>
                <w:b/>
                <w:bCs/>
                <w:snapToGrid w:val="0"/>
                <w:color w:val="000000"/>
                <w:kern w:val="22"/>
                <w:lang w:val="ru-RU"/>
              </w:rPr>
              <w:t>17 (10%)</w:t>
            </w:r>
          </w:p>
        </w:tc>
        <w:tc>
          <w:tcPr>
            <w:tcW w:w="1679" w:type="dxa"/>
            <w:vAlign w:val="center"/>
          </w:tcPr>
          <w:p w14:paraId="33E780C6" w14:textId="77777777" w:rsidR="00E94960" w:rsidRPr="00CC4D15" w:rsidRDefault="00E94960" w:rsidP="00014202">
            <w:pPr>
              <w:suppressLineNumbers/>
              <w:suppressAutoHyphens/>
              <w:jc w:val="center"/>
              <w:rPr>
                <w:b/>
                <w:bCs/>
                <w:color w:val="000000"/>
                <w:lang w:val="ru-RU"/>
              </w:rPr>
            </w:pPr>
            <w:r w:rsidRPr="00CC4D15">
              <w:rPr>
                <w:b/>
                <w:bCs/>
                <w:snapToGrid w:val="0"/>
                <w:color w:val="000000"/>
                <w:kern w:val="22"/>
                <w:lang w:val="ru-RU"/>
              </w:rPr>
              <w:t>85 (52%)</w:t>
            </w:r>
          </w:p>
        </w:tc>
      </w:tr>
    </w:tbl>
    <w:p w14:paraId="33E780C8" w14:textId="77777777" w:rsidR="00E94960" w:rsidRPr="00CC4D15" w:rsidRDefault="00E94960" w:rsidP="00D3461A">
      <w:pPr>
        <w:pStyle w:val="Heading2"/>
        <w:suppressLineNumbers/>
        <w:tabs>
          <w:tab w:val="clear" w:pos="720"/>
        </w:tabs>
        <w:suppressAutoHyphens/>
        <w:kinsoku w:val="0"/>
        <w:overflowPunct w:val="0"/>
        <w:autoSpaceDE w:val="0"/>
        <w:autoSpaceDN w:val="0"/>
        <w:adjustRightInd w:val="0"/>
        <w:snapToGrid w:val="0"/>
        <w:spacing w:before="0"/>
        <w:jc w:val="both"/>
        <w:rPr>
          <w:snapToGrid w:val="0"/>
          <w:kern w:val="22"/>
          <w:lang w:val="ru-RU"/>
        </w:rPr>
      </w:pPr>
    </w:p>
    <w:p w14:paraId="33E780C9" w14:textId="77777777" w:rsidR="00E94960" w:rsidRPr="00CC4D15" w:rsidRDefault="00E94960" w:rsidP="00D3461A">
      <w:pPr>
        <w:pStyle w:val="ListParagraph"/>
        <w:keepNext/>
        <w:numPr>
          <w:ilvl w:val="0"/>
          <w:numId w:val="34"/>
        </w:numPr>
        <w:suppressLineNumbers/>
        <w:suppressAutoHyphens/>
        <w:kinsoku w:val="0"/>
        <w:overflowPunct w:val="0"/>
        <w:autoSpaceDE w:val="0"/>
        <w:autoSpaceDN w:val="0"/>
        <w:adjustRightInd w:val="0"/>
        <w:snapToGrid w:val="0"/>
        <w:spacing w:after="120"/>
        <w:ind w:left="714" w:hanging="357"/>
        <w:jc w:val="center"/>
        <w:outlineLvl w:val="1"/>
        <w:rPr>
          <w:b/>
          <w:bCs/>
          <w:snapToGrid w:val="0"/>
          <w:kern w:val="22"/>
          <w:lang w:val="ru-RU"/>
        </w:rPr>
      </w:pPr>
      <w:r w:rsidRPr="00CC4D15">
        <w:rPr>
          <w:b/>
          <w:bCs/>
          <w:snapToGrid w:val="0"/>
          <w:kern w:val="22"/>
          <w:lang w:val="ru-RU"/>
        </w:rPr>
        <w:t>Процесс пересмотра</w:t>
      </w:r>
    </w:p>
    <w:p w14:paraId="33E780CA" w14:textId="77777777" w:rsidR="00E94960" w:rsidRPr="00CC4D15" w:rsidRDefault="00E94960" w:rsidP="00232464">
      <w:pPr>
        <w:pStyle w:val="Para1"/>
        <w:keepNext/>
        <w:numPr>
          <w:ilvl w:val="0"/>
          <w:numId w:val="0"/>
        </w:numPr>
        <w:suppressLineNumbers/>
        <w:suppressAutoHyphens/>
        <w:kinsoku w:val="0"/>
        <w:overflowPunct w:val="0"/>
        <w:autoSpaceDE w:val="0"/>
        <w:autoSpaceDN w:val="0"/>
        <w:adjustRightInd w:val="0"/>
        <w:snapToGrid w:val="0"/>
        <w:jc w:val="center"/>
        <w:rPr>
          <w:i/>
          <w:iCs/>
          <w:kern w:val="22"/>
          <w:sz w:val="22"/>
          <w:szCs w:val="22"/>
          <w:lang w:val="ru-RU"/>
        </w:rPr>
      </w:pPr>
      <w:r w:rsidRPr="00CC4D15">
        <w:rPr>
          <w:kern w:val="22"/>
          <w:sz w:val="22"/>
          <w:szCs w:val="22"/>
          <w:lang w:val="ru-RU"/>
        </w:rPr>
        <w:t>1.</w:t>
      </w:r>
      <w:r w:rsidRPr="00CC4D15">
        <w:rPr>
          <w:kern w:val="22"/>
          <w:sz w:val="22"/>
          <w:szCs w:val="22"/>
          <w:lang w:val="ru-RU"/>
        </w:rPr>
        <w:tab/>
      </w:r>
      <w:r w:rsidRPr="00CC4D15">
        <w:rPr>
          <w:i/>
          <w:iCs/>
          <w:kern w:val="22"/>
          <w:sz w:val="22"/>
          <w:szCs w:val="22"/>
          <w:lang w:val="ru-RU"/>
        </w:rPr>
        <w:t>Оценка предыдущего варианта НСПДСБ</w:t>
      </w:r>
    </w:p>
    <w:p w14:paraId="33E780CB"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Из числа Сторон, представивших НСПДСБ после вступления в силу Нагойского протокола, 118</w:t>
      </w:r>
      <w:r w:rsidRPr="00CC4D15">
        <w:rPr>
          <w:snapToGrid w:val="0"/>
          <w:kern w:val="22"/>
          <w:vertAlign w:val="superscript"/>
          <w:lang w:val="ru-RU"/>
        </w:rPr>
        <w:footnoteReference w:id="24"/>
      </w:r>
      <w:r w:rsidRPr="00CC4D15">
        <w:rPr>
          <w:snapToGrid w:val="0"/>
          <w:kern w:val="22"/>
          <w:lang w:val="ru-RU"/>
        </w:rPr>
        <w:t xml:space="preserve"> сообщили, что они провели оценку</w:t>
      </w:r>
      <w:r w:rsidRPr="00CC4D15">
        <w:rPr>
          <w:snapToGrid w:val="0"/>
          <w:kern w:val="22"/>
          <w:vertAlign w:val="superscript"/>
          <w:lang w:val="ru-RU"/>
        </w:rPr>
        <w:footnoteReference w:id="25"/>
      </w:r>
      <w:r w:rsidRPr="00CC4D15">
        <w:rPr>
          <w:snapToGrid w:val="0"/>
          <w:kern w:val="22"/>
          <w:lang w:val="ru-RU"/>
        </w:rPr>
        <w:t xml:space="preserve"> предыдущего варианта НСПДСБ в рамках процесса пересмотра или в виде вклада в него. Такие оценки помогают Сторонам понимать достоинства и недочеты своих предыдущих НСПДСБ и использовать и улучшать их в ходе последующего пересмотра. Конкретные предметы данных оценок отличаются друг от друга. В очень немногих анализируется качество или полезность НСПДСБ в качестве инструмента планирования или осуществления. В большинстве случаев рассматривается процентная доля завершенных мероприятий в НСПДСБ, их результативность и проблемы с их осуществлением. Ниже приводятся некоторые примеры:</w:t>
      </w:r>
    </w:p>
    <w:p w14:paraId="33E780CC" w14:textId="77777777" w:rsidR="00E94960" w:rsidRPr="00CC4D15" w:rsidRDefault="00E94960" w:rsidP="00232464">
      <w:pPr>
        <w:numPr>
          <w:ilvl w:val="1"/>
          <w:numId w:val="18"/>
        </w:numPr>
        <w:suppressLineNumbers/>
        <w:suppressAutoHyphens/>
        <w:kinsoku w:val="0"/>
        <w:overflowPunct w:val="0"/>
        <w:autoSpaceDE w:val="0"/>
        <w:autoSpaceDN w:val="0"/>
        <w:adjustRightInd w:val="0"/>
        <w:snapToGrid w:val="0"/>
        <w:spacing w:before="120" w:after="120"/>
        <w:ind w:left="0" w:firstLine="709"/>
        <w:rPr>
          <w:snapToGrid w:val="0"/>
          <w:kern w:val="22"/>
          <w:lang w:val="ru-RU"/>
        </w:rPr>
      </w:pPr>
      <w:r w:rsidRPr="00CC4D15">
        <w:rPr>
          <w:snapToGrid w:val="0"/>
          <w:kern w:val="22"/>
          <w:lang w:val="ru-RU"/>
        </w:rPr>
        <w:t>в 19 оценках, проведенных Сторонами</w:t>
      </w:r>
      <w:r w:rsidRPr="00CC4D15">
        <w:rPr>
          <w:rStyle w:val="FootnoteReference"/>
          <w:snapToGrid w:val="0"/>
          <w:kern w:val="22"/>
          <w:sz w:val="22"/>
          <w:szCs w:val="22"/>
          <w:u w:val="none"/>
          <w:vertAlign w:val="superscript"/>
          <w:lang w:val="ru-RU"/>
        </w:rPr>
        <w:footnoteReference w:id="26"/>
      </w:r>
      <w:r w:rsidRPr="00CC4D15">
        <w:rPr>
          <w:snapToGrid w:val="0"/>
          <w:kern w:val="22"/>
          <w:lang w:val="ru-RU"/>
        </w:rPr>
        <w:t>, сообщается о процентной доле выполненных целей, проектов и мероприятий в предыдущих НСПДСБ. Их процентная доля и степень осуществления в разных странах существенно варьируется;</w:t>
      </w:r>
    </w:p>
    <w:p w14:paraId="33E780CD" w14:textId="77777777" w:rsidR="00E94960" w:rsidRPr="00CC4D15" w:rsidRDefault="00E94960" w:rsidP="00232464">
      <w:pPr>
        <w:numPr>
          <w:ilvl w:val="1"/>
          <w:numId w:val="18"/>
        </w:numPr>
        <w:suppressLineNumbers/>
        <w:suppressAutoHyphens/>
        <w:kinsoku w:val="0"/>
        <w:overflowPunct w:val="0"/>
        <w:autoSpaceDE w:val="0"/>
        <w:autoSpaceDN w:val="0"/>
        <w:adjustRightInd w:val="0"/>
        <w:snapToGrid w:val="0"/>
        <w:spacing w:before="120" w:after="120"/>
        <w:ind w:left="0" w:firstLine="709"/>
        <w:rPr>
          <w:snapToGrid w:val="0"/>
          <w:kern w:val="22"/>
          <w:lang w:val="ru-RU"/>
        </w:rPr>
      </w:pPr>
      <w:r w:rsidRPr="00CC4D15">
        <w:rPr>
          <w:snapToGrid w:val="0"/>
          <w:kern w:val="22"/>
          <w:lang w:val="ru-RU"/>
        </w:rPr>
        <w:t>в 50 оценках, проведенных Сторонами</w:t>
      </w:r>
      <w:r w:rsidRPr="00CC4D15">
        <w:rPr>
          <w:rStyle w:val="FootnoteReference"/>
          <w:snapToGrid w:val="0"/>
          <w:kern w:val="22"/>
          <w:sz w:val="22"/>
          <w:szCs w:val="22"/>
          <w:u w:val="none"/>
          <w:vertAlign w:val="superscript"/>
          <w:lang w:val="ru-RU"/>
        </w:rPr>
        <w:footnoteReference w:id="27"/>
      </w:r>
      <w:r w:rsidRPr="00CC4D15">
        <w:rPr>
          <w:snapToGrid w:val="0"/>
          <w:kern w:val="22"/>
          <w:lang w:val="ru-RU"/>
        </w:rPr>
        <w:t xml:space="preserve">, сообщается о конкретных достижениях в период реализации их предыдущих НСПДСБ. Чаще всего среди них упоминается восстановление </w:t>
      </w:r>
      <w:r w:rsidRPr="00CC4D15">
        <w:rPr>
          <w:snapToGrid w:val="0"/>
          <w:kern w:val="22"/>
          <w:lang w:val="ru-RU"/>
        </w:rPr>
        <w:lastRenderedPageBreak/>
        <w:t>лесов (25 Сторон), разработка новых политик и законов и/или усовершенствование организационных структур (25 Сторон), внедрение новых природоохранных программ (24 Стороны) и расширение масштабов охраняемых районов (19 Сторон) или улучшение управления ими (15 Сторон);</w:t>
      </w:r>
    </w:p>
    <w:p w14:paraId="33E780CE" w14:textId="77777777" w:rsidR="00E94960" w:rsidRPr="00CC4D15" w:rsidRDefault="00E94960" w:rsidP="00F46B45">
      <w:pPr>
        <w:numPr>
          <w:ilvl w:val="1"/>
          <w:numId w:val="18"/>
        </w:numPr>
        <w:suppressLineNumbers/>
        <w:suppressAutoHyphens/>
        <w:kinsoku w:val="0"/>
        <w:overflowPunct w:val="0"/>
        <w:autoSpaceDE w:val="0"/>
        <w:autoSpaceDN w:val="0"/>
        <w:adjustRightInd w:val="0"/>
        <w:snapToGrid w:val="0"/>
        <w:spacing w:before="120" w:after="240"/>
        <w:ind w:left="0" w:firstLine="720"/>
        <w:rPr>
          <w:snapToGrid w:val="0"/>
          <w:kern w:val="22"/>
          <w:lang w:val="ru-RU"/>
        </w:rPr>
      </w:pPr>
      <w:r w:rsidRPr="00CC4D15">
        <w:rPr>
          <w:snapToGrid w:val="0"/>
          <w:kern w:val="22"/>
          <w:lang w:val="ru-RU"/>
        </w:rPr>
        <w:t>66 Сторон</w:t>
      </w:r>
      <w:r w:rsidRPr="00CC4D15">
        <w:rPr>
          <w:rStyle w:val="FootnoteReference"/>
          <w:snapToGrid w:val="0"/>
          <w:kern w:val="22"/>
          <w:sz w:val="22"/>
          <w:szCs w:val="22"/>
          <w:u w:val="none"/>
          <w:vertAlign w:val="superscript"/>
          <w:lang w:val="ru-RU"/>
        </w:rPr>
        <w:footnoteReference w:id="28"/>
      </w:r>
      <w:r w:rsidRPr="00CC4D15">
        <w:rPr>
          <w:snapToGrid w:val="0"/>
          <w:kern w:val="22"/>
          <w:lang w:val="ru-RU"/>
        </w:rPr>
        <w:t xml:space="preserve"> сообщили о проблемах в области осуществления. Чаще всего упоминается нехватка финансовых ресурсов (41 Сторона), отсутствие/неэффективность учета проблематики в национальных и секторальных политиках</w:t>
      </w:r>
      <w:r w:rsidRPr="00CC4D15" w:rsidDel="00835F32">
        <w:rPr>
          <w:snapToGrid w:val="0"/>
          <w:kern w:val="22"/>
          <w:lang w:val="ru-RU"/>
        </w:rPr>
        <w:t xml:space="preserve"> </w:t>
      </w:r>
      <w:r w:rsidRPr="00CC4D15">
        <w:rPr>
          <w:snapToGrid w:val="0"/>
          <w:kern w:val="22"/>
          <w:lang w:val="ru-RU"/>
        </w:rPr>
        <w:t>(30 Сторон), неадекватность структур мониторинга и оценки (31 Сторона) и отсутствие/неэффективность взаимодействия с другими подразделениями/ учреждениями (30 Сторон).</w:t>
      </w:r>
    </w:p>
    <w:p w14:paraId="33E780CF" w14:textId="77777777" w:rsidR="00E94960" w:rsidRPr="00CC4D15" w:rsidRDefault="00E94960" w:rsidP="00232464">
      <w:pPr>
        <w:pStyle w:val="Para1"/>
        <w:keepNext/>
        <w:numPr>
          <w:ilvl w:val="0"/>
          <w:numId w:val="0"/>
        </w:numPr>
        <w:suppressLineNumbers/>
        <w:suppressAutoHyphens/>
        <w:kinsoku w:val="0"/>
        <w:overflowPunct w:val="0"/>
        <w:autoSpaceDE w:val="0"/>
        <w:autoSpaceDN w:val="0"/>
        <w:adjustRightInd w:val="0"/>
        <w:snapToGrid w:val="0"/>
        <w:jc w:val="center"/>
        <w:rPr>
          <w:i/>
          <w:iCs/>
          <w:color w:val="000000"/>
          <w:kern w:val="22"/>
          <w:sz w:val="22"/>
          <w:szCs w:val="22"/>
          <w:lang w:val="ru-RU"/>
        </w:rPr>
      </w:pPr>
      <w:r w:rsidRPr="00CC4D15">
        <w:rPr>
          <w:color w:val="000000"/>
          <w:kern w:val="22"/>
          <w:sz w:val="22"/>
          <w:szCs w:val="22"/>
          <w:lang w:val="ru-RU"/>
        </w:rPr>
        <w:t>2.</w:t>
      </w:r>
      <w:r w:rsidRPr="00CC4D15">
        <w:rPr>
          <w:color w:val="000000"/>
          <w:kern w:val="22"/>
          <w:sz w:val="22"/>
          <w:szCs w:val="22"/>
          <w:lang w:val="ru-RU"/>
        </w:rPr>
        <w:tab/>
      </w:r>
      <w:r w:rsidRPr="00CC4D15">
        <w:rPr>
          <w:i/>
          <w:iCs/>
          <w:color w:val="000000"/>
          <w:kern w:val="22"/>
          <w:sz w:val="22"/>
          <w:szCs w:val="22"/>
          <w:lang w:val="ru-RU"/>
        </w:rPr>
        <w:t>Привлечение субъектов деятельности</w:t>
      </w:r>
    </w:p>
    <w:p w14:paraId="33E780D0" w14:textId="77777777" w:rsidR="00E94960" w:rsidRPr="00CC4D15" w:rsidRDefault="00E94960" w:rsidP="009C50D2">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
          <w:bCs/>
          <w:snapToGrid w:val="0"/>
          <w:kern w:val="22"/>
          <w:lang w:val="ru-RU"/>
        </w:rPr>
      </w:pPr>
      <w:r w:rsidRPr="00CC4D15">
        <w:rPr>
          <w:snapToGrid w:val="0"/>
          <w:kern w:val="22"/>
          <w:lang w:val="ru-RU"/>
        </w:rPr>
        <w:t>Большинство Сторон сообщили об участии многочисленных субъектов деятельности в процессе пересмотра НСПДСБ. Но сообщается мало подробностей о качестве такого участия или его значении для осуществления НСПДСБ. Чаще всего в процессе принимали участие следующие государственные министерства: сельского хозяйства, рыболовства, развития/планирования, лесного хозяйства, туризма, образования, финансов, торговли и промышленности и инфраструктуры/транспорта. Среди других участвующих министерств упоминаются: министерства культуры, науки и технологий, экономики, здравоохранения, спорта и по социальным вопросам (см. рис. 2).</w:t>
      </w:r>
    </w:p>
    <w:p w14:paraId="33E780D1" w14:textId="77777777" w:rsidR="00E94960" w:rsidRPr="00CC4D15" w:rsidRDefault="00E94960" w:rsidP="009C50D2">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
          <w:bCs/>
          <w:snapToGrid w:val="0"/>
          <w:kern w:val="22"/>
          <w:lang w:val="ru-RU"/>
        </w:rPr>
      </w:pPr>
      <w:r w:rsidRPr="00CC4D15">
        <w:rPr>
          <w:snapToGrid w:val="0"/>
          <w:kern w:val="22"/>
          <w:lang w:val="ru-RU"/>
        </w:rPr>
        <w:t xml:space="preserve">Стороны также сообщили об участии в процессе пересмотра неправительственных субъектов деятельности. В их число входят коренные и местные общины (отмечены в </w:t>
      </w:r>
      <w:r w:rsidRPr="00CC4D15">
        <w:rPr>
          <w:snapToGrid w:val="0"/>
          <w:kern w:val="22"/>
          <w:lang w:val="ru-RU"/>
        </w:rPr>
        <w:br/>
        <w:t>45 НСПДСБ</w:t>
      </w:r>
      <w:r w:rsidRPr="00CC4D15">
        <w:rPr>
          <w:snapToGrid w:val="0"/>
          <w:kern w:val="22"/>
          <w:vertAlign w:val="superscript"/>
          <w:lang w:val="ru-RU"/>
        </w:rPr>
        <w:footnoteReference w:id="29"/>
      </w:r>
      <w:r w:rsidRPr="00CC4D15">
        <w:rPr>
          <w:snapToGrid w:val="0"/>
          <w:kern w:val="22"/>
          <w:lang w:val="ru-RU"/>
        </w:rPr>
        <w:t>), НПО/ гражданское общество (109 НСПДСБ</w:t>
      </w:r>
      <w:r w:rsidRPr="00CC4D15">
        <w:rPr>
          <w:snapToGrid w:val="0"/>
          <w:kern w:val="22"/>
          <w:vertAlign w:val="superscript"/>
          <w:lang w:val="ru-RU"/>
        </w:rPr>
        <w:footnoteReference w:id="30"/>
      </w:r>
      <w:r w:rsidRPr="00CC4D15">
        <w:rPr>
          <w:snapToGrid w:val="0"/>
          <w:kern w:val="22"/>
          <w:lang w:val="ru-RU"/>
        </w:rPr>
        <w:t>), частный сектор (58 НСПДСБ</w:t>
      </w:r>
      <w:r w:rsidRPr="00CC4D15">
        <w:rPr>
          <w:snapToGrid w:val="0"/>
          <w:kern w:val="22"/>
          <w:vertAlign w:val="superscript"/>
          <w:lang w:val="ru-RU"/>
        </w:rPr>
        <w:footnoteReference w:id="31"/>
      </w:r>
      <w:r w:rsidRPr="00CC4D15">
        <w:rPr>
          <w:snapToGrid w:val="0"/>
          <w:kern w:val="22"/>
          <w:lang w:val="ru-RU"/>
        </w:rPr>
        <w:t>) и научное сообщество (77 НСПДСБ</w:t>
      </w:r>
      <w:r w:rsidRPr="00CC4D15">
        <w:rPr>
          <w:snapToGrid w:val="0"/>
          <w:kern w:val="22"/>
          <w:vertAlign w:val="superscript"/>
          <w:lang w:val="ru-RU"/>
        </w:rPr>
        <w:footnoteReference w:id="32"/>
      </w:r>
      <w:r w:rsidRPr="00CC4D15">
        <w:rPr>
          <w:snapToGrid w:val="0"/>
          <w:kern w:val="22"/>
          <w:lang w:val="ru-RU"/>
        </w:rPr>
        <w:t>).</w:t>
      </w:r>
    </w:p>
    <w:p w14:paraId="33E780D2" w14:textId="77777777" w:rsidR="00E94960" w:rsidRPr="00CC4D15" w:rsidRDefault="00E94960" w:rsidP="00561899">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
          <w:bCs/>
          <w:snapToGrid w:val="0"/>
          <w:spacing w:val="-2"/>
          <w:kern w:val="22"/>
          <w:lang w:val="ru-RU"/>
        </w:rPr>
      </w:pPr>
      <w:r w:rsidRPr="00CC4D15">
        <w:rPr>
          <w:snapToGrid w:val="0"/>
          <w:kern w:val="22"/>
          <w:lang w:val="ru-RU"/>
        </w:rPr>
        <w:lastRenderedPageBreak/>
        <w:t>В 99 из 175 рассмотренных НСПДСБ сообщается о наличии официальной структуры координации или рабочей группы для курирования задач, связанных с НСПДСБ, в состав которых входят разные субъекты деятельности</w:t>
      </w:r>
      <w:r w:rsidRPr="00CC4D15">
        <w:rPr>
          <w:snapToGrid w:val="0"/>
          <w:kern w:val="22"/>
          <w:vertAlign w:val="superscript"/>
          <w:lang w:val="ru-RU"/>
        </w:rPr>
        <w:footnoteReference w:id="33"/>
      </w:r>
      <w:r w:rsidRPr="00CC4D15">
        <w:rPr>
          <w:snapToGrid w:val="0"/>
          <w:kern w:val="22"/>
          <w:lang w:val="ru-RU"/>
        </w:rPr>
        <w:t>. Данные координационные механизмы выполняют различные функции. Тогда как в некоторых странах их функции ограничены обзором НСПДСБ, в других странах координационные механизмы также осуществляют мониторинг реализации. В некоторых странах на них также возложена функция надзора за самим процессом реализации (Бангладеш, Европейский союз, Индонезия, Ирландия, Йемен, Китай, Коста-Рика, Нигерия, Сенегал, Тимор-Лешти, Финляндия, Южная Африка, Япония).</w:t>
      </w:r>
    </w:p>
    <w:p w14:paraId="33E780D3" w14:textId="77777777" w:rsidR="00E94960" w:rsidRPr="00CC4D15" w:rsidRDefault="00E94960" w:rsidP="00F74684">
      <w:pPr>
        <w:pStyle w:val="Para1"/>
        <w:keepNext/>
        <w:numPr>
          <w:ilvl w:val="0"/>
          <w:numId w:val="0"/>
        </w:numPr>
        <w:suppressLineNumbers/>
        <w:suppressAutoHyphens/>
        <w:kinsoku w:val="0"/>
        <w:overflowPunct w:val="0"/>
        <w:autoSpaceDE w:val="0"/>
        <w:autoSpaceDN w:val="0"/>
        <w:adjustRightInd w:val="0"/>
        <w:snapToGrid w:val="0"/>
        <w:ind w:left="686" w:hanging="686"/>
        <w:jc w:val="left"/>
        <w:rPr>
          <w:b/>
          <w:bCs/>
          <w:spacing w:val="-2"/>
          <w:kern w:val="22"/>
          <w:sz w:val="22"/>
          <w:szCs w:val="22"/>
          <w:lang w:val="ru-RU"/>
        </w:rPr>
      </w:pPr>
      <w:r w:rsidRPr="00CC4D15">
        <w:rPr>
          <w:b/>
          <w:bCs/>
          <w:spacing w:val="-2"/>
          <w:kern w:val="22"/>
          <w:sz w:val="22"/>
          <w:szCs w:val="22"/>
          <w:lang w:val="ru-RU"/>
        </w:rPr>
        <w:lastRenderedPageBreak/>
        <w:t>Рис. 2. Количество Сторон, сообщивших об участии и функциях других министерств в процессе НСПДСБ</w:t>
      </w:r>
    </w:p>
    <w:p w14:paraId="33E780D4" w14:textId="77777777" w:rsidR="00E94960" w:rsidRPr="0019057B" w:rsidRDefault="005A796F" w:rsidP="005E02EC">
      <w:pPr>
        <w:pStyle w:val="Para1"/>
        <w:keepNext/>
        <w:numPr>
          <w:ilvl w:val="0"/>
          <w:numId w:val="0"/>
        </w:numPr>
        <w:suppressLineNumbers/>
        <w:suppressAutoHyphens/>
        <w:kinsoku w:val="0"/>
        <w:overflowPunct w:val="0"/>
        <w:autoSpaceDE w:val="0"/>
        <w:autoSpaceDN w:val="0"/>
        <w:adjustRightInd w:val="0"/>
        <w:snapToGrid w:val="0"/>
        <w:ind w:left="851" w:hanging="851"/>
        <w:jc w:val="center"/>
        <w:rPr>
          <w:b/>
          <w:bCs/>
          <w:spacing w:val="-2"/>
          <w:kern w:val="22"/>
          <w:sz w:val="22"/>
          <w:szCs w:val="22"/>
          <w:lang w:val="ru-RU"/>
        </w:rPr>
      </w:pPr>
      <w:r>
        <w:pict w14:anchorId="33E7814A">
          <v:shape id="_x0000_i1028" type="#_x0000_t75" style="width:437.5pt;height:607.5pt">
            <v:imagedata r:id="rId13" o:title=""/>
          </v:shape>
        </w:pict>
      </w:r>
    </w:p>
    <w:p w14:paraId="33E780D5" w14:textId="77777777" w:rsidR="00E94960" w:rsidRPr="00CC4D15" w:rsidRDefault="00E94960" w:rsidP="00EE0B02">
      <w:pPr>
        <w:pStyle w:val="Para1"/>
        <w:numPr>
          <w:ilvl w:val="0"/>
          <w:numId w:val="0"/>
        </w:numPr>
        <w:suppressLineNumbers/>
        <w:suppressAutoHyphens/>
        <w:kinsoku w:val="0"/>
        <w:overflowPunct w:val="0"/>
        <w:autoSpaceDE w:val="0"/>
        <w:autoSpaceDN w:val="0"/>
        <w:adjustRightInd w:val="0"/>
        <w:snapToGrid w:val="0"/>
        <w:spacing w:before="240"/>
        <w:jc w:val="center"/>
        <w:rPr>
          <w:i/>
          <w:iCs/>
          <w:kern w:val="22"/>
          <w:sz w:val="22"/>
          <w:szCs w:val="22"/>
          <w:lang w:val="ru-RU"/>
        </w:rPr>
      </w:pPr>
      <w:r w:rsidRPr="00CC4D15">
        <w:rPr>
          <w:kern w:val="22"/>
          <w:sz w:val="22"/>
          <w:szCs w:val="22"/>
          <w:lang w:val="ru-RU"/>
        </w:rPr>
        <w:t>3.</w:t>
      </w:r>
      <w:r w:rsidRPr="00CC4D15">
        <w:rPr>
          <w:kern w:val="22"/>
          <w:sz w:val="22"/>
          <w:szCs w:val="22"/>
          <w:lang w:val="ru-RU"/>
        </w:rPr>
        <w:tab/>
      </w:r>
      <w:r w:rsidRPr="00CC4D15">
        <w:rPr>
          <w:i/>
          <w:iCs/>
          <w:kern w:val="22"/>
          <w:sz w:val="22"/>
          <w:szCs w:val="22"/>
          <w:lang w:val="ru-RU"/>
        </w:rPr>
        <w:t>Механизм посредничества</w:t>
      </w:r>
    </w:p>
    <w:p w14:paraId="33E780D6"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lastRenderedPageBreak/>
        <w:t>Из 175 Сторон, представивших пересмотренные НСПДСБ, только 5 Сторон сообщили об использовании национального механизма посредничества в процессе пересмотра НСПДСБ</w:t>
      </w:r>
      <w:r w:rsidRPr="00CC4D15">
        <w:rPr>
          <w:snapToGrid w:val="0"/>
          <w:kern w:val="22"/>
          <w:vertAlign w:val="superscript"/>
          <w:lang w:val="ru-RU"/>
        </w:rPr>
        <w:footnoteReference w:id="34"/>
      </w:r>
      <w:r w:rsidRPr="00CC4D15">
        <w:rPr>
          <w:snapToGrid w:val="0"/>
          <w:kern w:val="22"/>
          <w:lang w:val="ru-RU"/>
        </w:rPr>
        <w:t>. В общей сложности 38 Сторон</w:t>
      </w:r>
      <w:r w:rsidRPr="00CC4D15">
        <w:rPr>
          <w:snapToGrid w:val="0"/>
          <w:kern w:val="22"/>
          <w:vertAlign w:val="superscript"/>
          <w:lang w:val="ru-RU"/>
        </w:rPr>
        <w:footnoteReference w:id="35"/>
      </w:r>
      <w:r w:rsidRPr="00CC4D15">
        <w:rPr>
          <w:snapToGrid w:val="0"/>
          <w:kern w:val="22"/>
          <w:lang w:val="ru-RU"/>
        </w:rPr>
        <w:t xml:space="preserve"> включила в свои пересмотренные НСПДСБ меры и/или планы по учреждению национального механизма посредничества.</w:t>
      </w:r>
    </w:p>
    <w:p w14:paraId="33E780D7" w14:textId="77777777" w:rsidR="00E94960" w:rsidRPr="00CC4D15" w:rsidRDefault="00E94960" w:rsidP="00543C96">
      <w:pPr>
        <w:numPr>
          <w:ilvl w:val="0"/>
          <w:numId w:val="6"/>
        </w:numPr>
        <w:suppressLineNumbers/>
        <w:tabs>
          <w:tab w:val="clear" w:pos="540"/>
        </w:tabs>
        <w:suppressAutoHyphens/>
        <w:kinsoku w:val="0"/>
        <w:overflowPunct w:val="0"/>
        <w:autoSpaceDE w:val="0"/>
        <w:autoSpaceDN w:val="0"/>
        <w:adjustRightInd w:val="0"/>
        <w:snapToGrid w:val="0"/>
        <w:spacing w:before="120" w:after="360"/>
        <w:ind w:left="0" w:firstLine="0"/>
        <w:rPr>
          <w:snapToGrid w:val="0"/>
          <w:kern w:val="22"/>
          <w:lang w:val="ru-RU"/>
        </w:rPr>
      </w:pPr>
      <w:r w:rsidRPr="00CC4D15">
        <w:rPr>
          <w:snapToGrid w:val="0"/>
          <w:kern w:val="22"/>
          <w:lang w:val="ru-RU"/>
        </w:rPr>
        <w:t>Из числа Сторон, в которых не имеется механизма посредничества, 47 Сторон</w:t>
      </w:r>
      <w:r w:rsidRPr="00CC4D15">
        <w:rPr>
          <w:snapToGrid w:val="0"/>
          <w:kern w:val="22"/>
          <w:vertAlign w:val="superscript"/>
          <w:lang w:val="ru-RU"/>
        </w:rPr>
        <w:footnoteReference w:id="36"/>
      </w:r>
      <w:r w:rsidRPr="00CC4D15">
        <w:rPr>
          <w:snapToGrid w:val="0"/>
          <w:kern w:val="22"/>
          <w:lang w:val="ru-RU"/>
        </w:rPr>
        <w:t xml:space="preserve"> упомянули в НСПДСБ о своем намерении усовершенствовать и расширить существующую у них систему управления информацией.</w:t>
      </w:r>
    </w:p>
    <w:p w14:paraId="33E780D8" w14:textId="77777777" w:rsidR="00E94960" w:rsidRPr="00CC4D15" w:rsidRDefault="00E94960" w:rsidP="007062D8">
      <w:pPr>
        <w:pStyle w:val="ListParagraph"/>
        <w:keepNext/>
        <w:numPr>
          <w:ilvl w:val="0"/>
          <w:numId w:val="34"/>
        </w:numPr>
        <w:suppressLineNumbers/>
        <w:suppressAutoHyphens/>
        <w:kinsoku w:val="0"/>
        <w:overflowPunct w:val="0"/>
        <w:autoSpaceDE w:val="0"/>
        <w:autoSpaceDN w:val="0"/>
        <w:adjustRightInd w:val="0"/>
        <w:snapToGrid w:val="0"/>
        <w:spacing w:before="120" w:after="120"/>
        <w:jc w:val="center"/>
        <w:outlineLvl w:val="1"/>
        <w:rPr>
          <w:b/>
          <w:bCs/>
          <w:snapToGrid w:val="0"/>
          <w:kern w:val="22"/>
          <w:lang w:val="ru-RU"/>
        </w:rPr>
      </w:pPr>
      <w:r w:rsidRPr="00CC4D15">
        <w:rPr>
          <w:b/>
          <w:bCs/>
          <w:snapToGrid w:val="0"/>
          <w:kern w:val="22"/>
          <w:lang w:val="ru-RU"/>
        </w:rPr>
        <w:t>Компоненты НСПДСБ</w:t>
      </w:r>
    </w:p>
    <w:p w14:paraId="33E780D9" w14:textId="77777777" w:rsidR="00E94960" w:rsidRPr="00CC4D15" w:rsidRDefault="00E94960" w:rsidP="00232464">
      <w:pPr>
        <w:pStyle w:val="Para1"/>
        <w:keepNext/>
        <w:numPr>
          <w:ilvl w:val="0"/>
          <w:numId w:val="0"/>
        </w:numPr>
        <w:suppressLineNumbers/>
        <w:suppressAutoHyphens/>
        <w:kinsoku w:val="0"/>
        <w:overflowPunct w:val="0"/>
        <w:autoSpaceDE w:val="0"/>
        <w:autoSpaceDN w:val="0"/>
        <w:adjustRightInd w:val="0"/>
        <w:snapToGrid w:val="0"/>
        <w:jc w:val="center"/>
        <w:rPr>
          <w:i/>
          <w:iCs/>
          <w:kern w:val="22"/>
          <w:sz w:val="22"/>
          <w:szCs w:val="22"/>
          <w:lang w:val="ru-RU"/>
        </w:rPr>
      </w:pPr>
      <w:r w:rsidRPr="00CC4D15">
        <w:rPr>
          <w:kern w:val="22"/>
          <w:sz w:val="22"/>
          <w:szCs w:val="22"/>
          <w:lang w:val="ru-RU"/>
        </w:rPr>
        <w:t xml:space="preserve">1. </w:t>
      </w:r>
      <w:r w:rsidRPr="00CC4D15">
        <w:rPr>
          <w:i/>
          <w:iCs/>
          <w:kern w:val="22"/>
          <w:sz w:val="22"/>
          <w:szCs w:val="22"/>
          <w:lang w:val="ru-RU"/>
        </w:rPr>
        <w:t>Стратегии мобилизации ресурсов</w:t>
      </w:r>
    </w:p>
    <w:p w14:paraId="33E780DA" w14:textId="1DE77D48"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пункте 25 решения XI/4 Конференция Сторон призвала Стороны «разработать сообразно обстоятельствам стратегии мобилизации ресурсов, учитывающие специфику стран, включая оценку потребностей в ресурсах, в рамках своих обновленных национальных стратегий и планов действий по сохранению биоразнообразия». В этом отношении в 25 НСПДСБ</w:t>
      </w:r>
      <w:r w:rsidRPr="00CC4D15">
        <w:rPr>
          <w:rStyle w:val="FootnoteReference"/>
          <w:snapToGrid w:val="0"/>
          <w:kern w:val="22"/>
          <w:sz w:val="22"/>
          <w:szCs w:val="22"/>
          <w:u w:val="none"/>
          <w:vertAlign w:val="superscript"/>
          <w:lang w:val="ru-RU"/>
        </w:rPr>
        <w:footnoteReference w:id="37"/>
      </w:r>
      <w:r w:rsidRPr="00CC4D15">
        <w:rPr>
          <w:snapToGrid w:val="0"/>
          <w:kern w:val="22"/>
          <w:lang w:val="ru-RU"/>
        </w:rPr>
        <w:t xml:space="preserve"> конкретно приведены национальные стратегии мобилизации ресурсов или их эквивалент</w:t>
      </w:r>
      <w:r w:rsidRPr="00CC4D15">
        <w:rPr>
          <w:rStyle w:val="FootnoteReference"/>
          <w:snapToGrid w:val="0"/>
          <w:kern w:val="22"/>
          <w:sz w:val="22"/>
          <w:szCs w:val="22"/>
          <w:u w:val="none"/>
          <w:vertAlign w:val="superscript"/>
          <w:lang w:val="ru-RU"/>
        </w:rPr>
        <w:footnoteReference w:id="38"/>
      </w:r>
      <w:r w:rsidRPr="00CC4D15">
        <w:rPr>
          <w:snapToGrid w:val="0"/>
          <w:kern w:val="22"/>
          <w:lang w:val="ru-RU"/>
        </w:rPr>
        <w:t>.</w:t>
      </w:r>
      <w:r w:rsidRPr="00CC4D15">
        <w:rPr>
          <w:rStyle w:val="FootnoteReference"/>
          <w:snapToGrid w:val="0"/>
          <w:kern w:val="22"/>
          <w:sz w:val="22"/>
          <w:szCs w:val="22"/>
          <w:u w:val="none"/>
          <w:vertAlign w:val="superscript"/>
          <w:lang w:val="ru-RU"/>
        </w:rPr>
        <w:t xml:space="preserve"> </w:t>
      </w:r>
      <w:r w:rsidRPr="00CC4D15">
        <w:rPr>
          <w:snapToGrid w:val="0"/>
          <w:kern w:val="22"/>
          <w:lang w:val="ru-RU"/>
        </w:rPr>
        <w:t>Ниже приводится несколько примеров:</w:t>
      </w:r>
    </w:p>
    <w:p w14:paraId="33E780DB" w14:textId="77777777" w:rsidR="00E94960" w:rsidRPr="00CC4D15" w:rsidRDefault="00E94960"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t>Босния и Герцеговина подготовила план мобилизации ресурсов, который включает следующие разделы: i) положение дел в области финансирования охраны биоразнообразия; ii) доходы и бенефициары фондов охраны окружающей среды; iii) потенциальные международные источники финансирования охраны природы и биоразнообразия; iv) оценка эффективности существующей модели финансирования биоразнообразия; v) мобилизация ресурсов для финансирования биоразнообразия; vi) мониторинг осуществления;</w:t>
      </w:r>
    </w:p>
    <w:p w14:paraId="33E780DC" w14:textId="77777777" w:rsidR="00E94960" w:rsidRPr="00CC4D15" w:rsidRDefault="00E94960"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spacing w:val="-1"/>
          <w:kern w:val="22"/>
          <w:lang w:val="ru-RU"/>
        </w:rPr>
      </w:pPr>
      <w:r w:rsidRPr="00CC4D15">
        <w:rPr>
          <w:snapToGrid w:val="0"/>
          <w:spacing w:val="-1"/>
          <w:kern w:val="22"/>
          <w:lang w:val="ru-RU"/>
        </w:rPr>
        <w:t>некоторые из планируемых мероприятий в плане мобилизации ресурсов Ботсваны включают: i) обеспечение полной функциональности Национального экологического фонда и наличие в нем конкретно выделяемых средств для реализации мероприятий по сохранению биоразнообразия и ii) заказ исследования дезагрегированных расходов и доходов, связанных с биоразнообразием, для государственного сектора, частного сектора, НПО, общинных организаций, совместных международных программ и научных учреждений;</w:t>
      </w:r>
    </w:p>
    <w:p w14:paraId="33E780DD" w14:textId="77777777" w:rsidR="00E94960" w:rsidRPr="00CC4D15" w:rsidRDefault="00E94960"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t>был создан План мобилизации ресурсов Коста-Рики в результате участия этой страны в Инициативе по финансированию биоразнообразия (БИОФИН);</w:t>
      </w:r>
    </w:p>
    <w:p w14:paraId="33E780DE" w14:textId="77777777" w:rsidR="00E94960" w:rsidRPr="00CC4D15" w:rsidRDefault="00E94960"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lastRenderedPageBreak/>
        <w:t>в НСПДСБ Мальдивских Островов включена стратегия мобилизации ресурсов, в которой изложены финансовые потребности и приведено описание нескольких вариантов мобилизации фондов, таких как: доходы от туризма, доходы от рыболовства и лесоводства, недвижимость и права на освоение, Зеленый фонд Мальдивских Островов (признан как чрезвычайно важный потенциальный источник фондов), зеленый налог, устранение порочных стимулов, частный сектор;</w:t>
      </w:r>
    </w:p>
    <w:p w14:paraId="33E780DF" w14:textId="77777777" w:rsidR="00E94960" w:rsidRPr="00CC4D15" w:rsidRDefault="00E94960"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t>Стратегия финансирования Руанды направлена на создание инновационных финансовых механизмов в целях увеличения взносов в бюджет государственных и частных организаций и поддержки партнеров по развитию.</w:t>
      </w:r>
    </w:p>
    <w:p w14:paraId="33E780E0"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64 пересмотренных НСПДСБ</w:t>
      </w:r>
      <w:r w:rsidRPr="00CC4D15">
        <w:rPr>
          <w:rStyle w:val="FootnoteReference"/>
          <w:snapToGrid w:val="0"/>
          <w:kern w:val="22"/>
          <w:sz w:val="22"/>
          <w:szCs w:val="22"/>
          <w:u w:val="none"/>
          <w:vertAlign w:val="superscript"/>
          <w:lang w:val="ru-RU"/>
        </w:rPr>
        <w:footnoteReference w:id="39"/>
      </w:r>
      <w:r w:rsidRPr="00CC4D15">
        <w:rPr>
          <w:snapToGrid w:val="0"/>
          <w:kern w:val="22"/>
          <w:lang w:val="ru-RU"/>
        </w:rPr>
        <w:t xml:space="preserve"> включен расчет затрат на реализацию планов действий. Только в 12 из них (уже упомянуты выше) также содержится полностью оформленная стратегия мобилизации ресурсов.</w:t>
      </w:r>
    </w:p>
    <w:p w14:paraId="33E780E1"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общей сложности 110 Сторон</w:t>
      </w:r>
      <w:r w:rsidRPr="00CC4D15">
        <w:rPr>
          <w:snapToGrid w:val="0"/>
          <w:kern w:val="22"/>
          <w:vertAlign w:val="superscript"/>
          <w:lang w:val="ru-RU"/>
        </w:rPr>
        <w:footnoteReference w:id="40"/>
      </w:r>
      <w:r w:rsidRPr="00CC4D15">
        <w:rPr>
          <w:snapToGrid w:val="0"/>
          <w:kern w:val="22"/>
          <w:lang w:val="ru-RU"/>
        </w:rPr>
        <w:t xml:space="preserve"> поставили национальные целевые задачи в соответствии с Айтинской целевой задачей 20 в области биоразнообразия, и 82 Сторона поясняют в своих НСПДСБ предпринятые усилия по расширению финансирования биоразнообразия в своих странах и/или сообщает о своих намерениях разработать планы мобилизации ресурсов:</w:t>
      </w:r>
    </w:p>
    <w:p w14:paraId="33E780E2" w14:textId="77777777" w:rsidR="00E94960" w:rsidRPr="00CC4D15" w:rsidRDefault="00E94960"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Белиз финансирует свою Систему национальных охраняемых районов с помощью различных финансовых механизмов, включая гранты Фонда поддержки охраняемых районов (PACT), соглашения о конверсии задолженности в природоохранные вложения, доход, получаемый непосредственно от самих охраняемых районов, и средства, привлекаемые организациями по совместному управлению охраняемыми районами;</w:t>
      </w:r>
    </w:p>
    <w:p w14:paraId="33E780E3" w14:textId="77777777" w:rsidR="00E94960" w:rsidRPr="00CC4D15" w:rsidRDefault="00E94960" w:rsidP="00232464">
      <w:pPr>
        <w:pStyle w:val="Para1"/>
        <w:numPr>
          <w:ilvl w:val="0"/>
          <w:numId w:val="20"/>
        </w:numPr>
        <w:suppressLineNumbers/>
        <w:tabs>
          <w:tab w:val="clear" w:pos="1440"/>
          <w:tab w:val="left" w:pos="180"/>
          <w:tab w:val="left" w:pos="126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Демократической Республике Конго в 2014 году был создан и одобрен в соответствии с Законом об охране природы целевой фонд «Окапи» для восстановления охраняемых районов;</w:t>
      </w:r>
    </w:p>
    <w:p w14:paraId="33E780E4" w14:textId="77777777" w:rsidR="00E94960" w:rsidRPr="00CC4D15" w:rsidRDefault="00E94960"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Гвинее-Бисау создание в 2011 году Фонда Bio Guinée позволило обеспечить реализацию мероприятий, связанных с устойчивым управлением охраняемыми районами, и разработку механизмов устойчивого финансирования для охраняемых районов;</w:t>
      </w:r>
    </w:p>
    <w:p w14:paraId="33E780E5" w14:textId="77777777" w:rsidR="00E94960" w:rsidRPr="00CC4D15" w:rsidRDefault="00E94960"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Малайзии происходит в последнее десятилетие определенная диверсификация природоохранного финансирования. Различные целевые фонды (например, Целевой фонд для морских парков, Целевой фонд Таман Негара) и совсем недавно Национальный природоохранный целевой фонд для природных ресурсов были учреждены в качестве механизмов долгосрочного устойчивого финансирования;</w:t>
      </w:r>
    </w:p>
    <w:p w14:paraId="33E780E6" w14:textId="77777777" w:rsidR="00E94960" w:rsidRPr="00CC4D15" w:rsidRDefault="00E94960"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lastRenderedPageBreak/>
        <w:t>в Мозамбике существует Фонд сохранения биоразнообразия, являющийся частным учреждением, миссия которого состоит в оказании поддержки сохранению и устойчивому регулированию природных ресурсов и водного и сухопутного биоразнообразия;</w:t>
      </w:r>
    </w:p>
    <w:p w14:paraId="33E780E7" w14:textId="77777777" w:rsidR="00E94960" w:rsidRPr="00CC4D15" w:rsidRDefault="00E94960"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Тринидаде и Тобаго действует Зеленый фонд, который был учрежден в 2000 году в соответствии с законом о финансировании как Зеленый фонд по сборам. Собранные средства предназначены для оказания финансовой помощи организациям и общественным группам в реализации мероприятий по восстановлению окружающей среды, лесовозобновлению и в других природоохранных целях;</w:t>
      </w:r>
    </w:p>
    <w:p w14:paraId="33E780E8" w14:textId="77777777" w:rsidR="00E94960" w:rsidRPr="00CC4D15" w:rsidRDefault="00E94960" w:rsidP="00A26B9C">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в Федеративных Штатах Микронезии действует Микронезийский природоохранный фонд, который начал свою деятельность в 2002 году. Это первый природоохранный фонд в регионе, поддерживающий сохранение биоразнообразия, адаптацию к изменению климата и устойчивое развитие на всей территории Федеративных Штатов Микронезии и во всем регионе Микронезии;</w:t>
      </w:r>
    </w:p>
    <w:p w14:paraId="33E780E9" w14:textId="77777777" w:rsidR="00E94960" w:rsidRPr="00CC4D15" w:rsidRDefault="00E94960" w:rsidP="00A26B9C">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учрежденный Кабинетом в 2016 году Национальный фонд защиты природы Сент-Лусии обеспечивает устойчивое финансирование деятельности, связанной с защитой, восстановлением и управлением в сфере биоразнообразия и природных ресурсов.</w:t>
      </w:r>
    </w:p>
    <w:p w14:paraId="33E780EA" w14:textId="77777777" w:rsidR="00E94960" w:rsidRPr="00CC4D15" w:rsidRDefault="00E94960" w:rsidP="00F55FF1">
      <w:pPr>
        <w:pStyle w:val="Para1"/>
        <w:numPr>
          <w:ilvl w:val="0"/>
          <w:numId w:val="0"/>
        </w:numPr>
        <w:suppressLineNumbers/>
        <w:tabs>
          <w:tab w:val="num" w:pos="540"/>
          <w:tab w:val="num" w:pos="1211"/>
        </w:tabs>
        <w:suppressAutoHyphens/>
        <w:kinsoku w:val="0"/>
        <w:overflowPunct w:val="0"/>
        <w:autoSpaceDE w:val="0"/>
        <w:autoSpaceDN w:val="0"/>
        <w:adjustRightInd w:val="0"/>
        <w:snapToGrid w:val="0"/>
        <w:jc w:val="center"/>
        <w:rPr>
          <w:i/>
          <w:iCs/>
          <w:kern w:val="22"/>
          <w:sz w:val="22"/>
          <w:szCs w:val="22"/>
          <w:lang w:val="ru-RU"/>
        </w:rPr>
      </w:pPr>
      <w:r w:rsidRPr="00CC4D15">
        <w:rPr>
          <w:kern w:val="22"/>
          <w:sz w:val="22"/>
          <w:szCs w:val="22"/>
          <w:lang w:val="ru-RU"/>
        </w:rPr>
        <w:t xml:space="preserve">2. </w:t>
      </w:r>
      <w:r w:rsidRPr="00CC4D15">
        <w:rPr>
          <w:i/>
          <w:iCs/>
          <w:kern w:val="22"/>
          <w:sz w:val="22"/>
          <w:szCs w:val="22"/>
          <w:lang w:val="ru-RU"/>
        </w:rPr>
        <w:t>Установление связи, просвещение и осведомленность общественности</w:t>
      </w:r>
    </w:p>
    <w:p w14:paraId="33E780EB"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 xml:space="preserve">В решениях </w:t>
      </w:r>
      <w:hyperlink r:id="rId14" w:history="1">
        <w:r w:rsidRPr="00CC4D15">
          <w:rPr>
            <w:rStyle w:val="Hyperlink"/>
            <w:snapToGrid w:val="0"/>
            <w:kern w:val="22"/>
            <w:lang w:val="ru-RU"/>
          </w:rPr>
          <w:t>VIII/6</w:t>
        </w:r>
      </w:hyperlink>
      <w:r w:rsidRPr="00CC4D15">
        <w:rPr>
          <w:snapToGrid w:val="0"/>
          <w:kern w:val="22"/>
          <w:lang w:val="ru-RU"/>
        </w:rPr>
        <w:t xml:space="preserve"> и </w:t>
      </w:r>
      <w:hyperlink r:id="rId15" w:history="1">
        <w:r w:rsidRPr="00CC4D15">
          <w:rPr>
            <w:rStyle w:val="Hyperlink"/>
            <w:snapToGrid w:val="0"/>
            <w:kern w:val="22"/>
            <w:lang w:val="ru-RU"/>
          </w:rPr>
          <w:t>IX/8</w:t>
        </w:r>
      </w:hyperlink>
      <w:r w:rsidRPr="00CC4D15">
        <w:rPr>
          <w:snapToGrid w:val="0"/>
          <w:kern w:val="22"/>
          <w:lang w:val="ru-RU"/>
        </w:rPr>
        <w:t xml:space="preserve"> заявлено, что мероприятия и стратегии по установлению связи, просвещению и повышению осведомленности общественности (УСПОО) должны быть неотъемлемой частью НСПДСБ. Из 175 НСПДСБ, разработанных после вступления в силу Нагойского протокола, в 39</w:t>
      </w:r>
      <w:r w:rsidRPr="00CC4D15">
        <w:rPr>
          <w:rStyle w:val="FootnoteReference"/>
          <w:snapToGrid w:val="0"/>
          <w:kern w:val="22"/>
          <w:sz w:val="22"/>
          <w:szCs w:val="22"/>
          <w:u w:val="none"/>
          <w:vertAlign w:val="superscript"/>
          <w:lang w:val="ru-RU"/>
        </w:rPr>
        <w:footnoteReference w:id="41"/>
      </w:r>
      <w:r w:rsidRPr="00CC4D15">
        <w:rPr>
          <w:snapToGrid w:val="0"/>
          <w:kern w:val="22"/>
          <w:lang w:val="ru-RU"/>
        </w:rPr>
        <w:t xml:space="preserve"> приведена стратегия и план действий по УСПОО или их аналоги и еще в 109</w:t>
      </w:r>
      <w:r w:rsidRPr="00CC4D15">
        <w:rPr>
          <w:snapToGrid w:val="0"/>
          <w:kern w:val="22"/>
          <w:vertAlign w:val="superscript"/>
          <w:lang w:val="ru-RU"/>
        </w:rPr>
        <w:footnoteReference w:id="42"/>
      </w:r>
      <w:r w:rsidRPr="00CC4D15">
        <w:rPr>
          <w:snapToGrid w:val="0"/>
          <w:kern w:val="22"/>
          <w:lang w:val="ru-RU"/>
        </w:rPr>
        <w:t xml:space="preserve"> приведены инициативы, связанные с установлением связи, просвещением и осведомленностью общественности. Ниже приводится несколько примеров:</w:t>
      </w:r>
    </w:p>
    <w:p w14:paraId="33E780EC" w14:textId="77777777" w:rsidR="00E94960" w:rsidRPr="00CC4D15" w:rsidRDefault="00E94960"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у Эквадора имеется Национальный план просвещения граждан в области охраны окружающей среды, который включает проекты, направленные на пропагандирование природоохранной практики. План также известен под названием «Мы являемся частью решения»;</w:t>
      </w:r>
    </w:p>
    <w:p w14:paraId="33E780ED" w14:textId="77777777" w:rsidR="00E94960" w:rsidRPr="00CC4D15" w:rsidRDefault="00E94960"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Финляндии будут разработаны программы повышения квалификации учителей по вопросам знаний о видах и педагогике в области биоразнообразия, и с помощью новой информационной технологии будут популяризироваться знания о видах и просвещение в области устойчивого развития;</w:t>
      </w:r>
    </w:p>
    <w:p w14:paraId="33E780EE" w14:textId="77777777" w:rsidR="00E94960" w:rsidRPr="00CC4D15" w:rsidRDefault="00E94960" w:rsidP="00232464">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 xml:space="preserve">одной из первоочередных задач Науру в краткосрочной перспективе является: «Систематическое образование граждан посредством проведения официальных и неофициальных </w:t>
      </w:r>
      <w:r w:rsidRPr="00CC4D15">
        <w:rPr>
          <w:kern w:val="22"/>
          <w:sz w:val="22"/>
          <w:szCs w:val="22"/>
          <w:lang w:val="ru-RU"/>
        </w:rPr>
        <w:lastRenderedPageBreak/>
        <w:t>курсов, посвященных знаниям в области биоразнообразия страны и навыкам, как традиционным, так и новым, устойчивого управления этими ресурсами»;</w:t>
      </w:r>
    </w:p>
    <w:p w14:paraId="33E780EF" w14:textId="77777777" w:rsidR="00E94960" w:rsidRPr="00CC4D15" w:rsidRDefault="00E94960" w:rsidP="00232464">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Новой Зеландии действует природоохранная образовательная программа, управляемая местными детьми, цель которой состоит в том, чтобы «вернуть биоразнообразие в город». Кроме того, в этой стране имеется программа под названием «Здоровая природа – здоровые люди», созданная совместно правительственными учреждениями, НПО и маори с целью повышения качества жизни новозеландцев за счет связи с природой;</w:t>
      </w:r>
    </w:p>
    <w:p w14:paraId="33E780F0" w14:textId="77777777" w:rsidR="00E94960" w:rsidRPr="00CC4D15" w:rsidRDefault="00E94960"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Никарагуа намеревается включить темы Матери-Земли и биоразнообразия в учебные планы университетов. В целях стимулирования исследований в области биоразнообразия Никарагуа объявит на юношеских форумах конкурс на лучшую диссертацию по теме «Путь к общему благу» (Ruta del Bien Común de la Madre Tierra);</w:t>
      </w:r>
    </w:p>
    <w:p w14:paraId="33E780F1" w14:textId="77777777" w:rsidR="00E94960" w:rsidRPr="00CC4D15" w:rsidRDefault="00E94960"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Норвегия будет продолжать свою программу «Sustainable Backpack», представляющую собой общенациональную инициативу Министерства просвещения и исследований и Министерства по вопросам климата и окружающей среды, которая предназначена для оказания поддержки норвежским школам во внедрении элементов устойчивого развития в программы обучения;</w:t>
      </w:r>
    </w:p>
    <w:p w14:paraId="33E780F2" w14:textId="77777777" w:rsidR="00E94960" w:rsidRPr="00CC4D15" w:rsidRDefault="00E94960"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Сент-Китс и Невис планирует учредить сеть знаний о биоразнообразии в системе средних школ, используя Edu NET – сеть для оказания помощи взаимодействию, сотрудничеству, электронному обучению и исследованиям среди учащихся средних школ;</w:t>
      </w:r>
    </w:p>
    <w:p w14:paraId="33E780F3" w14:textId="77777777" w:rsidR="00E94960" w:rsidRPr="00CC4D15" w:rsidRDefault="00E94960"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декабре 2010 года правительство Швеции утвердило общие цели политики рекреации на открытом воздухе, внедренной для оказания поддержки возможностям людей проводить время на природе и заниматься активным отдыхом на открытом воздухе;</w:t>
      </w:r>
    </w:p>
    <w:p w14:paraId="33E780F4" w14:textId="77777777" w:rsidR="00E94960" w:rsidRPr="00CC4D15" w:rsidRDefault="00E94960" w:rsidP="0084334C">
      <w:pPr>
        <w:pStyle w:val="Para1"/>
        <w:numPr>
          <w:ilvl w:val="0"/>
          <w:numId w:val="8"/>
        </w:numPr>
        <w:suppressLineNumbers/>
        <w:tabs>
          <w:tab w:val="clear" w:pos="1080"/>
          <w:tab w:val="num" w:pos="0"/>
        </w:tab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Боливия (Многонациональное Государство) планирует разработать и пропагандировать кампании повышения осведомленности в отношении предотвращения незаконной торговли ресурсами дикой природы и биопиратства, предназначенные для сельского и городского населения;</w:t>
      </w:r>
    </w:p>
    <w:p w14:paraId="33E780F5" w14:textId="77777777" w:rsidR="00E94960" w:rsidRPr="00CC4D15" w:rsidRDefault="00E94960" w:rsidP="0084334C">
      <w:pPr>
        <w:pStyle w:val="Para1"/>
        <w:numPr>
          <w:ilvl w:val="0"/>
          <w:numId w:val="8"/>
        </w:numPr>
        <w:suppressLineNumbers/>
        <w:tabs>
          <w:tab w:val="clear" w:pos="1080"/>
          <w:tab w:val="num" w:pos="0"/>
        </w:tab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с помощью критериев, разработанных Национальным координационным комитетом по биоразнообразию, Сент-Лусия планирует создать «Печать устойчивости в области биоразнообразия», направленную на повышение осведомленности о важности сохранения биоразнообразия и преимуществах, связанных с получением печати, среди частных предприятий;</w:t>
      </w:r>
    </w:p>
    <w:p w14:paraId="33E780F6" w14:textId="77777777" w:rsidR="00E94960" w:rsidRPr="00CC4D15" w:rsidRDefault="00E94960" w:rsidP="0084334C">
      <w:pPr>
        <w:pStyle w:val="Para1"/>
        <w:numPr>
          <w:ilvl w:val="0"/>
          <w:numId w:val="8"/>
        </w:numPr>
        <w:suppressLineNumbers/>
        <w:tabs>
          <w:tab w:val="clear" w:pos="1080"/>
          <w:tab w:val="num" w:pos="0"/>
        </w:tab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Монако планирует разработку программ обучения для лиц, принимающих решения.</w:t>
      </w:r>
    </w:p>
    <w:p w14:paraId="33E780F7"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lastRenderedPageBreak/>
        <w:t>В общей сложности 138 Сторон</w:t>
      </w:r>
      <w:r w:rsidRPr="00CC4D15">
        <w:rPr>
          <w:rStyle w:val="FootnoteReference"/>
          <w:snapToGrid w:val="0"/>
          <w:kern w:val="22"/>
          <w:sz w:val="22"/>
          <w:szCs w:val="22"/>
          <w:u w:val="none"/>
          <w:vertAlign w:val="superscript"/>
          <w:lang w:val="ru-RU"/>
        </w:rPr>
        <w:footnoteReference w:id="43"/>
      </w:r>
      <w:r w:rsidRPr="00CC4D15">
        <w:rPr>
          <w:snapToGrid w:val="0"/>
          <w:kern w:val="22"/>
          <w:lang w:val="ru-RU"/>
        </w:rPr>
        <w:t xml:space="preserve"> поставили национальные целевые задачи и/или цели, связанные с Айтинской целевой задачей 1 в области биоразнообразия.</w:t>
      </w:r>
    </w:p>
    <w:p w14:paraId="33E780F8" w14:textId="77777777" w:rsidR="00E94960" w:rsidRPr="00CC4D15" w:rsidRDefault="00E94960" w:rsidP="00232464">
      <w:pPr>
        <w:pStyle w:val="Para1"/>
        <w:keepNext/>
        <w:numPr>
          <w:ilvl w:val="0"/>
          <w:numId w:val="0"/>
        </w:numPr>
        <w:suppressLineNumbers/>
        <w:suppressAutoHyphens/>
        <w:kinsoku w:val="0"/>
        <w:overflowPunct w:val="0"/>
        <w:autoSpaceDE w:val="0"/>
        <w:autoSpaceDN w:val="0"/>
        <w:adjustRightInd w:val="0"/>
        <w:snapToGrid w:val="0"/>
        <w:jc w:val="center"/>
        <w:rPr>
          <w:kern w:val="22"/>
          <w:sz w:val="22"/>
          <w:szCs w:val="22"/>
          <w:lang w:val="ru-RU"/>
        </w:rPr>
      </w:pPr>
      <w:r w:rsidRPr="00CC4D15">
        <w:rPr>
          <w:kern w:val="22"/>
          <w:sz w:val="22"/>
          <w:szCs w:val="22"/>
          <w:lang w:val="ru-RU"/>
        </w:rPr>
        <w:t xml:space="preserve">3. </w:t>
      </w:r>
      <w:r w:rsidRPr="00CC4D15">
        <w:rPr>
          <w:i/>
          <w:iCs/>
          <w:kern w:val="22"/>
          <w:sz w:val="22"/>
          <w:szCs w:val="22"/>
          <w:lang w:val="ru-RU"/>
        </w:rPr>
        <w:t>Создание потенциала</w:t>
      </w:r>
    </w:p>
    <w:p w14:paraId="33E780F9" w14:textId="77777777" w:rsidR="00E94960" w:rsidRPr="00CC4D15" w:rsidRDefault="00E94960" w:rsidP="00B3701D">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общей сложности 107 стран</w:t>
      </w:r>
      <w:r w:rsidRPr="00CC4D15">
        <w:rPr>
          <w:snapToGrid w:val="0"/>
          <w:kern w:val="22"/>
          <w:vertAlign w:val="superscript"/>
          <w:lang w:val="ru-RU"/>
        </w:rPr>
        <w:footnoteReference w:id="44"/>
      </w:r>
      <w:r w:rsidRPr="00CC4D15">
        <w:rPr>
          <w:snapToGrid w:val="0"/>
          <w:kern w:val="22"/>
          <w:lang w:val="ru-RU"/>
        </w:rPr>
        <w:t xml:space="preserve"> представили список ряда мероприятий по созданию потенциала, в некоторых из которых также указывается выделенный бюджет и учреждение, отвечающее за мероприятие. В НСПДСБ 18 Сторон</w:t>
      </w:r>
      <w:r w:rsidRPr="00CC4D15">
        <w:rPr>
          <w:rStyle w:val="FootnoteReference"/>
          <w:snapToGrid w:val="0"/>
          <w:kern w:val="22"/>
          <w:sz w:val="22"/>
          <w:szCs w:val="22"/>
          <w:u w:val="none"/>
          <w:vertAlign w:val="superscript"/>
          <w:lang w:val="ru-RU"/>
        </w:rPr>
        <w:footnoteReference w:id="45"/>
      </w:r>
      <w:r w:rsidRPr="00CC4D15">
        <w:rPr>
          <w:snapToGrid w:val="0"/>
          <w:kern w:val="22"/>
          <w:lang w:val="ru-RU"/>
        </w:rPr>
        <w:t xml:space="preserve"> упоминается самооценка национального потенциала и/или оценка других потребностей, связанных с подготовкой кадров и потенциалом. В общей сложности 20 НСПДСБ</w:t>
      </w:r>
      <w:r w:rsidRPr="00CC4D15">
        <w:rPr>
          <w:rStyle w:val="FootnoteReference"/>
          <w:snapToGrid w:val="0"/>
          <w:kern w:val="22"/>
          <w:sz w:val="22"/>
          <w:szCs w:val="22"/>
          <w:u w:val="none"/>
          <w:vertAlign w:val="superscript"/>
          <w:lang w:val="ru-RU"/>
        </w:rPr>
        <w:footnoteReference w:id="46"/>
      </w:r>
      <w:r w:rsidRPr="00CC4D15">
        <w:rPr>
          <w:snapToGrid w:val="0"/>
          <w:kern w:val="22"/>
          <w:lang w:val="ru-RU"/>
        </w:rPr>
        <w:t xml:space="preserve"> включают план развития национального потенциала; несколько примеров таких планов приведены ниже</w:t>
      </w:r>
      <w:r w:rsidRPr="00CC4D15">
        <w:rPr>
          <w:rStyle w:val="FootnoteReference"/>
          <w:snapToGrid w:val="0"/>
          <w:kern w:val="22"/>
          <w:sz w:val="22"/>
          <w:szCs w:val="22"/>
          <w:u w:val="none"/>
          <w:vertAlign w:val="superscript"/>
          <w:lang w:val="ru-RU"/>
        </w:rPr>
        <w:footnoteReference w:id="47"/>
      </w:r>
      <w:r w:rsidRPr="00CC4D15">
        <w:rPr>
          <w:snapToGrid w:val="0"/>
          <w:kern w:val="22"/>
          <w:lang w:val="ru-RU"/>
        </w:rPr>
        <w:t>:</w:t>
      </w:r>
    </w:p>
    <w:p w14:paraId="33E780FA" w14:textId="77777777" w:rsidR="00E94960" w:rsidRPr="00CC4D15" w:rsidRDefault="00E94960" w:rsidP="00B3701D">
      <w:pPr>
        <w:pStyle w:val="Para1"/>
        <w:numPr>
          <w:ilvl w:val="0"/>
          <w:numId w:val="16"/>
        </w:numPr>
        <w:suppressLineNumbers/>
        <w:tabs>
          <w:tab w:val="clear" w:pos="540"/>
          <w:tab w:val="num" w:pos="1211"/>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Нигерия разработала план развития потенциала и оценку потребностей в техническом потенциале. По каждому ключевому вопросу касательно потенциала в плане перечислены индивидуальные и организационные потребности в потенциале и конкретные меры. Кроме того, в план включен раздел о технологических потребностях, намеченных технологиях и необходимых мерах;</w:t>
      </w:r>
    </w:p>
    <w:p w14:paraId="33E780FB" w14:textId="77777777" w:rsidR="00E94960" w:rsidRPr="00CC4D15" w:rsidRDefault="00E94960" w:rsidP="00B566A3">
      <w:pPr>
        <w:pStyle w:val="Para1"/>
        <w:numPr>
          <w:ilvl w:val="0"/>
          <w:numId w:val="16"/>
        </w:numPr>
        <w:suppressLineNumbers/>
        <w:tabs>
          <w:tab w:val="clear" w:pos="540"/>
          <w:tab w:val="left" w:pos="1168"/>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одним из элементов плана осуществления Либерии является план развития потенциала, который включает оценку потребностей в техническом потенциале на системном, институциональном и индивидуальном уровнях;</w:t>
      </w:r>
    </w:p>
    <w:p w14:paraId="33E780FC" w14:textId="77777777" w:rsidR="00E94960" w:rsidRPr="00CC4D15" w:rsidRDefault="00E94960" w:rsidP="00B566A3">
      <w:pPr>
        <w:pStyle w:val="Para1"/>
        <w:numPr>
          <w:ilvl w:val="0"/>
          <w:numId w:val="16"/>
        </w:numPr>
        <w:suppressLineNumbers/>
        <w:tabs>
          <w:tab w:val="clear" w:pos="540"/>
          <w:tab w:val="num" w:pos="117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дополнение к своей системе развития потенциала и плану действий Палау подготовил оценку потребностей в технологиях;</w:t>
      </w:r>
    </w:p>
    <w:p w14:paraId="33E780FD" w14:textId="77777777" w:rsidR="00E94960" w:rsidRPr="00CC4D15" w:rsidRDefault="00E94960" w:rsidP="00B3701D">
      <w:pPr>
        <w:pStyle w:val="Para1"/>
        <w:numPr>
          <w:ilvl w:val="0"/>
          <w:numId w:val="16"/>
        </w:numPr>
        <w:suppressLineNumbers/>
        <w:tabs>
          <w:tab w:val="clear" w:pos="540"/>
          <w:tab w:val="num" w:pos="117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lastRenderedPageBreak/>
        <w:t>план создания потенциала Руанды предназначен для организаций, занимающихся вопросами сохранения биоразнообразия, сельскохозяйственного биоразнообразия, биотехнологий и биобезопасности. В различных учебных заведениях будут проведены мероприятия, посвященные гендерному аспекту как сквозному вопросу в планировании деятельности по сохранению биоразнообразия</w:t>
      </w:r>
      <w:r w:rsidRPr="00CC4D15">
        <w:rPr>
          <w:kern w:val="22"/>
          <w:sz w:val="22"/>
          <w:szCs w:val="22"/>
          <w:shd w:val="clear" w:color="auto" w:fill="FFFFFF"/>
          <w:lang w:val="ru-RU"/>
        </w:rPr>
        <w:t>;</w:t>
      </w:r>
    </w:p>
    <w:p w14:paraId="33E780FE" w14:textId="77777777" w:rsidR="00E94960" w:rsidRPr="00CC4D15" w:rsidRDefault="00E94960" w:rsidP="00B3701D">
      <w:pPr>
        <w:pStyle w:val="Para1"/>
        <w:numPr>
          <w:ilvl w:val="0"/>
          <w:numId w:val="16"/>
        </w:numPr>
        <w:suppressLineNumbers/>
        <w:tabs>
          <w:tab w:val="clear" w:pos="540"/>
          <w:tab w:val="num" w:pos="1211"/>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план развития потенциала Суринама предусматривает четыре подцели: i) развитие общего потенциала; ii) усиление соответствующих министерств и соответствующих учреждений; iii) социальная предпринимательская ответственность компаний с надлежащим учетом зеленых принципов/принципов устойчивого развития; iv) создание местных организаций гражданского общества и общин, способных выполнять свою роль в отношении биоразнообразия.</w:t>
      </w:r>
    </w:p>
    <w:p w14:paraId="33E780FF" w14:textId="77777777" w:rsidR="00E94960" w:rsidRPr="00CC4D15" w:rsidRDefault="00E94960" w:rsidP="00B3701D">
      <w:pPr>
        <w:pStyle w:val="Para1"/>
        <w:numPr>
          <w:ilvl w:val="0"/>
          <w:numId w:val="16"/>
        </w:numPr>
        <w:suppressLineNumbers/>
        <w:tabs>
          <w:tab w:val="clear" w:pos="540"/>
          <w:tab w:val="num" w:pos="1211"/>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Республика Корея планирует осуществить мероприятия по созданию потенциала на национальном уровне в связи с различными вопросами, такими как гражданский контроль охраняемых прибрежных водно-болотных угодий, повышение осведомленности национальных предприятий о Нагойском протоколе, просвещение в области лесоводства, осуществление местных стратегий по сохранению биоразнообразия, осуществление СИТЕС и модернизация инфраструктуры туризма. Страна также планирует активизировать свои усилия в отношении международного сотрудничества, включая расширение поддержки различных текущих проектов, таких как Инициатива Био-Мост, Инициатива диалога о мире и биоразнообразии, Корейская инициатива по созданию потенциала в области биобезопасности, Инициатива по восстановлению лесных экосистем и инициатива «Неистощительное освоение океанов», которые вносят вклад в создание потенциала на международном уровне для осуществления Конвенции.</w:t>
      </w:r>
    </w:p>
    <w:p w14:paraId="33E78100" w14:textId="77777777" w:rsidR="00E94960" w:rsidRPr="00CC4D15" w:rsidRDefault="00E94960" w:rsidP="00B3701D">
      <w:pPr>
        <w:pStyle w:val="Para1"/>
        <w:numPr>
          <w:ilvl w:val="0"/>
          <w:numId w:val="16"/>
        </w:numPr>
        <w:suppressLineNumbers/>
        <w:tabs>
          <w:tab w:val="clear" w:pos="540"/>
          <w:tab w:val="num" w:pos="1211"/>
        </w:tab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Кувейт планирует создавать потенциал в отношении биотехнологий;</w:t>
      </w:r>
    </w:p>
    <w:p w14:paraId="33E78101" w14:textId="77777777" w:rsidR="00E94960" w:rsidRPr="00CC4D15" w:rsidRDefault="00E94960" w:rsidP="00B3701D">
      <w:pPr>
        <w:pStyle w:val="Para1"/>
        <w:numPr>
          <w:ilvl w:val="0"/>
          <w:numId w:val="16"/>
        </w:numPr>
        <w:suppressLineNumbers/>
        <w:tabs>
          <w:tab w:val="clear" w:pos="540"/>
          <w:tab w:val="num" w:pos="1211"/>
        </w:tab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Гаити планирует создать национальную координационную структуру, функции которой будут, в частности, включать организацию тематических групп для работы по достижению целей и задач НСПДСБ и развитию потенциала, а также учреждение региональных и местных комитетов для содействия привлечению к работе всех заинтересованных сторон.</w:t>
      </w:r>
    </w:p>
    <w:p w14:paraId="33E78102" w14:textId="77777777" w:rsidR="00E94960" w:rsidRPr="00CC4D15" w:rsidRDefault="00E94960" w:rsidP="007062D8">
      <w:pPr>
        <w:pStyle w:val="ListParagraph"/>
        <w:keepNext/>
        <w:numPr>
          <w:ilvl w:val="0"/>
          <w:numId w:val="34"/>
        </w:numPr>
        <w:suppressLineNumbers/>
        <w:suppressAutoHyphens/>
        <w:kinsoku w:val="0"/>
        <w:overflowPunct w:val="0"/>
        <w:autoSpaceDE w:val="0"/>
        <w:autoSpaceDN w:val="0"/>
        <w:adjustRightInd w:val="0"/>
        <w:snapToGrid w:val="0"/>
        <w:spacing w:before="120" w:after="120"/>
        <w:jc w:val="center"/>
        <w:outlineLvl w:val="1"/>
        <w:rPr>
          <w:b/>
          <w:bCs/>
          <w:snapToGrid w:val="0"/>
          <w:kern w:val="22"/>
          <w:lang w:val="ru-RU"/>
        </w:rPr>
      </w:pPr>
      <w:r w:rsidRPr="00CC4D15">
        <w:rPr>
          <w:b/>
          <w:bCs/>
          <w:snapToGrid w:val="0"/>
          <w:kern w:val="22"/>
          <w:lang w:val="ru-RU"/>
        </w:rPr>
        <w:t>Учет проблематики</w:t>
      </w:r>
    </w:p>
    <w:p w14:paraId="33E78103" w14:textId="77777777" w:rsidR="00E94960" w:rsidRPr="00CC4D15" w:rsidRDefault="00E94960" w:rsidP="00232464">
      <w:pPr>
        <w:keepNext/>
        <w:suppressLineNumbers/>
        <w:suppressAutoHyphens/>
        <w:kinsoku w:val="0"/>
        <w:overflowPunct w:val="0"/>
        <w:autoSpaceDE w:val="0"/>
        <w:autoSpaceDN w:val="0"/>
        <w:adjustRightInd w:val="0"/>
        <w:snapToGrid w:val="0"/>
        <w:spacing w:before="120" w:after="120"/>
        <w:jc w:val="center"/>
        <w:rPr>
          <w:i/>
          <w:iCs/>
          <w:snapToGrid w:val="0"/>
          <w:kern w:val="22"/>
          <w:lang w:val="ru-RU"/>
        </w:rPr>
      </w:pPr>
      <w:r w:rsidRPr="00CC4D15">
        <w:rPr>
          <w:snapToGrid w:val="0"/>
          <w:kern w:val="22"/>
          <w:lang w:val="ru-RU"/>
        </w:rPr>
        <w:t>1.</w:t>
      </w:r>
      <w:r w:rsidRPr="00CC4D15">
        <w:rPr>
          <w:i/>
          <w:iCs/>
          <w:snapToGrid w:val="0"/>
          <w:kern w:val="22"/>
          <w:lang w:val="ru-RU"/>
        </w:rPr>
        <w:t xml:space="preserve"> Стоимостная оценка биоразнообразия и экосистемных услуг</w:t>
      </w:r>
    </w:p>
    <w:p w14:paraId="33E78104"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общей сложности 53 Стороны</w:t>
      </w:r>
      <w:r w:rsidRPr="00CC4D15">
        <w:rPr>
          <w:snapToGrid w:val="0"/>
          <w:kern w:val="22"/>
          <w:vertAlign w:val="superscript"/>
          <w:lang w:val="ru-RU"/>
        </w:rPr>
        <w:footnoteReference w:id="48"/>
      </w:r>
      <w:r w:rsidRPr="00CC4D15">
        <w:rPr>
          <w:snapToGrid w:val="0"/>
          <w:kern w:val="22"/>
          <w:lang w:val="ru-RU"/>
        </w:rPr>
        <w:t xml:space="preserve"> сообщают о проведении стоимостной оценки биоразнообразия в своих странах или их регионах. Однако имеется недостаточно информации для определения того, были ли результаты данных исследований в существенной мере учтены в определении приоритетов, актуализации проблематики и/или разработке пересмотренных НСПДСБ. Ниже приводится несколько примеров оценочных исследований:</w:t>
      </w:r>
    </w:p>
    <w:p w14:paraId="33E78105"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рамках обновления своего НСПДСБ Бангладеш провел экономическую оценку 50 услуг, предоставляемых тремя экосистемами (лесистых холмов, водно-болотной и мангровой);</w:t>
      </w:r>
    </w:p>
    <w:p w14:paraId="33E78106"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Кабо-Верде проведены оценочные исследования для областей экотуризма и лесоводства;</w:t>
      </w:r>
    </w:p>
    <w:p w14:paraId="33E78107"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Египет – охраняемые районы Вади эль Райан и Рас Мохаммед;</w:t>
      </w:r>
    </w:p>
    <w:p w14:paraId="33E78108"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spacing w:val="-4"/>
          <w:kern w:val="22"/>
          <w:sz w:val="22"/>
          <w:szCs w:val="22"/>
          <w:lang w:val="ru-RU"/>
        </w:rPr>
      </w:pPr>
      <w:r w:rsidRPr="00CC4D15">
        <w:rPr>
          <w:kern w:val="22"/>
          <w:sz w:val="22"/>
          <w:szCs w:val="22"/>
          <w:lang w:val="ru-RU"/>
        </w:rPr>
        <w:lastRenderedPageBreak/>
        <w:t>Ямайка провела в 2011 году оценочное исследование карстовой экосистемы, в котором изучалась возможность реализации устойчивого механизма финансирования управления океанами и прибрежными районами</w:t>
      </w:r>
      <w:r w:rsidRPr="00CC4D15">
        <w:rPr>
          <w:spacing w:val="-4"/>
          <w:kern w:val="22"/>
          <w:sz w:val="22"/>
          <w:szCs w:val="22"/>
          <w:lang w:val="ru-RU"/>
        </w:rPr>
        <w:t>;</w:t>
      </w:r>
    </w:p>
    <w:p w14:paraId="33E78109"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Лаосская Народно-Демократическая Республика</w:t>
      </w:r>
      <w:r w:rsidRPr="00CC4D15" w:rsidDel="00854D2F">
        <w:rPr>
          <w:kern w:val="22"/>
          <w:sz w:val="22"/>
          <w:szCs w:val="22"/>
          <w:lang w:val="ru-RU"/>
        </w:rPr>
        <w:t xml:space="preserve"> </w:t>
      </w:r>
      <w:r w:rsidRPr="00CC4D15">
        <w:rPr>
          <w:kern w:val="22"/>
          <w:sz w:val="22"/>
          <w:szCs w:val="22"/>
          <w:lang w:val="ru-RU"/>
        </w:rPr>
        <w:t>– водно-болотные угодья в районе Луанга;</w:t>
      </w:r>
    </w:p>
    <w:p w14:paraId="33E7810A" w14:textId="77777777" w:rsidR="00E94960" w:rsidRPr="005A796F"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es-ES"/>
        </w:rPr>
      </w:pPr>
      <w:r w:rsidRPr="00CC4D15">
        <w:rPr>
          <w:kern w:val="22"/>
          <w:sz w:val="22"/>
          <w:szCs w:val="22"/>
          <w:lang w:val="ru-RU"/>
        </w:rPr>
        <w:t xml:space="preserve">НСПДСБ Мексики в значительной степени основывается на положениях, содержащихся в документе </w:t>
      </w:r>
      <w:r w:rsidRPr="00CC4D15">
        <w:rPr>
          <w:i/>
          <w:iCs/>
          <w:kern w:val="22"/>
          <w:sz w:val="22"/>
          <w:szCs w:val="22"/>
          <w:lang w:val="ru-RU"/>
        </w:rPr>
        <w:t>Природная столица Мексики: стратегические действия по оценке, сохранению и восстановлению</w:t>
      </w:r>
      <w:r w:rsidRPr="00CC4D15">
        <w:rPr>
          <w:kern w:val="22"/>
          <w:sz w:val="22"/>
          <w:szCs w:val="22"/>
          <w:lang w:val="ru-RU"/>
        </w:rPr>
        <w:t xml:space="preserve"> </w:t>
      </w:r>
      <w:r w:rsidRPr="005A796F">
        <w:rPr>
          <w:kern w:val="22"/>
          <w:sz w:val="22"/>
          <w:szCs w:val="22"/>
          <w:lang w:val="es-ES"/>
        </w:rPr>
        <w:t xml:space="preserve">(2012 </w:t>
      </w:r>
      <w:r w:rsidRPr="00CC4D15">
        <w:rPr>
          <w:kern w:val="22"/>
          <w:sz w:val="22"/>
          <w:szCs w:val="22"/>
          <w:lang w:val="ru-RU"/>
        </w:rPr>
        <w:t>г</w:t>
      </w:r>
      <w:r w:rsidRPr="005A796F">
        <w:rPr>
          <w:kern w:val="22"/>
          <w:sz w:val="22"/>
          <w:szCs w:val="22"/>
          <w:lang w:val="es-ES"/>
        </w:rPr>
        <w:t>.) (</w:t>
      </w:r>
      <w:r w:rsidRPr="005A796F">
        <w:rPr>
          <w:i/>
          <w:iCs/>
          <w:kern w:val="22"/>
          <w:sz w:val="22"/>
          <w:szCs w:val="22"/>
          <w:lang w:val="es-ES"/>
        </w:rPr>
        <w:t xml:space="preserve">Capital natural de México: Acciones </w:t>
      </w:r>
      <w:r w:rsidRPr="005A796F">
        <w:rPr>
          <w:i/>
          <w:iCs/>
          <w:sz w:val="22"/>
          <w:szCs w:val="22"/>
          <w:shd w:val="clear" w:color="auto" w:fill="FFFFFF"/>
          <w:lang w:val="es-ES"/>
        </w:rPr>
        <w:t>estratégicas para su valoración, preservación y</w:t>
      </w:r>
      <w:r w:rsidRPr="005A796F">
        <w:rPr>
          <w:i/>
          <w:iCs/>
          <w:kern w:val="22"/>
          <w:sz w:val="22"/>
          <w:szCs w:val="22"/>
          <w:lang w:val="es-ES"/>
        </w:rPr>
        <w:t xml:space="preserve"> recuperaci</w:t>
      </w:r>
      <w:r w:rsidRPr="005A796F">
        <w:rPr>
          <w:i/>
          <w:iCs/>
          <w:sz w:val="22"/>
          <w:szCs w:val="22"/>
          <w:shd w:val="clear" w:color="auto" w:fill="FFFFFF"/>
          <w:lang w:val="es-ES"/>
        </w:rPr>
        <w:t>ón</w:t>
      </w:r>
      <w:r w:rsidRPr="005A796F">
        <w:rPr>
          <w:i/>
          <w:iCs/>
          <w:kern w:val="22"/>
          <w:sz w:val="22"/>
          <w:szCs w:val="22"/>
          <w:lang w:val="es-ES"/>
        </w:rPr>
        <w:t xml:space="preserve"> </w:t>
      </w:r>
      <w:r w:rsidRPr="005A796F">
        <w:rPr>
          <w:kern w:val="22"/>
          <w:sz w:val="22"/>
          <w:szCs w:val="22"/>
          <w:lang w:val="es-ES"/>
        </w:rPr>
        <w:t>(2012);</w:t>
      </w:r>
    </w:p>
    <w:p w14:paraId="33E7810B"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Российская Федерация провела оценку экономической ценности Дубненского болотного массива «Журавлиная родина»</w:t>
      </w:r>
      <w:r w:rsidRPr="00CC4D15">
        <w:rPr>
          <w:i/>
          <w:iCs/>
          <w:kern w:val="22"/>
          <w:sz w:val="22"/>
          <w:szCs w:val="22"/>
          <w:lang w:val="ru-RU"/>
        </w:rPr>
        <w:t>,</w:t>
      </w:r>
      <w:r w:rsidRPr="00CC4D15">
        <w:rPr>
          <w:kern w:val="22"/>
          <w:sz w:val="22"/>
          <w:szCs w:val="22"/>
          <w:lang w:val="ru-RU"/>
        </w:rPr>
        <w:t xml:space="preserve"> продемонстрировавшую выгоду экосистемы, обеспечивающей прямое использование биоресурсов;</w:t>
      </w:r>
    </w:p>
    <w:p w14:paraId="33E7810C"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Сент-Китс и Невис проведена комплексная оценка земель. Страна планирует также провести больше исследований внутренней социально-экономической и культурной ценности биоразнообразия;</w:t>
      </w:r>
    </w:p>
    <w:p w14:paraId="33E7810D" w14:textId="77777777" w:rsidR="00E94960" w:rsidRPr="00CC4D15" w:rsidRDefault="00E9496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Зимбабве проведено оценочное исследование охраняемых районов в рамках процесса пересмотра НСПДСБ.</w:t>
      </w:r>
    </w:p>
    <w:p w14:paraId="33E7810E" w14:textId="77777777" w:rsidR="00E94960" w:rsidRPr="00CC4D15" w:rsidRDefault="00E94960" w:rsidP="00DB5174">
      <w:pPr>
        <w:pStyle w:val="Para1"/>
        <w:numPr>
          <w:ilvl w:val="1"/>
          <w:numId w:val="10"/>
        </w:numPr>
        <w:suppressLineNumber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В процессе реализации предыдущих НСПДСБ (2014-2018 гг.) Республика Корея провела оценочное исследование экосистемных услуг, предоставляемых рисовыми полями. Реализация предыдущих НСПДСБ также способствовала включению стоимостной ценности биоразнообразия в юридические планы различных секторов, включая лесоводство и использование океанов, обеспечивая, таким образом, учет проблематики биоразнообразия в министерствах и ведомствах. Планируемые меры по реализации текущих НСПДСБ (2019-2023 гг.) включают подготовку стандартов оценки путем выявления и отбора ключевых услуг, обеспечиваемых лесными экосистемами, а также усовершенствование индикаторов функциональной оценки. Республика Корея также намеревается пересмотреть Закон о сохранении и использовании биологического разнообразия, который обеспечивает юридическую основу для определения экосистемных услуг, включая их количественное измерение и стоимостную оценку;</w:t>
      </w:r>
    </w:p>
    <w:p w14:paraId="33E7810F" w14:textId="77777777" w:rsidR="00E94960" w:rsidRPr="00CC4D15" w:rsidRDefault="00E94960" w:rsidP="00DB5174">
      <w:pPr>
        <w:pStyle w:val="Para1"/>
        <w:numPr>
          <w:ilvl w:val="1"/>
          <w:numId w:val="10"/>
        </w:numPr>
        <w:suppressLineNumbers/>
        <w:suppressAutoHyphens/>
        <w:kinsoku w:val="0"/>
        <w:overflowPunct w:val="0"/>
        <w:autoSpaceDE w:val="0"/>
        <w:autoSpaceDN w:val="0"/>
        <w:adjustRightInd w:val="0"/>
        <w:snapToGrid w:val="0"/>
        <w:spacing w:after="240"/>
        <w:ind w:left="0" w:firstLine="720"/>
        <w:rPr>
          <w:kern w:val="22"/>
          <w:sz w:val="22"/>
          <w:szCs w:val="22"/>
          <w:lang w:val="ru-RU"/>
        </w:rPr>
      </w:pPr>
      <w:r w:rsidRPr="00CC4D15">
        <w:rPr>
          <w:kern w:val="22"/>
          <w:sz w:val="22"/>
          <w:szCs w:val="22"/>
          <w:lang w:val="ru-RU"/>
        </w:rPr>
        <w:t>проект по вопросам использования натуральных волокон, осуществленный в Барбадосе в 2015 году, выявил 38 видов натуральных волокон и 11 видов семян, имеющих экономическую ценность для ремесленнического сектора страны. Устойчивое использование и сохранение этих ресурсов поощряется Сетью предприятий, работающих с натуральными волокнами в Барбадосе.</w:t>
      </w:r>
    </w:p>
    <w:p w14:paraId="33E78110"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Из 175 рассмотренных НСПДСБ 54 стран</w:t>
      </w:r>
      <w:r w:rsidRPr="00CC4D15">
        <w:rPr>
          <w:rStyle w:val="FootnoteReference"/>
          <w:snapToGrid w:val="0"/>
          <w:kern w:val="22"/>
          <w:sz w:val="22"/>
          <w:szCs w:val="22"/>
          <w:u w:val="none"/>
          <w:vertAlign w:val="superscript"/>
          <w:lang w:val="ru-RU"/>
        </w:rPr>
        <w:footnoteReference w:id="49"/>
      </w:r>
      <w:r w:rsidRPr="00CC4D15">
        <w:rPr>
          <w:snapToGrid w:val="0"/>
          <w:kern w:val="22"/>
          <w:lang w:val="ru-RU"/>
        </w:rPr>
        <w:t xml:space="preserve"> поставили национальные целевые задачи по проведению оценочных исследований и 52 страны заявили о намерении провести оценочные исследования в будущем</w:t>
      </w:r>
      <w:r w:rsidRPr="00CC4D15">
        <w:rPr>
          <w:snapToGrid w:val="0"/>
          <w:kern w:val="22"/>
          <w:vertAlign w:val="superscript"/>
          <w:lang w:val="ru-RU"/>
        </w:rPr>
        <w:footnoteReference w:id="50"/>
      </w:r>
      <w:r w:rsidRPr="00CC4D15">
        <w:rPr>
          <w:snapToGrid w:val="0"/>
          <w:kern w:val="22"/>
          <w:lang w:val="ru-RU"/>
        </w:rPr>
        <w:t>. Например:</w:t>
      </w:r>
    </w:p>
    <w:p w14:paraId="33E78111" w14:textId="77777777" w:rsidR="00E94960" w:rsidRPr="00CC4D15" w:rsidRDefault="00E94960" w:rsidP="00232464">
      <w:pPr>
        <w:pStyle w:val="Para1"/>
        <w:numPr>
          <w:ilvl w:val="1"/>
          <w:numId w:val="11"/>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lastRenderedPageBreak/>
        <w:t>Армения, Мозамбик и Объединенная Республика Танзания внедрили меры для разработки инструментов, методов или методологий проведения стоимостной оценки биоразнообразия и экосистемных услуг в рамках своих планов действий;</w:t>
      </w:r>
    </w:p>
    <w:p w14:paraId="33E78112" w14:textId="77777777" w:rsidR="00E94960" w:rsidRPr="00CC4D15" w:rsidRDefault="00E94960" w:rsidP="00232464">
      <w:pPr>
        <w:pStyle w:val="Para1"/>
        <w:numPr>
          <w:ilvl w:val="1"/>
          <w:numId w:val="11"/>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Марокко существуют программы, которые дорабатываются в настоящее время с целью проведения стоимостной оценки сектора разведения верблюдов, который является важным источником престижа и дохода для населения южных районов Марокко;</w:t>
      </w:r>
    </w:p>
    <w:p w14:paraId="33E78113" w14:textId="77777777" w:rsidR="00E94960" w:rsidRPr="00CC4D15" w:rsidRDefault="00E94960" w:rsidP="00232464">
      <w:pPr>
        <w:pStyle w:val="Para1"/>
        <w:numPr>
          <w:ilvl w:val="1"/>
          <w:numId w:val="11"/>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Кувейт в настоящее время осуществляет проект по стоимостной оценке биоразнообразия в партнерстве с Международным союзом охраны природы.</w:t>
      </w:r>
    </w:p>
    <w:p w14:paraId="33E78114" w14:textId="77777777" w:rsidR="00E94960" w:rsidRPr="00CC4D15" w:rsidRDefault="00E94960" w:rsidP="00325F65">
      <w:pPr>
        <w:keepNext/>
        <w:suppressLineNumbers/>
        <w:suppressAutoHyphens/>
        <w:kinsoku w:val="0"/>
        <w:overflowPunct w:val="0"/>
        <w:autoSpaceDE w:val="0"/>
        <w:autoSpaceDN w:val="0"/>
        <w:adjustRightInd w:val="0"/>
        <w:snapToGrid w:val="0"/>
        <w:spacing w:before="240" w:after="120"/>
        <w:jc w:val="center"/>
        <w:rPr>
          <w:i/>
          <w:iCs/>
          <w:snapToGrid w:val="0"/>
          <w:kern w:val="22"/>
          <w:lang w:val="ru-RU"/>
        </w:rPr>
      </w:pPr>
      <w:r w:rsidRPr="00CC4D15">
        <w:rPr>
          <w:snapToGrid w:val="0"/>
          <w:kern w:val="22"/>
          <w:lang w:val="ru-RU"/>
        </w:rPr>
        <w:t>2.</w:t>
      </w:r>
      <w:r w:rsidRPr="00CC4D15">
        <w:rPr>
          <w:i/>
          <w:iCs/>
          <w:snapToGrid w:val="0"/>
          <w:kern w:val="22"/>
          <w:lang w:val="ru-RU"/>
        </w:rPr>
        <w:t xml:space="preserve"> Национальные планы развития</w:t>
      </w:r>
    </w:p>
    <w:p w14:paraId="33E78115" w14:textId="77777777" w:rsidR="00E94960" w:rsidRPr="00CC4D15" w:rsidRDefault="00E94960" w:rsidP="00D2368C">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общей сложности 44 Стороны</w:t>
      </w:r>
      <w:r w:rsidRPr="00CC4D15">
        <w:rPr>
          <w:snapToGrid w:val="0"/>
          <w:kern w:val="22"/>
          <w:vertAlign w:val="superscript"/>
          <w:lang w:val="ru-RU"/>
        </w:rPr>
        <w:footnoteReference w:id="51"/>
      </w:r>
      <w:r w:rsidRPr="00CC4D15">
        <w:rPr>
          <w:snapToGrid w:val="0"/>
          <w:kern w:val="22"/>
          <w:vertAlign w:val="superscript"/>
          <w:lang w:val="ru-RU"/>
        </w:rPr>
        <w:t xml:space="preserve">, </w:t>
      </w:r>
      <w:r w:rsidRPr="00CC4D15">
        <w:rPr>
          <w:vertAlign w:val="superscript"/>
          <w:lang w:val="ru-RU"/>
        </w:rPr>
        <w:footnoteReference w:id="52"/>
      </w:r>
      <w:r w:rsidRPr="00CC4D15">
        <w:rPr>
          <w:snapToGrid w:val="0"/>
          <w:kern w:val="22"/>
          <w:lang w:val="ru-RU"/>
        </w:rPr>
        <w:t xml:space="preserve"> продемонстрировали, что вопросы биоразнообразия включены в их национальные планы развития или аналогичные документы.</w:t>
      </w:r>
    </w:p>
    <w:p w14:paraId="33E78116"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НСПДСБ Алжира входят в состав его «Schéma National d’Aménagement du Territoire Algérie» (национальная программа территориального планирования), которая является стратегическим правительственным средством планирования в сфере землепользования и устойчивого развития;</w:t>
      </w:r>
    </w:p>
    <w:p w14:paraId="33E78117"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 w:val="22"/>
          <w:szCs w:val="22"/>
          <w:lang w:val="ru-RU"/>
        </w:rPr>
      </w:pPr>
      <w:r w:rsidRPr="00CC4D15">
        <w:rPr>
          <w:kern w:val="22"/>
          <w:sz w:val="22"/>
          <w:szCs w:val="22"/>
          <w:lang w:val="ru-RU"/>
        </w:rPr>
        <w:t>проблематика биоразнообразия занимает важное место в Плане Бутана на одиннадцатую пятилетку (2013-2018 гг.);</w:t>
      </w:r>
    </w:p>
    <w:p w14:paraId="33E78118"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 w:val="22"/>
          <w:szCs w:val="22"/>
          <w:lang w:val="ru-RU"/>
        </w:rPr>
      </w:pPr>
      <w:r w:rsidRPr="00CC4D15">
        <w:rPr>
          <w:kern w:val="22"/>
          <w:sz w:val="22"/>
          <w:szCs w:val="22"/>
          <w:lang w:val="ru-RU"/>
        </w:rPr>
        <w:t>процесс пересмотра НСПДСБ Эквадора проходил одновременно с подготовкой «Plan Nacional para el Buen Vivir 2013-2017» (национальный план развития). Ряд национальных стратегий, являющихся частью цели 7</w:t>
      </w:r>
      <w:r w:rsidRPr="00CC4D15">
        <w:rPr>
          <w:rStyle w:val="FootnoteReference"/>
          <w:kern w:val="22"/>
          <w:sz w:val="22"/>
          <w:szCs w:val="22"/>
          <w:u w:val="none"/>
          <w:vertAlign w:val="superscript"/>
          <w:lang w:val="ru-RU"/>
        </w:rPr>
        <w:footnoteReference w:id="53"/>
      </w:r>
      <w:r w:rsidRPr="00CC4D15">
        <w:rPr>
          <w:kern w:val="22"/>
          <w:sz w:val="22"/>
          <w:szCs w:val="22"/>
          <w:lang w:val="ru-RU"/>
        </w:rPr>
        <w:t>, непосредственно связаны с биоразнообразием;</w:t>
      </w:r>
    </w:p>
    <w:p w14:paraId="33E78119"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 w:val="22"/>
          <w:szCs w:val="22"/>
          <w:lang w:val="ru-RU"/>
        </w:rPr>
      </w:pPr>
      <w:r w:rsidRPr="00CC4D15">
        <w:rPr>
          <w:kern w:val="22"/>
          <w:sz w:val="22"/>
          <w:szCs w:val="22"/>
          <w:lang w:val="ru-RU" w:eastAsia="en-CA"/>
        </w:rPr>
        <w:t>вопросы биоразнообразия рассматриваются в Национальном плане развития Мексики. Принципы и средства сохранения и устойчивого использования биоразнообразия в НСПДСБ непосредственно связаны с действиями, предложенными в национальном плане развития. Планом также предусматривается учет проблематики биоразнообразия в секторах сельского хозяйства, рыбного хозяйства и туризма;</w:t>
      </w:r>
    </w:p>
    <w:p w14:paraId="33E7811A"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 w:val="22"/>
          <w:szCs w:val="22"/>
          <w:lang w:val="ru-RU"/>
        </w:rPr>
      </w:pPr>
      <w:r w:rsidRPr="00CC4D15">
        <w:rPr>
          <w:kern w:val="22"/>
          <w:sz w:val="22"/>
          <w:szCs w:val="22"/>
          <w:lang w:val="ru-RU"/>
        </w:rPr>
        <w:t>План социально-экономического развития Нигера учитывает биоразнообразие в двух направлениях деятельности: одним из них является сбалансированное и устойчивое развитие, а другим – устойчивая продовольственная обеспеченность и развитие сельского хозяйства;</w:t>
      </w:r>
    </w:p>
    <w:p w14:paraId="33E7811B"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 w:val="22"/>
          <w:szCs w:val="22"/>
          <w:lang w:val="ru-RU"/>
        </w:rPr>
      </w:pPr>
      <w:r w:rsidRPr="00CC4D15">
        <w:rPr>
          <w:kern w:val="22"/>
          <w:sz w:val="22"/>
          <w:szCs w:val="22"/>
          <w:lang w:val="ru-RU"/>
        </w:rPr>
        <w:t>в Двухсотлетнем плане Перу под заглавием «Перу к 2021 году» сохранение биоразнообразия признается и определяется в качестве национальной цели;</w:t>
      </w:r>
    </w:p>
    <w:p w14:paraId="33E7811C"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 w:val="22"/>
          <w:szCs w:val="22"/>
          <w:lang w:val="ru-RU"/>
        </w:rPr>
      </w:pPr>
      <w:r w:rsidRPr="00CC4D15">
        <w:rPr>
          <w:kern w:val="22"/>
          <w:sz w:val="22"/>
          <w:szCs w:val="22"/>
          <w:lang w:val="ru-RU"/>
        </w:rPr>
        <w:t>в НСПДСБ Сент-Винсента и Гренадин установлена связь между национальными целевыми задачами и целями в национальном плане социально-экономического развития (2013-</w:t>
      </w:r>
      <w:r w:rsidRPr="00CC4D15">
        <w:rPr>
          <w:kern w:val="22"/>
          <w:sz w:val="22"/>
          <w:szCs w:val="22"/>
          <w:lang w:val="ru-RU"/>
        </w:rPr>
        <w:lastRenderedPageBreak/>
        <w:t>2025 гг.); в них также включены конкретные действия, которые необходимо принять для выполнения целевых задач НСПДСБ и целей плана социально-экономического развития;</w:t>
      </w:r>
    </w:p>
    <w:p w14:paraId="33E7811D" w14:textId="77777777" w:rsidR="00E94960" w:rsidRPr="00CC4D15" w:rsidRDefault="00E94960"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 w:val="22"/>
          <w:szCs w:val="22"/>
          <w:lang w:val="ru-RU"/>
        </w:rPr>
      </w:pPr>
      <w:r w:rsidRPr="00CC4D15">
        <w:rPr>
          <w:kern w:val="22"/>
          <w:sz w:val="22"/>
          <w:szCs w:val="22"/>
          <w:lang w:val="ru-RU"/>
        </w:rPr>
        <w:t>Национальный план стратегического развития Тимора-Лешти содержит обязательства по выполнению некоторых Айтинских целевых задач в области биоразнообразия;</w:t>
      </w:r>
    </w:p>
    <w:p w14:paraId="33E7811E" w14:textId="77777777" w:rsidR="00E94960" w:rsidRPr="00CC4D15" w:rsidRDefault="00E94960" w:rsidP="00CC6B91">
      <w:pPr>
        <w:pStyle w:val="Para1"/>
        <w:numPr>
          <w:ilvl w:val="1"/>
          <w:numId w:val="12"/>
        </w:numPr>
        <w:suppressLineNumbers/>
        <w:suppressAutoHyphens/>
        <w:kinsoku w:val="0"/>
        <w:overflowPunct w:val="0"/>
        <w:autoSpaceDE w:val="0"/>
        <w:autoSpaceDN w:val="0"/>
        <w:adjustRightInd w:val="0"/>
        <w:snapToGrid w:val="0"/>
        <w:spacing w:after="240"/>
        <w:ind w:left="91" w:firstLine="629"/>
        <w:rPr>
          <w:kern w:val="22"/>
          <w:sz w:val="22"/>
          <w:szCs w:val="22"/>
          <w:lang w:val="ru-RU"/>
        </w:rPr>
      </w:pPr>
      <w:r w:rsidRPr="00CC4D15">
        <w:rPr>
          <w:kern w:val="22"/>
          <w:sz w:val="22"/>
          <w:szCs w:val="22"/>
          <w:lang w:val="ru-RU"/>
        </w:rPr>
        <w:t>в Федеративных Штатах Микронезии вопросы биоразнообразия включены в Стратегический план развития на период 2004-2023 гг.;</w:t>
      </w:r>
    </w:p>
    <w:p w14:paraId="33E7811F" w14:textId="77777777" w:rsidR="00E94960" w:rsidRPr="00CC4D15" w:rsidRDefault="00E94960" w:rsidP="009C50D2">
      <w:pPr>
        <w:pStyle w:val="Para1"/>
        <w:numPr>
          <w:ilvl w:val="1"/>
          <w:numId w:val="12"/>
        </w:numPr>
        <w:suppressLineNumbers/>
        <w:suppressAutoHyphens/>
        <w:kinsoku w:val="0"/>
        <w:overflowPunct w:val="0"/>
        <w:autoSpaceDE w:val="0"/>
        <w:autoSpaceDN w:val="0"/>
        <w:adjustRightInd w:val="0"/>
        <w:snapToGrid w:val="0"/>
        <w:spacing w:after="240"/>
        <w:ind w:left="91" w:firstLine="629"/>
        <w:rPr>
          <w:kern w:val="22"/>
          <w:sz w:val="22"/>
          <w:szCs w:val="22"/>
          <w:lang w:val="ru-RU"/>
        </w:rPr>
      </w:pPr>
      <w:r w:rsidRPr="00CC4D15">
        <w:rPr>
          <w:kern w:val="22"/>
          <w:sz w:val="22"/>
          <w:szCs w:val="22"/>
          <w:lang w:val="ru-RU"/>
        </w:rPr>
        <w:t>в Тринидаде и Тобаго вопросы биоразнообразия включены в Национальную стратегию развития на период 2016-2030 гг. (Концепцию 2030) в рамках темы V «Центральное место окружающей среды в социально-экономическом развитии»;</w:t>
      </w:r>
    </w:p>
    <w:p w14:paraId="33E78120" w14:textId="77777777" w:rsidR="00E94960" w:rsidRPr="00CC4D15" w:rsidRDefault="00E94960" w:rsidP="009E354F">
      <w:pPr>
        <w:pStyle w:val="Para1"/>
        <w:numPr>
          <w:ilvl w:val="1"/>
          <w:numId w:val="12"/>
        </w:numPr>
        <w:suppressLineNumbers/>
        <w:suppressAutoHyphens/>
        <w:kinsoku w:val="0"/>
        <w:overflowPunct w:val="0"/>
        <w:autoSpaceDE w:val="0"/>
        <w:autoSpaceDN w:val="0"/>
        <w:adjustRightInd w:val="0"/>
        <w:snapToGrid w:val="0"/>
        <w:spacing w:after="240"/>
        <w:ind w:left="91" w:firstLine="629"/>
        <w:rPr>
          <w:kern w:val="22"/>
          <w:sz w:val="22"/>
          <w:szCs w:val="22"/>
          <w:lang w:val="ru-RU"/>
        </w:rPr>
      </w:pPr>
      <w:r w:rsidRPr="00CC4D15">
        <w:rPr>
          <w:sz w:val="22"/>
          <w:szCs w:val="22"/>
          <w:lang w:val="ru-RU"/>
        </w:rPr>
        <w:t>в 13-м пятилетнем плане национального экономического и социального развития Китая (2016-2020 гг.) многие вопросы связаны с биоразнообразием, в том числе сохранение биоразнообразия, восстановление экосистем, изменение климата, устойчивое ведение сельского хозяйства и управление природопользованием</w:t>
      </w:r>
      <w:r w:rsidRPr="00CC4D15">
        <w:rPr>
          <w:kern w:val="22"/>
          <w:sz w:val="22"/>
          <w:szCs w:val="22"/>
          <w:lang w:val="ru-RU"/>
        </w:rPr>
        <w:t>. Кроме того, сохранение и устойчивое использование биоразнообразия в значительной мере учтено в Природоохранной политике «красных линий»;</w:t>
      </w:r>
    </w:p>
    <w:p w14:paraId="33E78121" w14:textId="77777777" w:rsidR="00E94960" w:rsidRPr="00CC4D15" w:rsidRDefault="00E94960" w:rsidP="009C50D2">
      <w:pPr>
        <w:pStyle w:val="Para1"/>
        <w:numPr>
          <w:ilvl w:val="1"/>
          <w:numId w:val="12"/>
        </w:numPr>
        <w:suppressLineNumbers/>
        <w:suppressAutoHyphens/>
        <w:kinsoku w:val="0"/>
        <w:overflowPunct w:val="0"/>
        <w:autoSpaceDE w:val="0"/>
        <w:autoSpaceDN w:val="0"/>
        <w:adjustRightInd w:val="0"/>
        <w:snapToGrid w:val="0"/>
        <w:spacing w:after="240"/>
        <w:ind w:left="91" w:firstLine="629"/>
        <w:rPr>
          <w:kern w:val="22"/>
          <w:sz w:val="22"/>
          <w:szCs w:val="22"/>
          <w:lang w:val="ru-RU"/>
        </w:rPr>
      </w:pPr>
      <w:r w:rsidRPr="00CC4D15">
        <w:rPr>
          <w:kern w:val="22"/>
          <w:sz w:val="22"/>
          <w:szCs w:val="22"/>
          <w:lang w:val="ru-RU"/>
        </w:rPr>
        <w:t>в Новой Зеландии вопросы биоразнообразия включены в национальное планирование экономического и устойчивого развития различными способами, в том числе посредством «Бюджета благосостояния». В Бюджете прямо говорится о необходимости решения проблем сокращения биоразнообразия, эмиссии парниковых газов, качества водных путей, эрозии почв и других экологических проблем;</w:t>
      </w:r>
    </w:p>
    <w:p w14:paraId="33E78122" w14:textId="77777777" w:rsidR="00E94960" w:rsidRPr="00CC4D15" w:rsidRDefault="00E94960" w:rsidP="009C50D2">
      <w:pPr>
        <w:pStyle w:val="Para1"/>
        <w:numPr>
          <w:ilvl w:val="1"/>
          <w:numId w:val="12"/>
        </w:numPr>
        <w:suppressLineNumbers/>
        <w:suppressAutoHyphens/>
        <w:kinsoku w:val="0"/>
        <w:overflowPunct w:val="0"/>
        <w:autoSpaceDE w:val="0"/>
        <w:autoSpaceDN w:val="0"/>
        <w:adjustRightInd w:val="0"/>
        <w:snapToGrid w:val="0"/>
        <w:spacing w:after="240"/>
        <w:ind w:left="91" w:firstLine="629"/>
        <w:rPr>
          <w:kern w:val="22"/>
          <w:sz w:val="22"/>
          <w:szCs w:val="22"/>
          <w:lang w:val="ru-RU"/>
        </w:rPr>
      </w:pPr>
      <w:r w:rsidRPr="00CC4D15">
        <w:rPr>
          <w:kern w:val="22"/>
          <w:sz w:val="22"/>
          <w:szCs w:val="22"/>
          <w:lang w:val="ru-RU"/>
        </w:rPr>
        <w:t>НСПДСБ Папуа – Новой Гвинеи тесно связана со Стратегическим планом развития на 40 лет (2010–2050 гг.) и «Видением 2050», которые основаны на принципах охраны окружающей среды, закрепленных в Конституции.</w:t>
      </w:r>
    </w:p>
    <w:p w14:paraId="33E78123" w14:textId="77777777" w:rsidR="00E94960" w:rsidRPr="00CC4D15" w:rsidRDefault="00E94960" w:rsidP="009C50D2">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НСПДСБ 38 других Сторон</w:t>
      </w:r>
      <w:r w:rsidRPr="00CC4D15">
        <w:rPr>
          <w:snapToGrid w:val="0"/>
          <w:kern w:val="22"/>
          <w:vertAlign w:val="superscript"/>
          <w:lang w:val="ru-RU"/>
        </w:rPr>
        <w:footnoteReference w:id="54"/>
      </w:r>
      <w:r w:rsidRPr="00CC4D15">
        <w:rPr>
          <w:snapToGrid w:val="0"/>
          <w:kern w:val="22"/>
          <w:lang w:val="ru-RU"/>
        </w:rPr>
        <w:t xml:space="preserve"> содержат элементы и/или целевые задачи и меры, направленные на учет проблематики на основе национального плана развития или аналогичного документа. К примеру, Маврикий провел оценку степени учета проблематики биоразнообразия для ключевых отраслей и вопросов в ходе подготовки НСПДСБ и планирует оценку потенциальных направлений, препятствий и возможностей для учета проблематики биоразнообразия в публичной политике и процессе принятия решений. Северная Македония собирается принять меры по постепенному включению ценностей биоразнообразия в национальные планы развития. Южный Судан намеревается обеспечить учет ценностей биоразнообразия в национальных планах развития и рамочных документах о бюджете. Фиджи планирует полностью интегрировать НСПДСБ в пятилетний план страны (на 2017–2021 годы) и План национального развития на 20 лет (на 2017– 2036 годы), в «Рамочную программу зеленого роста», а также в другие отраслевые планы (например, в сфере возобновляемой энергии, сельского хозяйства, лесного хозяйства, горнодобывающей промышленности и туризма).</w:t>
      </w:r>
    </w:p>
    <w:p w14:paraId="33E78124" w14:textId="77777777" w:rsidR="00E94960" w:rsidRPr="00CC4D15" w:rsidRDefault="00E94960" w:rsidP="009742E9">
      <w:pPr>
        <w:keepNext/>
        <w:suppressLineNumbers/>
        <w:suppressAutoHyphens/>
        <w:kinsoku w:val="0"/>
        <w:overflowPunct w:val="0"/>
        <w:autoSpaceDE w:val="0"/>
        <w:autoSpaceDN w:val="0"/>
        <w:adjustRightInd w:val="0"/>
        <w:snapToGrid w:val="0"/>
        <w:spacing w:before="240" w:after="240"/>
        <w:ind w:left="2160" w:firstLine="720"/>
        <w:rPr>
          <w:i/>
          <w:iCs/>
          <w:snapToGrid w:val="0"/>
          <w:kern w:val="22"/>
          <w:lang w:val="ru-RU"/>
        </w:rPr>
      </w:pPr>
      <w:r w:rsidRPr="00CC4D15">
        <w:rPr>
          <w:snapToGrid w:val="0"/>
          <w:kern w:val="22"/>
          <w:lang w:val="ru-RU"/>
        </w:rPr>
        <w:lastRenderedPageBreak/>
        <w:t>3.</w:t>
      </w:r>
      <w:r w:rsidRPr="00CC4D15">
        <w:rPr>
          <w:i/>
          <w:iCs/>
          <w:snapToGrid w:val="0"/>
          <w:kern w:val="22"/>
          <w:lang w:val="ru-RU"/>
        </w:rPr>
        <w:t xml:space="preserve"> Планы устойчивого развития</w:t>
      </w:r>
    </w:p>
    <w:p w14:paraId="33E78125"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Из 175 рассмотренных НСПДСБ в 27 случаях Стороны</w:t>
      </w:r>
      <w:r w:rsidRPr="00CC4D15">
        <w:rPr>
          <w:snapToGrid w:val="0"/>
          <w:kern w:val="22"/>
          <w:vertAlign w:val="superscript"/>
          <w:lang w:val="ru-RU"/>
        </w:rPr>
        <w:footnoteReference w:id="55"/>
      </w:r>
      <w:r w:rsidRPr="00CC4D15">
        <w:rPr>
          <w:snapToGrid w:val="0"/>
          <w:kern w:val="22"/>
          <w:vertAlign w:val="superscript"/>
          <w:lang w:val="ru-RU"/>
        </w:rPr>
        <w:t xml:space="preserve">, </w:t>
      </w:r>
      <w:r w:rsidRPr="00CC4D15">
        <w:rPr>
          <w:vertAlign w:val="superscript"/>
          <w:lang w:val="ru-RU"/>
        </w:rPr>
        <w:footnoteReference w:id="56"/>
      </w:r>
      <w:r w:rsidRPr="00CC4D15">
        <w:rPr>
          <w:snapToGrid w:val="0"/>
          <w:kern w:val="22"/>
          <w:lang w:val="ru-RU"/>
        </w:rPr>
        <w:t xml:space="preserve"> отмечают включение НСПДСБ в планы устойчивого развития или в аналогичные документы. Например:</w:t>
      </w:r>
    </w:p>
    <w:p w14:paraId="33E78126" w14:textId="77777777" w:rsidR="00E94960" w:rsidRPr="00CC4D15" w:rsidRDefault="00E94960" w:rsidP="005F11C8">
      <w:pPr>
        <w:pStyle w:val="TOC9"/>
        <w:numPr>
          <w:ilvl w:val="0"/>
          <w:numId w:val="37"/>
        </w:numPr>
        <w:tabs>
          <w:tab w:val="clear" w:pos="1440"/>
        </w:tabs>
        <w:ind w:left="0" w:firstLine="720"/>
        <w:rPr>
          <w:lang w:val="ru-RU"/>
        </w:rPr>
      </w:pPr>
      <w:r w:rsidRPr="00CC4D15">
        <w:rPr>
          <w:lang w:val="ru-RU"/>
        </w:rPr>
        <w:t>второй федеральный план устойчивого развития Бельгии предусматривает реализацию мер по сохранению биоразнообразия, лесов и морских вод;</w:t>
      </w:r>
    </w:p>
    <w:p w14:paraId="33E78127" w14:textId="77777777" w:rsidR="00E94960" w:rsidRPr="00CC4D15" w:rsidRDefault="00E94960" w:rsidP="005F11C8">
      <w:pPr>
        <w:pStyle w:val="TOC9"/>
        <w:numPr>
          <w:ilvl w:val="0"/>
          <w:numId w:val="37"/>
        </w:numPr>
        <w:tabs>
          <w:tab w:val="clear" w:pos="1440"/>
        </w:tabs>
        <w:ind w:left="0" w:firstLine="720"/>
        <w:rPr>
          <w:kern w:val="22"/>
          <w:lang w:val="ru-RU"/>
        </w:rPr>
      </w:pPr>
      <w:r w:rsidRPr="00CC4D15">
        <w:rPr>
          <w:lang w:val="ru-RU"/>
        </w:rPr>
        <w:t>Национальная стратегия устойчивого развития Черногории включает меры в отношении охраняемых районов</w:t>
      </w:r>
      <w:r w:rsidRPr="00CC4D15">
        <w:rPr>
          <w:kern w:val="22"/>
          <w:lang w:val="ru-RU"/>
        </w:rPr>
        <w:t>;</w:t>
      </w:r>
    </w:p>
    <w:p w14:paraId="33E78128" w14:textId="77777777" w:rsidR="00E94960" w:rsidRPr="00CC4D15" w:rsidRDefault="00E94960" w:rsidP="005F11C8">
      <w:pPr>
        <w:pStyle w:val="TOC9"/>
        <w:numPr>
          <w:ilvl w:val="0"/>
          <w:numId w:val="37"/>
        </w:numPr>
        <w:tabs>
          <w:tab w:val="clear" w:pos="1440"/>
        </w:tabs>
        <w:ind w:left="0" w:firstLine="720"/>
        <w:rPr>
          <w:lang w:val="ru-RU"/>
        </w:rPr>
      </w:pPr>
      <w:r w:rsidRPr="00CC4D15">
        <w:rPr>
          <w:lang w:val="ru-RU"/>
        </w:rPr>
        <w:t>Европейский союз намерен использовать некоторые из показателей устойчивого развития и агроэкологических индикаторов для мониторинга и представления доклада о результатах работы по осуществлению НСПДСБ;</w:t>
      </w:r>
    </w:p>
    <w:p w14:paraId="33E78129" w14:textId="77777777" w:rsidR="00E94960" w:rsidRPr="00CC4D15" w:rsidRDefault="00E94960" w:rsidP="005F11C8">
      <w:pPr>
        <w:pStyle w:val="TOC9"/>
        <w:numPr>
          <w:ilvl w:val="0"/>
          <w:numId w:val="37"/>
        </w:numPr>
        <w:tabs>
          <w:tab w:val="clear" w:pos="1440"/>
        </w:tabs>
        <w:ind w:left="0" w:firstLine="720"/>
        <w:rPr>
          <w:lang w:val="ru-RU"/>
        </w:rPr>
      </w:pPr>
      <w:r w:rsidRPr="00CC4D15">
        <w:rPr>
          <w:lang w:val="ru-RU"/>
        </w:rPr>
        <w:t>Национальная стратегия Франции по сохранению биоразнообразия является одним из основных элементов Национальной стратегии устойчивого развития (SNDD);</w:t>
      </w:r>
    </w:p>
    <w:p w14:paraId="33E7812A" w14:textId="77777777" w:rsidR="00E94960" w:rsidRPr="00CC4D15" w:rsidRDefault="00E94960" w:rsidP="005F11C8">
      <w:pPr>
        <w:pStyle w:val="TOC9"/>
        <w:numPr>
          <w:ilvl w:val="0"/>
          <w:numId w:val="37"/>
        </w:numPr>
        <w:tabs>
          <w:tab w:val="clear" w:pos="1440"/>
        </w:tabs>
        <w:ind w:left="0" w:firstLine="720"/>
        <w:rPr>
          <w:lang w:val="ru-RU"/>
        </w:rPr>
      </w:pPr>
      <w:r w:rsidRPr="00CC4D15">
        <w:rPr>
          <w:lang w:val="ru-RU"/>
        </w:rPr>
        <w:t>НСПДСБ Люксембурга является составным элементом его Национального плана устойчивого развития;</w:t>
      </w:r>
    </w:p>
    <w:p w14:paraId="33E7812B" w14:textId="77777777" w:rsidR="00E94960" w:rsidRPr="00CC4D15" w:rsidRDefault="00E94960" w:rsidP="005F11C8">
      <w:pPr>
        <w:pStyle w:val="TOC9"/>
        <w:numPr>
          <w:ilvl w:val="0"/>
          <w:numId w:val="37"/>
        </w:numPr>
        <w:tabs>
          <w:tab w:val="clear" w:pos="1440"/>
        </w:tabs>
        <w:ind w:left="0" w:firstLine="720"/>
        <w:rPr>
          <w:lang w:val="ru-RU"/>
        </w:rPr>
      </w:pPr>
      <w:r w:rsidRPr="00CC4D15">
        <w:rPr>
          <w:lang w:val="ru-RU"/>
        </w:rPr>
        <w:t>НСПДСБ Нигера является частью одной из шести программ, входящих в состав Национального плана по охране окружающей среды в целях устойчивого развития (Plan National de L’environnement pour un Développement Durable (PNEDD)).</w:t>
      </w:r>
    </w:p>
    <w:p w14:paraId="33E7812C" w14:textId="77777777" w:rsidR="00E94960" w:rsidRPr="00CC4D15" w:rsidRDefault="00E94960" w:rsidP="005F11C8">
      <w:pPr>
        <w:pStyle w:val="TOC9"/>
        <w:numPr>
          <w:ilvl w:val="0"/>
          <w:numId w:val="37"/>
        </w:numPr>
        <w:tabs>
          <w:tab w:val="clear" w:pos="1440"/>
        </w:tabs>
        <w:ind w:left="0" w:firstLine="720"/>
        <w:rPr>
          <w:lang w:val="ru-RU"/>
        </w:rPr>
      </w:pPr>
      <w:r w:rsidRPr="00CC4D15">
        <w:rPr>
          <w:lang w:val="ru-RU"/>
        </w:rPr>
        <w:t>НСПДСБ Республики Корея включены в Третий генеральный план устойчивого развития (2016-2035 гг.).</w:t>
      </w:r>
    </w:p>
    <w:p w14:paraId="33E7812D" w14:textId="77777777" w:rsidR="00E94960" w:rsidRPr="00CC4D15" w:rsidRDefault="00E94960" w:rsidP="00232464">
      <w:pPr>
        <w:suppressLineNumbers/>
        <w:suppressAutoHyphens/>
        <w:kinsoku w:val="0"/>
        <w:overflowPunct w:val="0"/>
        <w:autoSpaceDE w:val="0"/>
        <w:autoSpaceDN w:val="0"/>
        <w:adjustRightInd w:val="0"/>
        <w:snapToGrid w:val="0"/>
        <w:spacing w:before="120" w:after="120"/>
        <w:jc w:val="center"/>
        <w:rPr>
          <w:i/>
          <w:iCs/>
          <w:snapToGrid w:val="0"/>
          <w:kern w:val="22"/>
          <w:lang w:val="ru-RU"/>
        </w:rPr>
      </w:pPr>
      <w:r w:rsidRPr="00CC4D15">
        <w:rPr>
          <w:snapToGrid w:val="0"/>
          <w:kern w:val="22"/>
          <w:lang w:val="ru-RU"/>
        </w:rPr>
        <w:t xml:space="preserve">4. </w:t>
      </w:r>
      <w:r w:rsidRPr="00CC4D15">
        <w:rPr>
          <w:i/>
          <w:iCs/>
          <w:snapToGrid w:val="0"/>
          <w:kern w:val="22"/>
          <w:lang w:val="ru-RU"/>
        </w:rPr>
        <w:t>Искоренение нищеты</w:t>
      </w:r>
    </w:p>
    <w:p w14:paraId="33E7812E"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НСПДСБ в общей сложности 52 Сторон, принятых после вступления в силу Нагойского протокола</w:t>
      </w:r>
      <w:r w:rsidRPr="00CC4D15">
        <w:rPr>
          <w:rStyle w:val="FootnoteReference"/>
          <w:snapToGrid w:val="0"/>
          <w:kern w:val="22"/>
          <w:sz w:val="22"/>
          <w:szCs w:val="22"/>
          <w:u w:val="none"/>
          <w:vertAlign w:val="superscript"/>
          <w:lang w:val="ru-RU"/>
        </w:rPr>
        <w:footnoteReference w:id="57"/>
      </w:r>
      <w:r w:rsidRPr="00CC4D15">
        <w:rPr>
          <w:snapToGrid w:val="0"/>
          <w:kern w:val="22"/>
          <w:vertAlign w:val="superscript"/>
          <w:lang w:val="ru-RU"/>
        </w:rPr>
        <w:t xml:space="preserve">, </w:t>
      </w:r>
      <w:r w:rsidRPr="00CC4D15">
        <w:rPr>
          <w:rStyle w:val="FootnoteReference"/>
          <w:snapToGrid w:val="0"/>
          <w:kern w:val="22"/>
          <w:sz w:val="22"/>
          <w:szCs w:val="22"/>
          <w:u w:val="none"/>
          <w:vertAlign w:val="superscript"/>
          <w:lang w:val="ru-RU"/>
        </w:rPr>
        <w:footnoteReference w:id="58"/>
      </w:r>
      <w:r w:rsidRPr="00CC4D15">
        <w:rPr>
          <w:snapToGrid w:val="0"/>
          <w:kern w:val="22"/>
          <w:lang w:val="ru-RU"/>
        </w:rPr>
        <w:t>, содержатся ссылки на искоренение нищеты и/или эта цель включена в принципы, целевые задачи и/или меры. Например:</w:t>
      </w:r>
    </w:p>
    <w:p w14:paraId="33E7812F" w14:textId="77777777" w:rsidR="00E94960" w:rsidRPr="00CC4D15" w:rsidRDefault="00E94960"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t>Антигуа и Барбуда, Индия, Йемен и Того, в числе прочих, включают стратегии искоренения нищеты в свои НСПДСБ или национальные положения, аналогичные Айтинской целевой задаче 2 в области биоразнообразия;</w:t>
      </w:r>
    </w:p>
    <w:p w14:paraId="33E78130" w14:textId="77777777" w:rsidR="00E94960" w:rsidRPr="00CC4D15" w:rsidRDefault="00E94960"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t>стратегии сокращения бедности или аналогичные документы Буркина-Фасо, Бурунди, Конго, Нигера и Экваториальной Гвинеи содержат аспекты, касающиеся биоразнообразия;</w:t>
      </w:r>
    </w:p>
    <w:p w14:paraId="33E78131" w14:textId="77777777" w:rsidR="00E94960" w:rsidRPr="00CC4D15" w:rsidRDefault="00E94960"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lastRenderedPageBreak/>
        <w:t>НСПДСБ Афганистана, Молдовы, Намибии, Нигера и Перу направлены на реализацию мер по сохранению биоразнообразия в целях содействия борьбе с нищетой. Посредством НСПДСБ Намибии, в рамках Программы общинного управления природными ресурсами, контролируется роль, которую играет биоразнообразие в борьбе с нищетой в сельских районах;</w:t>
      </w:r>
    </w:p>
    <w:p w14:paraId="33E78132" w14:textId="77777777" w:rsidR="00E94960" w:rsidRPr="00CC4D15" w:rsidRDefault="00E94960"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t>в рамках осуществления своей политики развития Финляндия стремится оказывать поддержку разработке совместных проектов, нацеленных на сокращение нищеты в развивающихся странах посредством сохранения и устойчивого использования биоразнообразия и имеющих целью защиту и укрепление экосистемных услуг;</w:t>
      </w:r>
    </w:p>
    <w:p w14:paraId="33E78133" w14:textId="77777777" w:rsidR="00E94960" w:rsidRPr="00CC4D15" w:rsidRDefault="00E94960"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lang w:val="ru-RU"/>
        </w:rPr>
      </w:pPr>
      <w:r w:rsidRPr="00CC4D15">
        <w:rPr>
          <w:snapToGrid w:val="0"/>
          <w:kern w:val="22"/>
          <w:lang w:val="ru-RU"/>
        </w:rPr>
        <w:t>в НСПДСБ Уганды подчеркивается и выражается стремление сохранить вклад биоразнообразия и экосистемных услуг в благосостояние людей, искоренение нищеты и национальное развитие в качестве одного из руководящих принципов;</w:t>
      </w:r>
    </w:p>
    <w:p w14:paraId="33E78134" w14:textId="77777777" w:rsidR="00E94960" w:rsidRPr="00CC4D15" w:rsidRDefault="00E94960" w:rsidP="004167D8">
      <w:pPr>
        <w:numPr>
          <w:ilvl w:val="0"/>
          <w:numId w:val="15"/>
        </w:numPr>
        <w:suppressLineNumbers/>
        <w:suppressAutoHyphens/>
        <w:kinsoku w:val="0"/>
        <w:overflowPunct w:val="0"/>
        <w:autoSpaceDE w:val="0"/>
        <w:autoSpaceDN w:val="0"/>
        <w:adjustRightInd w:val="0"/>
        <w:snapToGrid w:val="0"/>
        <w:spacing w:before="120" w:after="240"/>
        <w:ind w:left="0" w:firstLine="720"/>
        <w:rPr>
          <w:snapToGrid w:val="0"/>
          <w:kern w:val="22"/>
          <w:lang w:val="ru-RU"/>
        </w:rPr>
      </w:pPr>
      <w:r w:rsidRPr="00CC4D15">
        <w:rPr>
          <w:snapToGrid w:val="0"/>
          <w:kern w:val="22"/>
          <w:lang w:val="ru-RU"/>
        </w:rPr>
        <w:t>руководящий принцип НСПДСБ Южного Судана заключается в том, что осуществление должно способствовать сокращению масштабов нищеты и экономическому развитию.</w:t>
      </w:r>
    </w:p>
    <w:p w14:paraId="33E78135" w14:textId="77777777" w:rsidR="00E94960" w:rsidRPr="00CC4D15" w:rsidRDefault="00E94960" w:rsidP="00F03EA3">
      <w:pPr>
        <w:pStyle w:val="Para1"/>
        <w:keepNext/>
        <w:numPr>
          <w:ilvl w:val="0"/>
          <w:numId w:val="0"/>
        </w:numPr>
        <w:suppressLineNumbers/>
        <w:suppressAutoHyphens/>
        <w:kinsoku w:val="0"/>
        <w:overflowPunct w:val="0"/>
        <w:autoSpaceDE w:val="0"/>
        <w:autoSpaceDN w:val="0"/>
        <w:adjustRightInd w:val="0"/>
        <w:snapToGrid w:val="0"/>
        <w:jc w:val="center"/>
        <w:rPr>
          <w:i/>
          <w:iCs/>
          <w:kern w:val="22"/>
          <w:sz w:val="22"/>
          <w:szCs w:val="22"/>
          <w:lang w:val="ru-RU"/>
        </w:rPr>
      </w:pPr>
      <w:r w:rsidRPr="00CC4D15">
        <w:rPr>
          <w:kern w:val="22"/>
          <w:sz w:val="22"/>
          <w:szCs w:val="22"/>
          <w:lang w:val="ru-RU"/>
        </w:rPr>
        <w:t xml:space="preserve">5. </w:t>
      </w:r>
      <w:r w:rsidRPr="00CC4D15">
        <w:rPr>
          <w:i/>
          <w:iCs/>
          <w:kern w:val="22"/>
          <w:sz w:val="22"/>
          <w:szCs w:val="22"/>
          <w:lang w:val="ru-RU"/>
        </w:rPr>
        <w:t>Планы на субнациональном уровне</w:t>
      </w:r>
    </w:p>
    <w:p w14:paraId="33E78136"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В НСПДСБ 11 Сторон, принятых после вступления в силу Нагойского протокола</w:t>
      </w:r>
      <w:r w:rsidRPr="00CC4D15">
        <w:rPr>
          <w:snapToGrid w:val="0"/>
          <w:kern w:val="22"/>
          <w:vertAlign w:val="superscript"/>
          <w:lang w:val="ru-RU"/>
        </w:rPr>
        <w:footnoteReference w:id="59"/>
      </w:r>
      <w:r w:rsidRPr="00CC4D15">
        <w:rPr>
          <w:snapToGrid w:val="0"/>
          <w:kern w:val="22"/>
          <w:lang w:val="ru-RU"/>
        </w:rPr>
        <w:t>, упоминается, что их страна либо уже имеет субнациональные планы по сохранению биоразнообразия, либо начала их разработку (соответствующие примеры приводятся ниже). Секретариату известны 19 Сторон (включая шесть из вышеупомянутых Сторон), у которых есть по крайней мере один субнациональный план действий по сохранению биоразнообразия</w:t>
      </w:r>
      <w:r w:rsidRPr="00CC4D15">
        <w:rPr>
          <w:snapToGrid w:val="0"/>
          <w:kern w:val="22"/>
          <w:vertAlign w:val="superscript"/>
          <w:lang w:val="ru-RU"/>
        </w:rPr>
        <w:footnoteReference w:id="60"/>
      </w:r>
      <w:r w:rsidRPr="00CC4D15">
        <w:rPr>
          <w:snapToGrid w:val="0"/>
          <w:kern w:val="22"/>
          <w:lang w:val="ru-RU"/>
        </w:rPr>
        <w:t xml:space="preserve">, но не все они отражены в пересмотренных НСПДСБ. Информация о них приводится по адресу: </w:t>
      </w:r>
      <w:hyperlink r:id="rId16" w:history="1">
        <w:r w:rsidRPr="00CC4D15">
          <w:rPr>
            <w:rStyle w:val="Hyperlink"/>
            <w:snapToGrid w:val="0"/>
            <w:kern w:val="22"/>
            <w:lang w:val="ru-RU"/>
          </w:rPr>
          <w:t>https://www.cbd.int/nbsap/related-info/sbsap/default.shtml</w:t>
        </w:r>
      </w:hyperlink>
      <w:r w:rsidRPr="00CC4D15">
        <w:rPr>
          <w:snapToGrid w:val="0"/>
          <w:kern w:val="22"/>
          <w:lang w:val="ru-RU"/>
        </w:rPr>
        <w:t>. 11 других Сторон</w:t>
      </w:r>
      <w:r w:rsidRPr="00CC4D15">
        <w:rPr>
          <w:rStyle w:val="FootnoteReference"/>
          <w:snapToGrid w:val="0"/>
          <w:kern w:val="22"/>
          <w:sz w:val="22"/>
          <w:szCs w:val="22"/>
          <w:u w:val="none"/>
          <w:vertAlign w:val="superscript"/>
          <w:lang w:val="ru-RU"/>
        </w:rPr>
        <w:footnoteReference w:id="61"/>
      </w:r>
      <w:r w:rsidRPr="00CC4D15">
        <w:rPr>
          <w:snapToGrid w:val="0"/>
          <w:kern w:val="22"/>
          <w:lang w:val="ru-RU"/>
        </w:rPr>
        <w:t xml:space="preserve"> упоминают о своем намерении подготовить субнациональные стратегии и планы действий по сохранению биоразнообразия:</w:t>
      </w:r>
    </w:p>
    <w:p w14:paraId="33E78137" w14:textId="77777777" w:rsidR="00E94960" w:rsidRPr="00CC4D15" w:rsidRDefault="00E94960" w:rsidP="00232464">
      <w:pPr>
        <w:pStyle w:val="Para1"/>
        <w:numPr>
          <w:ilvl w:val="1"/>
          <w:numId w:val="13"/>
        </w:numPr>
        <w:suppressLineNumbers/>
        <w:tabs>
          <w:tab w:val="left" w:pos="1440"/>
        </w:tab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Ирландия подготовила окончательные варианты или проекты 26 местных планов действий в области биоразнообразия. Некоторые из них будут пересмотрены, и будут подготовлены дополнительные местные планы;</w:t>
      </w:r>
    </w:p>
    <w:p w14:paraId="33E78138" w14:textId="77777777" w:rsidR="00E94960" w:rsidRPr="00CC4D15" w:rsidRDefault="00E94960" w:rsidP="00232464">
      <w:pPr>
        <w:pStyle w:val="Para1"/>
        <w:numPr>
          <w:ilvl w:val="1"/>
          <w:numId w:val="13"/>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Мексика содействовала децентрализации планирования и управления в области биоразнообразия путем разработки и осуществления 12 стратегий штатов по сохранению и устойчивому использованию биоразнообразия. В настоящее время разрабатываются дополнительные стратегии штатов;</w:t>
      </w:r>
    </w:p>
    <w:p w14:paraId="33E78139" w14:textId="77777777" w:rsidR="00E94960" w:rsidRPr="00CC4D15" w:rsidRDefault="00E94960" w:rsidP="00232464">
      <w:pPr>
        <w:pStyle w:val="Para1"/>
        <w:numPr>
          <w:ilvl w:val="1"/>
          <w:numId w:val="13"/>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Малави горсовет Лилонгве разрабатывает местную стратегию и план действий по сохранению биоразнообразия (МСПДСБ), в которых выделены особые виды и места обитания, подлежащие охране в городе, и описано, как биоразнообразие и развитие могут гармонировать с мероприятиями по развитию города. В Малави существует также национальная целевая задача по разработке МСПДСБ.</w:t>
      </w:r>
    </w:p>
    <w:p w14:paraId="33E7813A"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t>Некоторые национальные и/или субнациональные органы власти разработали руководящие указания для субнациональных органов власти по подготовке и/или осуществлению планов по сохранению биоразнообразия.</w:t>
      </w:r>
    </w:p>
    <w:p w14:paraId="33E7813B" w14:textId="77777777" w:rsidR="00E94960" w:rsidRPr="00CC4D15" w:rsidRDefault="00E9496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lang w:val="ru-RU"/>
        </w:rPr>
      </w:pPr>
      <w:r w:rsidRPr="00CC4D15">
        <w:rPr>
          <w:snapToGrid w:val="0"/>
          <w:kern w:val="22"/>
          <w:lang w:val="ru-RU"/>
        </w:rPr>
        <w:lastRenderedPageBreak/>
        <w:t>В общей сложности в 26 других</w:t>
      </w:r>
      <w:r w:rsidRPr="00CC4D15">
        <w:rPr>
          <w:kern w:val="22"/>
          <w:lang w:val="ru-RU" w:eastAsia="ru-RU"/>
        </w:rPr>
        <w:t xml:space="preserve"> </w:t>
      </w:r>
      <w:r w:rsidRPr="00CC4D15">
        <w:rPr>
          <w:snapToGrid w:val="0"/>
          <w:kern w:val="22"/>
          <w:lang w:val="ru-RU"/>
        </w:rPr>
        <w:t>НСПДСБ</w:t>
      </w:r>
      <w:r w:rsidRPr="00CC4D15">
        <w:rPr>
          <w:snapToGrid w:val="0"/>
          <w:kern w:val="22"/>
          <w:vertAlign w:val="superscript"/>
          <w:lang w:val="ru-RU"/>
        </w:rPr>
        <w:footnoteReference w:id="62"/>
      </w:r>
      <w:r w:rsidRPr="00CC4D15">
        <w:rPr>
          <w:snapToGrid w:val="0"/>
          <w:kern w:val="22"/>
          <w:lang w:val="ru-RU"/>
        </w:rPr>
        <w:t xml:space="preserve"> содержатся элементы, меры или целевые задачи по включению тематики биоразнообразия в субнациональные планы:</w:t>
      </w:r>
    </w:p>
    <w:p w14:paraId="33E7813C" w14:textId="77777777" w:rsidR="00E94960" w:rsidRPr="00CC4D15" w:rsidRDefault="00E94960"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Австралии и Бельгии меры, намеченные в НСПДСБ, следует рассматривать и учитывать совместно с региональными, штатными и территориальными планами/документами;</w:t>
      </w:r>
    </w:p>
    <w:p w14:paraId="33E7813D" w14:textId="77777777" w:rsidR="00E94960" w:rsidRPr="00CC4D15" w:rsidRDefault="00E94960"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Бурунди – мера 2 целевой задачи 18: «Разработка экорегиональных (местных) планов по осуществлению национальной стратегии и плана действий по сохранению биоразнообразия». Указанная мера также предполагает, что эти местные планы осуществления будут включены в планы развития общин;</w:t>
      </w:r>
    </w:p>
    <w:p w14:paraId="33E7813E" w14:textId="77777777" w:rsidR="00E94960" w:rsidRPr="00CC4D15" w:rsidRDefault="00E94960" w:rsidP="00232464">
      <w:pPr>
        <w:pStyle w:val="Para1"/>
        <w:numPr>
          <w:ilvl w:val="1"/>
          <w:numId w:val="14"/>
        </w:numPr>
        <w:suppressLineNumbers/>
        <w:suppressAutoHyphens/>
        <w:kinsoku w:val="0"/>
        <w:overflowPunct w:val="0"/>
        <w:autoSpaceDE w:val="0"/>
        <w:autoSpaceDN w:val="0"/>
        <w:adjustRightInd w:val="0"/>
        <w:snapToGrid w:val="0"/>
        <w:ind w:left="0" w:firstLine="720"/>
        <w:rPr>
          <w:spacing w:val="-4"/>
          <w:kern w:val="22"/>
          <w:sz w:val="22"/>
          <w:szCs w:val="22"/>
          <w:lang w:val="ru-RU"/>
        </w:rPr>
      </w:pPr>
      <w:r w:rsidRPr="00CC4D15">
        <w:rPr>
          <w:kern w:val="22"/>
          <w:sz w:val="22"/>
          <w:szCs w:val="22"/>
          <w:lang w:val="ru-RU"/>
        </w:rPr>
        <w:t>Камерун – целевая задача 18: «К 2020 году основные сектора производства и децентрализованные местные органы власти должны разработать целевые задачи по сохранению и устойчивому использованию биоразнообразия, учитывающие специфику секторов или регионов и связанные с национальными целевыми задачами»</w:t>
      </w:r>
      <w:r w:rsidRPr="00CC4D15">
        <w:rPr>
          <w:spacing w:val="-4"/>
          <w:kern w:val="22"/>
          <w:sz w:val="22"/>
          <w:szCs w:val="22"/>
          <w:lang w:val="ru-RU"/>
        </w:rPr>
        <w:t>;</w:t>
      </w:r>
    </w:p>
    <w:p w14:paraId="33E7813F" w14:textId="77777777" w:rsidR="00E94960" w:rsidRPr="00CC4D15" w:rsidRDefault="00E94960"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Республика Корея разработала руководящие указания по планированию местных стратегий по сохранению биоразнообразия и создает правовую основу для мегаполисов/провинций в целях разработки стратегий по сохранению биоразнообразия, предусмотренных Законом о сохранении и использовании биоразнообразия;</w:t>
      </w:r>
    </w:p>
    <w:p w14:paraId="33E78140" w14:textId="77777777" w:rsidR="00E94960" w:rsidRPr="00CC4D15" w:rsidRDefault="00E94960" w:rsidP="009742E9">
      <w:pPr>
        <w:pStyle w:val="Para1"/>
        <w:numPr>
          <w:ilvl w:val="1"/>
          <w:numId w:val="14"/>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в Федеративных Штатах Микронезии каждый штат имеет собственный план стратегического развития, включающий вопросы биоразнообразия;</w:t>
      </w:r>
    </w:p>
    <w:p w14:paraId="33E78141" w14:textId="77777777" w:rsidR="00E94960" w:rsidRPr="00CC4D15" w:rsidRDefault="00E94960" w:rsidP="009742E9">
      <w:pPr>
        <w:pStyle w:val="Para1"/>
        <w:numPr>
          <w:ilvl w:val="1"/>
          <w:numId w:val="14"/>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Северная Македония собирается принять меры по постепенному включению ценностей биоразнообразия в местные планы развития;</w:t>
      </w:r>
    </w:p>
    <w:p w14:paraId="33E78142" w14:textId="77777777" w:rsidR="00E94960" w:rsidRPr="00CC4D15" w:rsidRDefault="00E94960" w:rsidP="009742E9">
      <w:pPr>
        <w:pStyle w:val="Para1"/>
        <w:numPr>
          <w:ilvl w:val="1"/>
          <w:numId w:val="14"/>
        </w:numPr>
        <w:suppressLineNumbers/>
        <w:suppressAutoHyphens/>
        <w:kinsoku w:val="0"/>
        <w:overflowPunct w:val="0"/>
        <w:autoSpaceDE w:val="0"/>
        <w:autoSpaceDN w:val="0"/>
        <w:adjustRightInd w:val="0"/>
        <w:snapToGrid w:val="0"/>
        <w:ind w:left="0" w:firstLine="720"/>
        <w:rPr>
          <w:kern w:val="22"/>
          <w:sz w:val="22"/>
          <w:szCs w:val="22"/>
          <w:lang w:val="ru-RU"/>
        </w:rPr>
      </w:pPr>
      <w:r w:rsidRPr="00CC4D15">
        <w:rPr>
          <w:kern w:val="22"/>
          <w:sz w:val="22"/>
          <w:szCs w:val="22"/>
          <w:lang w:val="ru-RU"/>
        </w:rPr>
        <w:t>Южный Судан намеревается обеспечить учет ценностей биоразнообразия в государственных и окружных планах развития.</w:t>
      </w:r>
    </w:p>
    <w:p w14:paraId="33E78143" w14:textId="77777777" w:rsidR="00E94960" w:rsidRPr="00CC4D15" w:rsidRDefault="00E94960" w:rsidP="00AE5E76">
      <w:pPr>
        <w:pStyle w:val="Para1"/>
        <w:keepNext/>
        <w:numPr>
          <w:ilvl w:val="0"/>
          <w:numId w:val="0"/>
        </w:numPr>
        <w:suppressLineNumbers/>
        <w:suppressAutoHyphens/>
        <w:kinsoku w:val="0"/>
        <w:overflowPunct w:val="0"/>
        <w:autoSpaceDE w:val="0"/>
        <w:autoSpaceDN w:val="0"/>
        <w:adjustRightInd w:val="0"/>
        <w:snapToGrid w:val="0"/>
        <w:ind w:left="720" w:hanging="720"/>
        <w:jc w:val="center"/>
        <w:rPr>
          <w:i/>
          <w:iCs/>
          <w:kern w:val="22"/>
          <w:sz w:val="22"/>
          <w:szCs w:val="22"/>
          <w:lang w:val="ru-RU"/>
        </w:rPr>
      </w:pPr>
      <w:r w:rsidRPr="00CC4D15">
        <w:rPr>
          <w:kern w:val="22"/>
          <w:sz w:val="22"/>
          <w:szCs w:val="22"/>
          <w:lang w:val="ru-RU"/>
        </w:rPr>
        <w:t xml:space="preserve">6. </w:t>
      </w:r>
      <w:r w:rsidRPr="00CC4D15">
        <w:rPr>
          <w:i/>
          <w:iCs/>
          <w:kern w:val="22"/>
          <w:sz w:val="22"/>
          <w:szCs w:val="22"/>
          <w:lang w:val="ru-RU"/>
        </w:rPr>
        <w:t>Гендерные вопросы</w:t>
      </w:r>
    </w:p>
    <w:p w14:paraId="33E78144" w14:textId="77777777" w:rsidR="00E94960" w:rsidRPr="00CC4D15" w:rsidRDefault="00E94960" w:rsidP="0007615F">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ru-RU"/>
        </w:rPr>
      </w:pPr>
      <w:r w:rsidRPr="00CC4D15">
        <w:rPr>
          <w:snapToGrid w:val="0"/>
          <w:kern w:val="22"/>
          <w:lang w:val="ru-RU"/>
        </w:rPr>
        <w:t>В общей сложности 82 Стороны</w:t>
      </w:r>
      <w:r w:rsidRPr="00CC4D15">
        <w:rPr>
          <w:snapToGrid w:val="0"/>
          <w:kern w:val="22"/>
          <w:vertAlign w:val="superscript"/>
          <w:lang w:val="ru-RU"/>
        </w:rPr>
        <w:footnoteReference w:id="63"/>
      </w:r>
      <w:r w:rsidRPr="00CC4D15">
        <w:rPr>
          <w:snapToGrid w:val="0"/>
          <w:kern w:val="22"/>
          <w:vertAlign w:val="superscript"/>
          <w:lang w:val="ru-RU"/>
        </w:rPr>
        <w:t xml:space="preserve"> </w:t>
      </w:r>
      <w:r w:rsidRPr="00CC4D15">
        <w:rPr>
          <w:snapToGrid w:val="0"/>
          <w:kern w:val="22"/>
          <w:lang w:val="ru-RU"/>
        </w:rPr>
        <w:t>ссылаются на вопросы гендера или женщин в их НСПДСБ. Обзор реализации</w:t>
      </w:r>
      <w:r w:rsidRPr="00CC4D15">
        <w:rPr>
          <w:lang w:val="ru-RU"/>
        </w:rPr>
        <w:t xml:space="preserve"> </w:t>
      </w:r>
      <w:r w:rsidRPr="00CC4D15">
        <w:rPr>
          <w:snapToGrid w:val="0"/>
          <w:kern w:val="22"/>
          <w:lang w:val="ru-RU"/>
        </w:rPr>
        <w:t xml:space="preserve">Плана действий по обеспечению гендерного равенства на </w:t>
      </w:r>
      <w:r w:rsidRPr="00CC4D15">
        <w:rPr>
          <w:lang w:val="ru-RU"/>
        </w:rPr>
        <w:t>2015-2020 гг., основное внимание в котором уделено информации, содержащейся в шестых национальных докладах и двух глобальных обзорах, проведенных секретариатом, содержится в документе CBD/SBI/3/2/Add.3.</w:t>
      </w:r>
    </w:p>
    <w:p w14:paraId="33E78145" w14:textId="77777777" w:rsidR="00E94960" w:rsidRPr="00CC4D15" w:rsidRDefault="00E94960" w:rsidP="007C4914">
      <w:pPr>
        <w:pStyle w:val="Para1"/>
        <w:numPr>
          <w:ilvl w:val="0"/>
          <w:numId w:val="0"/>
        </w:numPr>
        <w:suppressLineNumbers/>
        <w:suppressAutoHyphens/>
        <w:kinsoku w:val="0"/>
        <w:overflowPunct w:val="0"/>
        <w:autoSpaceDE w:val="0"/>
        <w:autoSpaceDN w:val="0"/>
        <w:adjustRightInd w:val="0"/>
        <w:snapToGrid w:val="0"/>
        <w:jc w:val="center"/>
        <w:rPr>
          <w:kern w:val="22"/>
          <w:sz w:val="22"/>
          <w:szCs w:val="22"/>
          <w:lang w:val="ru-RU"/>
        </w:rPr>
      </w:pPr>
      <w:r w:rsidRPr="00CC4D15">
        <w:rPr>
          <w:kern w:val="22"/>
          <w:sz w:val="22"/>
          <w:szCs w:val="22"/>
          <w:lang w:val="ru-RU"/>
        </w:rPr>
        <w:t>__________</w:t>
      </w:r>
    </w:p>
    <w:sectPr w:rsidR="00E94960" w:rsidRPr="00CC4D15" w:rsidSect="00CA1572">
      <w:headerReference w:type="even" r:id="rId17"/>
      <w:headerReference w:type="default" r:id="rId18"/>
      <w:footerReference w:type="even" r:id="rId19"/>
      <w:footerReference w:type="default" r:id="rId20"/>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7814D" w14:textId="77777777" w:rsidR="00E94960" w:rsidRDefault="00E94960">
      <w:r>
        <w:separator/>
      </w:r>
    </w:p>
  </w:endnote>
  <w:endnote w:type="continuationSeparator" w:id="0">
    <w:p w14:paraId="33E7814E" w14:textId="77777777" w:rsidR="00E94960" w:rsidRDefault="00E94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notTrueType/>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8153" w14:textId="77777777" w:rsidR="00E94960" w:rsidRDefault="00E94960"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8154" w14:textId="77777777" w:rsidR="00E94960" w:rsidRDefault="00E94960"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7814B" w14:textId="77777777" w:rsidR="00E94960" w:rsidRDefault="00E94960">
      <w:r>
        <w:separator/>
      </w:r>
    </w:p>
  </w:footnote>
  <w:footnote w:type="continuationSeparator" w:id="0">
    <w:p w14:paraId="33E7814C" w14:textId="77777777" w:rsidR="00E94960" w:rsidRDefault="00E94960">
      <w:r>
        <w:continuationSeparator/>
      </w:r>
    </w:p>
  </w:footnote>
  <w:footnote w:id="1">
    <w:p w14:paraId="33E78155" w14:textId="77777777" w:rsidR="00E94960" w:rsidRDefault="00E94960" w:rsidP="00251D57">
      <w:pPr>
        <w:pStyle w:val="FootnoteText"/>
        <w:ind w:firstLine="0"/>
      </w:pPr>
      <w:r w:rsidRPr="00CC4D15">
        <w:rPr>
          <w:rStyle w:val="FootnoteReference"/>
          <w:u w:val="none"/>
          <w:vertAlign w:val="superscript"/>
          <w:lang w:val="ru-RU"/>
        </w:rPr>
        <w:footnoteRef/>
      </w:r>
      <w:r w:rsidRPr="00CC4D15">
        <w:rPr>
          <w:sz w:val="18"/>
          <w:szCs w:val="18"/>
          <w:lang w:val="ru-RU"/>
        </w:rPr>
        <w:t xml:space="preserve"> Информация, представленная в пункте 6, является точной по состоянию на дату издания документа </w:t>
      </w:r>
      <w:r w:rsidRPr="00CC4D15">
        <w:rPr>
          <w:snapToGrid w:val="0"/>
          <w:kern w:val="22"/>
          <w:sz w:val="18"/>
          <w:szCs w:val="18"/>
          <w:lang w:val="ru-RU"/>
        </w:rPr>
        <w:t>CBD/SBI/3/2/Add.1 (25 марта 2020 года).</w:t>
      </w:r>
    </w:p>
  </w:footnote>
  <w:footnote w:id="2">
    <w:p w14:paraId="33E78156"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vertAlign w:val="superscript"/>
          <w:lang w:val="ru-RU"/>
        </w:rPr>
        <w:t xml:space="preserve"> </w:t>
      </w:r>
      <w:bookmarkStart w:id="2" w:name="_Hlk35354400"/>
      <w:r w:rsidRPr="00CC4D15">
        <w:rPr>
          <w:snapToGrid w:val="0"/>
          <w:kern w:val="18"/>
          <w:sz w:val="18"/>
          <w:szCs w:val="18"/>
          <w:lang w:val="ru-RU"/>
        </w:rPr>
        <w:t>Австралия, Австрия, Азербайджан, Албания, Алжир, Ангола, Андорра, Антигуа и Барбуда, Аргентина, Армения, Афганистан, Бангладеш, Барбадос, Бахрейн, Беларусь, Белиз, Бельгия, Бенин, Боливия (Многонациональное Государство), Босния и Герцеговина, Ботсвана, Бразилия, Бруней-Даруссалам, Буркина-Фасо, Бурунди, Бутан, Вануату, Венгрия, Венесуэла (Боливарианская Республика), Вьетнам, Гаити, Гайана, Гамбия, Гана, Гватемала, Гвинея, Гвинея-Бисау, Германия, Гондурас, Гренада, Греция, Грузия, Дания, Демократическая Республика Конго, Джибути, Доминика, Доминиканская Республика, Европейский союз, Египет, Замбия, Зимбабве, Индия, Индонезия, Иордания, Ирак, Иран (Исламская Республика), Ирландия, Испания, Италия, Йемен, Кабо-Верде, Камбоджа, Камерун, Канада, Катар, Кирибати, Китай, Колумбия, Коморские Острова, Конго, Корейская Народно-Демократическая Республика, Коста-Рика, Кот-д'Ивуар, Куба, Кувейт, Кыргызстан, Лаосская Народно-Демократическая Республика, Латвия, Либерия, Ливан, Литва, Лихтенштейн, Люксембург, Маврикий, Мавритания, Мадагаскар, Малави, Малайзия, Мали, Мальдивские Острова, Мальта, Марокко, Мексика, Микронезия (Федеративные Штаты), Мозамбик, Монако, Монголия, Мьянма, Намибия, Науру, Непал, Нигер, Нигерия, Нидерланды, Никарагуа, Ниуэ, Новая Зеландия, Норвегия, Объединенная Республика Танзания, Объединенные Арабские Эмираты, Пакистан, Палау, Панама, Папуа – Новая Гвинея, Парагвай, Перу, Польша, Португалия, Республика Корея, Республика Молдова, Российская Федерация, Руанда, Румыния, Сальвадор, Сан-Марино, Сан-Томе и Принсипи, Северная Македония, Сейшельские Острова, Сенегал, Сент-Винсент и Гренадины, Сент-Китс и Невис, Сент-Люсия, Сербия, Сингапур, Словакия, Словения, Соединённое Королевство, Соломоновы Острова, Судан, Суринам, Сьерра-Леоне, Таджикистан, Тимор-Лешти, Того, Тонга, Тринидад и Тобаго, Тувалу, Тунис, Туркменистан, Турция, Уганда, Украина, Уругвай, Фиджи, Филиппины, Финляндия, Франция, Хорватия, Чад, Черногория, Чехия, Чили, Швейцария, Швеция, Шри-Ланка, Эквадор, Экваториальная Гвинея, Эритрея, Эсватини, Эстония, Эфиопия, Южная Африка, Южный Судан, Ямайка, Япония.</w:t>
      </w:r>
      <w:bookmarkEnd w:id="2"/>
    </w:p>
  </w:footnote>
  <w:footnote w:id="3">
    <w:p w14:paraId="33E78157" w14:textId="77777777" w:rsidR="00E94960" w:rsidRDefault="00E94960" w:rsidP="008F5803">
      <w:pPr>
        <w:pStyle w:val="FootnoteText"/>
        <w:ind w:firstLine="0"/>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Одна из этих Сторон завершила процесс пересмотра до 10-го совещания Конференции Сторон, хотя и с учетом проекта Стратегического плана в области сохранения и устойчивого использования биоразнообразия на 2011-2020 годы. Кроме того, 2 Стороны представили</w:t>
      </w:r>
      <w:r w:rsidRPr="00CC4D15">
        <w:rPr>
          <w:sz w:val="18"/>
          <w:szCs w:val="18"/>
          <w:lang w:val="ru-RU" w:eastAsia="ru-RU"/>
        </w:rPr>
        <w:t xml:space="preserve"> </w:t>
      </w:r>
      <w:r w:rsidRPr="00CC4D15">
        <w:rPr>
          <w:snapToGrid w:val="0"/>
          <w:kern w:val="18"/>
          <w:sz w:val="18"/>
          <w:szCs w:val="18"/>
          <w:lang w:val="ru-RU"/>
        </w:rPr>
        <w:t xml:space="preserve">свои первые и пересмотренные НСПДСБ, 5 Сторон представили два пересмотренных варианта, </w:t>
      </w:r>
      <w:r w:rsidRPr="00CC4D15">
        <w:rPr>
          <w:snapToGrid w:val="0"/>
          <w:kern w:val="22"/>
          <w:sz w:val="18"/>
          <w:szCs w:val="18"/>
          <w:lang w:val="ru-RU"/>
        </w:rPr>
        <w:t>1 Сторона представила</w:t>
      </w:r>
      <w:r w:rsidRPr="00CC4D15">
        <w:rPr>
          <w:snapToGrid w:val="0"/>
          <w:kern w:val="18"/>
          <w:sz w:val="18"/>
          <w:szCs w:val="18"/>
          <w:lang w:val="ru-RU"/>
        </w:rPr>
        <w:t xml:space="preserve"> пересмотренный вариант НСПДСБ, содержащий меры по выполнению Айтинских целевых задач в области биоразнообразия, включенные в несколько планов деятельности, </w:t>
      </w:r>
      <w:r w:rsidRPr="00CC4D15">
        <w:rPr>
          <w:snapToGrid w:val="0"/>
          <w:kern w:val="22"/>
          <w:sz w:val="18"/>
          <w:szCs w:val="18"/>
          <w:lang w:val="ru-RU"/>
        </w:rPr>
        <w:t xml:space="preserve">1 Сторона представила </w:t>
      </w:r>
      <w:r w:rsidRPr="00CC4D15">
        <w:rPr>
          <w:snapToGrid w:val="0"/>
          <w:kern w:val="18"/>
          <w:sz w:val="18"/>
          <w:szCs w:val="18"/>
          <w:lang w:val="ru-RU"/>
        </w:rPr>
        <w:t xml:space="preserve">пересмотренный вариант НСПДСБ, содержащий ее цели и задачи в области биоразнообразия </w:t>
      </w:r>
      <w:r w:rsidRPr="00CC4D15">
        <w:rPr>
          <w:snapToGrid w:val="0"/>
          <w:kern w:val="22"/>
          <w:sz w:val="18"/>
          <w:szCs w:val="18"/>
          <w:lang w:val="ru-RU"/>
        </w:rPr>
        <w:t>на 2020 год, увязанные с</w:t>
      </w:r>
      <w:r w:rsidRPr="00CC4D15">
        <w:rPr>
          <w:snapToGrid w:val="0"/>
          <w:kern w:val="18"/>
          <w:sz w:val="18"/>
          <w:szCs w:val="18"/>
          <w:lang w:val="ru-RU"/>
        </w:rPr>
        <w:t xml:space="preserve"> Айтинскими целевыми задачами</w:t>
      </w:r>
      <w:r w:rsidRPr="00CC4D15">
        <w:rPr>
          <w:snapToGrid w:val="0"/>
          <w:kern w:val="22"/>
          <w:sz w:val="18"/>
          <w:szCs w:val="18"/>
          <w:lang w:val="ru-RU"/>
        </w:rPr>
        <w:t xml:space="preserve"> </w:t>
      </w:r>
      <w:r w:rsidRPr="00CC4D15">
        <w:rPr>
          <w:snapToGrid w:val="0"/>
          <w:kern w:val="18"/>
          <w:sz w:val="18"/>
          <w:szCs w:val="18"/>
          <w:lang w:val="ru-RU"/>
        </w:rPr>
        <w:t xml:space="preserve">в области биоразнообразия, и рамочную программу в области биоразнообразия, подготовленную до 10-го совещания Конференции Сторон, </w:t>
      </w:r>
      <w:r w:rsidRPr="00CC4D15">
        <w:rPr>
          <w:snapToGrid w:val="0"/>
          <w:kern w:val="22"/>
          <w:sz w:val="18"/>
          <w:szCs w:val="18"/>
          <w:lang w:val="ru-RU"/>
        </w:rPr>
        <w:t xml:space="preserve">и 1 </w:t>
      </w:r>
      <w:r w:rsidRPr="00CC4D15">
        <w:rPr>
          <w:snapToGrid w:val="0"/>
          <w:kern w:val="18"/>
          <w:sz w:val="18"/>
          <w:szCs w:val="18"/>
          <w:lang w:val="ru-RU"/>
        </w:rPr>
        <w:t xml:space="preserve">Сторона представила пересмотренный вариант НСПДСБ, подготовленный до 10-го совещания Конференции Сторон. </w:t>
      </w:r>
    </w:p>
  </w:footnote>
  <w:footnote w:id="4">
    <w:p w14:paraId="33E78158" w14:textId="77777777" w:rsidR="00E94960" w:rsidRPr="00CC4D15" w:rsidRDefault="00E94960" w:rsidP="007E6E18">
      <w:pPr>
        <w:pStyle w:val="FootnoteText"/>
        <w:ind w:firstLine="0"/>
        <w:rPr>
          <w:snapToGrid w:val="0"/>
          <w:kern w:val="22"/>
          <w:sz w:val="18"/>
          <w:szCs w:val="18"/>
          <w:lang w:val="ru-RU"/>
        </w:rPr>
      </w:pPr>
      <w:r w:rsidRPr="00CC4D15">
        <w:rPr>
          <w:rStyle w:val="FootnoteReference"/>
          <w:snapToGrid w:val="0"/>
          <w:kern w:val="18"/>
          <w:u w:val="none"/>
          <w:vertAlign w:val="superscript"/>
          <w:lang w:val="ru-RU"/>
        </w:rPr>
        <w:footnoteRef/>
      </w:r>
      <w:r w:rsidRPr="00CC4D15">
        <w:rPr>
          <w:snapToGrid w:val="0"/>
          <w:kern w:val="18"/>
          <w:sz w:val="18"/>
          <w:szCs w:val="18"/>
          <w:vertAlign w:val="superscript"/>
          <w:lang w:val="ru-RU"/>
        </w:rPr>
        <w:t xml:space="preserve"> </w:t>
      </w:r>
      <w:r w:rsidRPr="00CC4D15">
        <w:rPr>
          <w:snapToGrid w:val="0"/>
          <w:kern w:val="18"/>
          <w:sz w:val="18"/>
          <w:szCs w:val="18"/>
          <w:lang w:val="ru-RU"/>
        </w:rPr>
        <w:t xml:space="preserve">Что касается остальных 23 Сторон, 18 Сторон представили свои первые НСПДСБ, </w:t>
      </w:r>
      <w:r w:rsidRPr="00CC4D15">
        <w:rPr>
          <w:snapToGrid w:val="0"/>
          <w:kern w:val="22"/>
          <w:sz w:val="18"/>
          <w:szCs w:val="18"/>
          <w:lang w:val="ru-RU"/>
        </w:rPr>
        <w:t>1 Сторона представила план действий на период до 2020 года по активизации осуществления своей стратегии, принятой до 10-го совещания Конференции Сторон, 1 Сторона представила план действий на период до 2028 года в качестве добавления к своим</w:t>
      </w:r>
      <w:r w:rsidRPr="00CC4D15">
        <w:rPr>
          <w:snapToGrid w:val="0"/>
          <w:kern w:val="18"/>
          <w:sz w:val="18"/>
          <w:szCs w:val="18"/>
          <w:lang w:val="ru-RU"/>
        </w:rPr>
        <w:t xml:space="preserve"> НСПДСБ, подготовленным до 10-го совещания Конференции Сторон, который </w:t>
      </w:r>
      <w:r w:rsidRPr="00CC4D15">
        <w:rPr>
          <w:snapToGrid w:val="0"/>
          <w:kern w:val="22"/>
          <w:sz w:val="18"/>
          <w:szCs w:val="18"/>
          <w:lang w:val="ru-RU"/>
        </w:rPr>
        <w:t xml:space="preserve">остается актуальным, 2 Стороны представили добавления к своим </w:t>
      </w:r>
      <w:r w:rsidRPr="00CC4D15">
        <w:rPr>
          <w:snapToGrid w:val="0"/>
          <w:kern w:val="18"/>
          <w:sz w:val="18"/>
          <w:szCs w:val="18"/>
          <w:lang w:val="ru-RU"/>
        </w:rPr>
        <w:t>НСПДСБ, подготовленным до 10-го совещания Конференции Сторон, содержащие</w:t>
      </w:r>
      <w:r w:rsidRPr="00CC4D15">
        <w:rPr>
          <w:snapToGrid w:val="0"/>
          <w:kern w:val="22"/>
          <w:sz w:val="18"/>
          <w:szCs w:val="18"/>
          <w:lang w:val="ru-RU"/>
        </w:rPr>
        <w:t xml:space="preserve"> национальные целевые задачи и меры для выполнения </w:t>
      </w:r>
      <w:r w:rsidRPr="00CC4D15">
        <w:rPr>
          <w:snapToGrid w:val="0"/>
          <w:kern w:val="18"/>
          <w:sz w:val="18"/>
          <w:szCs w:val="18"/>
          <w:lang w:val="ru-RU"/>
        </w:rPr>
        <w:t>Айтинских целевых задач</w:t>
      </w:r>
      <w:r w:rsidRPr="00CC4D15">
        <w:rPr>
          <w:snapToGrid w:val="0"/>
          <w:kern w:val="22"/>
          <w:sz w:val="18"/>
          <w:szCs w:val="18"/>
          <w:lang w:val="ru-RU"/>
        </w:rPr>
        <w:t xml:space="preserve"> </w:t>
      </w:r>
      <w:r w:rsidRPr="00CC4D15">
        <w:rPr>
          <w:snapToGrid w:val="0"/>
          <w:kern w:val="18"/>
          <w:sz w:val="18"/>
          <w:szCs w:val="18"/>
          <w:lang w:val="ru-RU"/>
        </w:rPr>
        <w:t>в области биоразнообразия</w:t>
      </w:r>
      <w:r w:rsidRPr="00CC4D15">
        <w:rPr>
          <w:snapToGrid w:val="0"/>
          <w:kern w:val="22"/>
          <w:sz w:val="18"/>
          <w:szCs w:val="18"/>
          <w:lang w:val="ru-RU"/>
        </w:rPr>
        <w:t xml:space="preserve">, и 1 Сторона представила </w:t>
      </w:r>
      <w:r w:rsidRPr="00CC4D15">
        <w:rPr>
          <w:snapToGrid w:val="0"/>
          <w:kern w:val="18"/>
          <w:sz w:val="18"/>
          <w:szCs w:val="18"/>
          <w:lang w:val="ru-RU"/>
        </w:rPr>
        <w:t>свои первые НСПДСБ, разработанные до 10-го совещания Конференции Сторон</w:t>
      </w:r>
      <w:r w:rsidRPr="00CC4D15">
        <w:rPr>
          <w:snapToGrid w:val="0"/>
          <w:kern w:val="22"/>
          <w:sz w:val="18"/>
          <w:szCs w:val="18"/>
          <w:lang w:val="ru-RU"/>
        </w:rPr>
        <w:t>.</w:t>
      </w:r>
    </w:p>
    <w:p w14:paraId="33E78159" w14:textId="77777777" w:rsidR="00E94960" w:rsidRDefault="00E94960" w:rsidP="007E6E18">
      <w:pPr>
        <w:pStyle w:val="FootnoteText"/>
        <w:ind w:firstLine="0"/>
      </w:pPr>
    </w:p>
  </w:footnote>
  <w:footnote w:id="5">
    <w:p w14:paraId="33E7815A"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rStyle w:val="FootnoteReference"/>
          <w:snapToGrid w:val="0"/>
          <w:kern w:val="18"/>
          <w:u w:val="none"/>
          <w:lang w:val="ru-RU"/>
        </w:rPr>
        <w:t xml:space="preserve"> </w:t>
      </w:r>
      <w:r w:rsidRPr="00CC4D15">
        <w:rPr>
          <w:snapToGrid w:val="0"/>
          <w:kern w:val="18"/>
          <w:sz w:val="18"/>
          <w:szCs w:val="18"/>
          <w:lang w:val="ru-RU"/>
        </w:rPr>
        <w:t xml:space="preserve">Полный набор данных см. по адресу </w:t>
      </w:r>
      <w:hyperlink r:id="rId1" w:history="1">
        <w:r w:rsidRPr="00CC4D15">
          <w:rPr>
            <w:rStyle w:val="Hyperlink"/>
            <w:snapToGrid w:val="0"/>
            <w:kern w:val="18"/>
            <w:sz w:val="18"/>
            <w:szCs w:val="18"/>
            <w:lang w:val="ru-RU"/>
          </w:rPr>
          <w:t>https://www.cbd.int/nbsap/targets/default.shtml</w:t>
        </w:r>
      </w:hyperlink>
      <w:r w:rsidRPr="00CC4D15">
        <w:rPr>
          <w:snapToGrid w:val="0"/>
          <w:kern w:val="18"/>
          <w:sz w:val="18"/>
          <w:szCs w:val="18"/>
          <w:lang w:val="ru-RU"/>
        </w:rPr>
        <w:t>. Следует отметить, что среди Сторон наблюдаются значительные различия в определении и использовании термина «целевая задача». В базе данных все «достижимые» параметры в НСПДСБ включены как «целевые задачи», даже если в самом НСПДСБ используется другой термин, такой как «цель», «мера», «область работы» и т.д.</w:t>
      </w:r>
    </w:p>
  </w:footnote>
  <w:footnote w:id="6">
    <w:p w14:paraId="33E7815B"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rStyle w:val="FootnoteReference"/>
          <w:snapToGrid w:val="0"/>
          <w:kern w:val="18"/>
          <w:u w:val="none"/>
          <w:vertAlign w:val="superscript"/>
          <w:lang w:val="ru-RU"/>
        </w:rPr>
        <w:t xml:space="preserve"> </w:t>
      </w:r>
      <w:bookmarkStart w:id="5" w:name="_Hlk32231548"/>
      <w:r w:rsidRPr="00CC4D15">
        <w:rPr>
          <w:snapToGrid w:val="0"/>
          <w:kern w:val="18"/>
          <w:sz w:val="18"/>
          <w:szCs w:val="18"/>
          <w:lang w:val="ru-RU"/>
        </w:rPr>
        <w:t>Австралия, Албания, Алжир, Андорра, Антигуа и Барбуда, Афганистан, Барбадос, Бахрейн, Беларусь, Белиз, Бельгия, Ботсвана, Бразилия, Бутан, Вьетнам, Гайана, Гамбия, Гана, Гватемала, Гвинея, Гондурас, Гренада, Греция, Грузия, Дания, Египет, Зимбабве, Индия, Индонезия, Ирак, Ирландия, Йемен, Кабо-Верде, Камбоджа, Камерун, Канада, Катар, Кирибати, Китай, Коморские Острова, Кот-д'Ивуар, Куба, Лаосская Народно-Демократическая Республика, Либерия, Ливан, Маврикий, Малави, Марокко, Мексика, Микронезия (Федеративные Штаты), Монако, Монголия, Мьянма, Намибия, Нигер, Нигерия, Новая Зеландия, Норвегия, Оман, Объединенная Республика Танзания, Острова Кука, Пакистан, Панама, Папуа – Новая Гвинея, Перу, Португалия, Республика Корея, Российская Федерация, Руанда, Самоа, Сейшельские Острова, Сент-Винсент и Гренадины, Сент-Китс и Невис, Сент-Лусия, Сингапур, Словакия, Словения, Соединенное Королевство Великобритании и Северной Ирландии, , Соломоновы Острова, Судан, Сьерра-Леоне, Тимор-Лешти, Того, Тунис, Турция, Уганда, Украина, Уругвай, Фиджи, Франция, Хорватия, Чехия, Чили, Швейцария, Швеция, Шри-Ланка, Эквадор, Эсватини, Эфиопия, Южная Африка, Южный Судан, Ямайка, Япония.</w:t>
      </w:r>
      <w:bookmarkEnd w:id="5"/>
    </w:p>
  </w:footnote>
  <w:footnote w:id="7">
    <w:p w14:paraId="33E7815C"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Данный анализ основан на информации, содержащейся в НСПДСБ, и замечаниях, полученных после подготовки предыдущей версии (</w:t>
      </w:r>
      <w:r w:rsidRPr="00CC4D15">
        <w:rPr>
          <w:snapToGrid w:val="0"/>
          <w:kern w:val="22"/>
          <w:sz w:val="18"/>
          <w:szCs w:val="18"/>
          <w:lang w:val="ru-RU"/>
        </w:rPr>
        <w:t xml:space="preserve">CBD/SBI/3/2/Add.1) для 3-го совещания Вспомогательного органа по осуществлению. </w:t>
      </w:r>
      <w:r w:rsidRPr="00CC4D15">
        <w:rPr>
          <w:snapToGrid w:val="0"/>
          <w:kern w:val="18"/>
          <w:sz w:val="18"/>
          <w:szCs w:val="18"/>
          <w:lang w:val="ru-RU"/>
        </w:rPr>
        <w:t>Из 170 Сторон, перечисленных в сноске 2 выше, две Стороны (Латвия и Португалия) не представили версию на официальном языке Организации Объединенных Наций и поэтому не включены в анализ.</w:t>
      </w:r>
    </w:p>
  </w:footnote>
  <w:footnote w:id="8">
    <w:p w14:paraId="33E7815D"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w:t>
      </w:r>
      <w:bookmarkStart w:id="6" w:name="_Hlk31628938"/>
      <w:r w:rsidRPr="00CC4D15">
        <w:rPr>
          <w:snapToGrid w:val="0"/>
          <w:kern w:val="18"/>
          <w:sz w:val="18"/>
          <w:szCs w:val="18"/>
          <w:lang w:val="ru-RU"/>
        </w:rPr>
        <w:t>Австралия, Австрия, Албания, Алжир, Ангола, Андорра, Антигуа и Барбуда, Аргентина, Армения, Афганистан, Бангладеш, Барбадос, Бахрейн, Белиз, Бенин, Босния и Герцеговина, Ботсвана, Бразилия, Буркина-Фасо, Бурунди, Бутан, Вануату, Гаити, Гайана, Гамбия, Гана, Гватемала, Гвинея-Бисау, Германия, Гондурас, Гренада, Греция, Грузия, Демократическая Республика Конго, Джибути, Доминика, Доминиканская Республика, Европейский союз, Египет, Замбия, Зимбабве, Индонезия, Иордания, Ирак, Иран (Исламская Республика), Ирландия, Испания, Италия, Йемен, Кабо-Верде, Камбоджа, Камерун, Катар, Кирибати, Китай, Коморские Острова, Конго, Корейская Народно-Демократическая Республика, Коста-Рика, Кот-д'Ивуар, Куба, Кувейт, Лаосская Народно-Демократическая Республика, Либерия, Ливан, Литва, Лихтенштейн, Люксембург, Маврикий, Мадагаскар, Малави, Малайзия, Мали, Мальдивские Острова, Мальта, Марокко, Мексика, Микронезия (Федеративные Штаты), Мозамбик, Монголия, Мьянма, Намибия, Науру, Непал, Нигер, Нигерия, Никарагуа, Ниуэ, Норвегия, Объединенная Республика Танзания, Пакистан, Палау, Панама, Папуа – Новая Гвинея, Парагвай, Перу, Польша, Республика Корея, Республика Молдова, Российская Федерация, Руанда, Румыния, Самоа, Сан-Марино, Сан-Томе и Принсипи, Северная Македония, Сейшельские Острова, Сент-Винсент и Гренадины, Сент-Китс и Невис, Сент-Лусия, Сенегал, Сербия, Словения, Соломоновы Острова, Сомали, Судан, Суринам, Таджикистан, Таиланд, Тимор-Лешти, Того, Тринидад и Тобаго, Тувалу, Тунис, Туркменистан, Турция, Уганда, Украина, Уругвай, Фиджи, Филиппины, Финляндия, Хорватия, Чад, Черногория, Чили, Швейцария, Шри-Ланка, Эквадор, Экваториальная Гвинея, Эритрея, Эсватини, Эстония, Эфиопия, Южная Африка, Южный Судан, Ямайка, Япония.</w:t>
      </w:r>
      <w:bookmarkEnd w:id="6"/>
    </w:p>
    <w:bookmarkStart w:id="7" w:name="_Hlk32231711"/>
    <w:bookmarkEnd w:id="7"/>
  </w:footnote>
  <w:footnote w:id="9">
    <w:p w14:paraId="33E7815E"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8" w:name="_Hlk32231711"/>
      <w:bookmarkEnd w:id="8"/>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Азербайджан, Беларусь, Бельгия, Боливия (Многонациональное Государство), Бруней-Даруссалам, Венгрия, Венесуэла (Боливарианская Республика), Вьетнам, Гвинея, Дания, Колумбия, Кыргызстан, Мавритания, Монако, Нидерланды, Новая Зеландия, Объединенные Арабские Эмираты, Сальвадор, Словакия, Соединенное Королевство Великобритании и Северной Ирландии, Сьерра-Леоне, Чехия, Швеция, Франция.</w:t>
      </w:r>
    </w:p>
  </w:footnote>
  <w:footnote w:id="10">
    <w:p w14:paraId="33E7815F"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Беларусь, Венесуэла (Боливарианская Республика), Колумбия, Монако, Новая Зеландия, Сальвадор, Словакия.</w:t>
      </w:r>
    </w:p>
  </w:footnote>
  <w:footnote w:id="11">
    <w:p w14:paraId="33E78160" w14:textId="77777777" w:rsidR="00E94960" w:rsidRDefault="00E94960" w:rsidP="00A857AE">
      <w:pPr>
        <w:pStyle w:val="FootnoteText"/>
        <w:ind w:firstLine="0"/>
      </w:pPr>
      <w:r w:rsidRPr="00CC4D15">
        <w:rPr>
          <w:rStyle w:val="FootnoteReference"/>
          <w:snapToGrid w:val="0"/>
          <w:kern w:val="18"/>
          <w:u w:val="none"/>
          <w:vertAlign w:val="superscript"/>
          <w:lang w:val="ru-RU"/>
        </w:rPr>
        <w:footnoteRef/>
      </w:r>
      <w:r w:rsidRPr="00CC4D15">
        <w:rPr>
          <w:sz w:val="18"/>
          <w:szCs w:val="18"/>
          <w:lang w:val="ru-RU"/>
        </w:rPr>
        <w:t xml:space="preserve"> </w:t>
      </w:r>
      <w:r w:rsidRPr="00CC4D15">
        <w:rPr>
          <w:snapToGrid w:val="0"/>
          <w:kern w:val="18"/>
          <w:sz w:val="18"/>
          <w:szCs w:val="18"/>
          <w:lang w:val="ru-RU"/>
        </w:rPr>
        <w:t>Монако, Новая Зеландия.</w:t>
      </w:r>
    </w:p>
  </w:footnote>
  <w:footnote w:id="12">
    <w:p w14:paraId="33E78161" w14:textId="77777777" w:rsidR="00E94960" w:rsidRDefault="00E94960" w:rsidP="006F744E">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rStyle w:val="FootnoteReference"/>
          <w:snapToGrid w:val="0"/>
          <w:kern w:val="18"/>
          <w:u w:val="none"/>
          <w:lang w:val="ru-RU"/>
        </w:rPr>
        <w:t xml:space="preserve"> Индия, Канада, Сингапур</w:t>
      </w:r>
      <w:r w:rsidRPr="00CC4D15">
        <w:rPr>
          <w:snapToGrid w:val="0"/>
          <w:kern w:val="18"/>
          <w:sz w:val="18"/>
          <w:szCs w:val="18"/>
          <w:lang w:val="ru-RU"/>
        </w:rPr>
        <w:t>.</w:t>
      </w:r>
    </w:p>
  </w:footnote>
  <w:footnote w:id="13">
    <w:p w14:paraId="33E78162" w14:textId="77777777" w:rsidR="00E94960" w:rsidRDefault="00E94960" w:rsidP="00D823A0">
      <w:pPr>
        <w:keepLines/>
        <w:suppressLineNumbers/>
        <w:suppressAutoHyphens/>
        <w:kinsoku w:val="0"/>
        <w:overflowPunct w:val="0"/>
        <w:autoSpaceDE w:val="0"/>
        <w:autoSpaceDN w:val="0"/>
        <w:adjustRightInd w:val="0"/>
        <w:snapToGrid w:val="0"/>
        <w:spacing w:after="6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Афганистан (2014-2017 гг.), Буркина-Фасо (план действий на 2015 г.), Испания (2017 г.), Перу (2018 г.), </w:t>
      </w:r>
      <w:r w:rsidRPr="00CC4D15">
        <w:rPr>
          <w:snapToGrid w:val="0"/>
          <w:kern w:val="18"/>
          <w:sz w:val="18"/>
          <w:szCs w:val="18"/>
          <w:lang w:val="ru-RU"/>
        </w:rPr>
        <w:br/>
        <w:t>Сербия (2018 г.), Суринам (2016 г.), Тувалу (2016 г.).</w:t>
      </w:r>
    </w:p>
  </w:footnote>
  <w:footnote w:id="14">
    <w:p w14:paraId="33E78163"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Австрия, Азербайджан, Антигуа и Барбуда, Аргентина, Беларусь, Белиз, Бельгия, Бенин, Босния и Герцеговина, Бурунди, Венесуэла (Боливарианская Республика), Вьетнам, Гайана, Гамбия, Гвинея, Гвинея-Бисау, Германия, Гренада, Грузия, Демократическая Республика Конго, Джибути, Доминика, Доминиканская Республика, Европейский союз, Зимбабве, Индия, Индонезия, Иордания, Ирак, Италия, Камбоджа, Камерун, Канада, Кирибати, Коморские Острова, Кот-д'Ивуар, Куба, Кувейт, Кыргызстан, Литва, Лихтенштейн, Мавритания, Мали, Мальта, Марокко, Непал, Нигер, Нигерия, Нидерланды, Никарагуа, Объединенная Республика Танзания, Парагвай, Польша, Республика Молдова, Российская Федерация, Румыния, Самоа, Сан-Томе и Принсипи, Сейшельские Острова, Сенегал, Сент-Винсент и Гренадины, Сент-Китс и Невис, Сингапур, Словакия, Соединенное Королевство Великобритании и Северной Ирландии, Соломоновы Острова, Судан, Таджикистан, Тимор-Лешти, Того, Уругвай, Финляндия, Франция, Чад, Черногория, Швейцария, Швеция, Эритрея, Эстония, Эфиопия, Япония.</w:t>
      </w:r>
    </w:p>
    <w:bookmarkStart w:id="9" w:name="_Hlk32232152"/>
    <w:bookmarkEnd w:id="9"/>
  </w:footnote>
  <w:footnote w:id="15">
    <w:p w14:paraId="33E78164"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10" w:name="_Hlk32232152"/>
      <w:bookmarkEnd w:id="10"/>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(2030 г.), Алжир (2030 г.), Ангола (2025 г.), Андорра (2024 г.), Бангладеш (2021 г.), Бахрейн (2021 г.), Боливия (Многонациональное Государство) (2030 г.), Ботсвана (2025 г.), Бруней-Даруссалам (2035), Вануату (2030 г.), Гаити (2030 г.), Гана (2040 г.), Гватемала (2022 г.), Гвинея (2025), Гондурас (2022 г.), Греция (2029 г.), Египет (2030 г.), Замбия (2025 г.), Иран (Исламская Республика) (2030 г.), Ирландия (2021 г.), Йемен (2025 г.), Кабо-Верде (2030), Катар (2025 г.), Китай (2030 г.), Конго (2030 г.), Коста-Рика (2025 г.), Кыргызстан (2024 г.), Лаосская Народно-Демократическая Республика (2025 г.), Либерия (2025 г.), Ливан (2030 г.), Люксембург (2021 г.), Маврикий (2025 г.), Мадагаскар (2025 г.), Малави (2025 г.), Малайзия (2025 г.), Мальдивские Острова (2025 г.), Мексика (2030 г.), Микронезия (Федеративные Штаты) (2023 г.), Мозамбик (2035 г.), Монако (2030 г.), Монголия (2025 г.), Намибия (2022 г.), Объединенные рабские Эмираты (2021 г.), Пакистан (2030 г.), Палау (2025 г.), Папуа – Новая Гвинея (2024 г.), Республика Корея (2023 г.), Сан-Марино (2025 г.), Северная Македония (2023 г.), Сенегал (2030 г.), Сент-Лусия (2025 г.), Словения (2030 г.), Сомали (2030 г.), Сьерра-Леоне (2026 г.), Таиланд (2021 г.), Тринидад и Тобаго (2022 г.), Тунис (2030 г.), Туркменистан (2023 г.), Турция (2028 г.), Уганда (2025 г.), Фиджи (2025 г.), Филиппины (2028 г.), Хорватия (2025 г.), Чехия (2025 г.), Чили (2030 г.), Шри-Ланка (2022 г.), Эквадор (2030 г.), Эсватини (2022 г.), Южная Африка (2025 г.), Южный Судан (2027 г.), Ямайка (2021 г.).</w:t>
      </w:r>
    </w:p>
    <w:bookmarkStart w:id="11" w:name="_Hlk32232240"/>
    <w:bookmarkEnd w:id="11"/>
  </w:footnote>
  <w:footnote w:id="16">
    <w:p w14:paraId="33E78165" w14:textId="77777777" w:rsidR="00E94960" w:rsidRDefault="00E94960" w:rsidP="00A857AE">
      <w:pPr>
        <w:pStyle w:val="FootnoteText"/>
        <w:ind w:firstLine="0"/>
      </w:pPr>
      <w:bookmarkStart w:id="12" w:name="_Hlk32232240"/>
      <w:bookmarkEnd w:id="12"/>
      <w:r w:rsidRPr="00CC4D15">
        <w:rPr>
          <w:rStyle w:val="FootnoteReference"/>
          <w:snapToGrid w:val="0"/>
          <w:kern w:val="18"/>
          <w:u w:val="none"/>
          <w:vertAlign w:val="superscript"/>
          <w:lang w:val="ru-RU"/>
        </w:rPr>
        <w:footnoteRef/>
      </w:r>
      <w:r w:rsidRPr="00CC4D15">
        <w:rPr>
          <w:sz w:val="18"/>
          <w:szCs w:val="18"/>
          <w:lang w:val="ru-RU"/>
        </w:rPr>
        <w:t xml:space="preserve"> Барбадос</w:t>
      </w:r>
      <w:r w:rsidRPr="00CC4D15">
        <w:rPr>
          <w:kern w:val="18"/>
          <w:sz w:val="18"/>
          <w:szCs w:val="18"/>
          <w:lang w:val="ru-RU"/>
        </w:rPr>
        <w:t>.</w:t>
      </w:r>
    </w:p>
  </w:footnote>
  <w:footnote w:id="17">
    <w:p w14:paraId="33E78166" w14:textId="77777777" w:rsidR="00E94960" w:rsidRDefault="00E94960" w:rsidP="00A857AE">
      <w:pPr>
        <w:pStyle w:val="FootnoteText"/>
        <w:ind w:firstLine="0"/>
      </w:pPr>
      <w:r w:rsidRPr="00CC4D15">
        <w:rPr>
          <w:rStyle w:val="FootnoteReference"/>
          <w:snapToGrid w:val="0"/>
          <w:kern w:val="18"/>
          <w:u w:val="none"/>
          <w:vertAlign w:val="superscript"/>
          <w:lang w:val="ru-RU"/>
        </w:rPr>
        <w:footnoteRef/>
      </w:r>
      <w:r w:rsidRPr="00CC4D15">
        <w:rPr>
          <w:sz w:val="18"/>
          <w:szCs w:val="18"/>
          <w:lang w:val="ru-RU"/>
        </w:rPr>
        <w:t xml:space="preserve"> Новая Зеландия</w:t>
      </w:r>
      <w:r w:rsidRPr="00CC4D15">
        <w:rPr>
          <w:kern w:val="18"/>
          <w:sz w:val="18"/>
          <w:szCs w:val="18"/>
          <w:lang w:val="ru-RU"/>
        </w:rPr>
        <w:t>.</w:t>
      </w:r>
    </w:p>
  </w:footnote>
  <w:footnote w:id="18">
    <w:p w14:paraId="33E78167" w14:textId="77777777" w:rsidR="00E94960" w:rsidRDefault="00E94960" w:rsidP="00DA64F5">
      <w:pPr>
        <w:pStyle w:val="FootnoteText"/>
        <w:ind w:firstLine="0"/>
      </w:pPr>
      <w:r w:rsidRPr="00CC4D15">
        <w:rPr>
          <w:rStyle w:val="FootnoteReference"/>
          <w:u w:val="none"/>
          <w:vertAlign w:val="superscript"/>
          <w:lang w:val="ru-RU"/>
        </w:rPr>
        <w:footnoteRef/>
      </w:r>
      <w:r w:rsidRPr="00CC4D15">
        <w:rPr>
          <w:sz w:val="18"/>
          <w:szCs w:val="18"/>
          <w:lang w:val="ru-RU"/>
        </w:rPr>
        <w:t xml:space="preserve"> Албания, Армения, Бразилия, Бутан, Дания, Колумбия, </w:t>
      </w:r>
      <w:r w:rsidRPr="00CC4D15">
        <w:rPr>
          <w:snapToGrid w:val="0"/>
          <w:kern w:val="18"/>
          <w:sz w:val="18"/>
          <w:szCs w:val="18"/>
          <w:lang w:val="ru-RU"/>
        </w:rPr>
        <w:t>Корейская Народно-Демократическая Республика</w:t>
      </w:r>
      <w:r w:rsidRPr="00CC4D15">
        <w:rPr>
          <w:sz w:val="18"/>
          <w:szCs w:val="18"/>
          <w:lang w:val="ru-RU"/>
        </w:rPr>
        <w:t>, Мьянма, Науру, Ниуэ, Норвегия, Руанда, Сальвадор, Экваториальная Гвинея.</w:t>
      </w:r>
    </w:p>
  </w:footnote>
  <w:footnote w:id="19">
    <w:p w14:paraId="33E78168" w14:textId="77777777" w:rsidR="00E94960" w:rsidRDefault="00E94960" w:rsidP="008E7917">
      <w:pPr>
        <w:pStyle w:val="FootnoteText"/>
        <w:ind w:firstLine="0"/>
      </w:pPr>
      <w:r w:rsidRPr="00CC4D15">
        <w:rPr>
          <w:rStyle w:val="FootnoteReference"/>
          <w:snapToGrid w:val="0"/>
          <w:kern w:val="18"/>
          <w:u w:val="none"/>
          <w:vertAlign w:val="superscript"/>
          <w:lang w:val="ru-RU"/>
        </w:rPr>
        <w:footnoteRef/>
      </w:r>
      <w:r w:rsidRPr="00CC4D15">
        <w:rPr>
          <w:rStyle w:val="FootnoteReference"/>
          <w:snapToGrid w:val="0"/>
          <w:kern w:val="18"/>
          <w:u w:val="none"/>
          <w:vertAlign w:val="superscript"/>
          <w:lang w:val="ru-RU"/>
        </w:rPr>
        <w:t xml:space="preserve"> </w:t>
      </w:r>
      <w:r w:rsidRPr="00CC4D15">
        <w:rPr>
          <w:snapToGrid w:val="0"/>
          <w:kern w:val="18"/>
          <w:sz w:val="18"/>
          <w:szCs w:val="18"/>
          <w:lang w:val="ru-RU"/>
        </w:rPr>
        <w:t>Информация о статусе принятия НСПДСБ учитывает информацию, полученную от Сторон после 14-го совещания Конференции Сторон в ответ на запросы секретариата, направленные по электронной почте (пункт 22 решения 14/1), а также в ответ на уведомление 2020-019 от 14 февраля 2020 года, посредством которого национальные координационные центры КБР</w:t>
      </w:r>
      <w:r w:rsidRPr="00CC4D15">
        <w:rPr>
          <w:sz w:val="18"/>
          <w:szCs w:val="18"/>
          <w:lang w:val="ru-RU"/>
        </w:rPr>
        <w:t xml:space="preserve">, </w:t>
      </w:r>
      <w:r w:rsidRPr="00CC4D15">
        <w:rPr>
          <w:snapToGrid w:val="0"/>
          <w:kern w:val="18"/>
          <w:sz w:val="18"/>
          <w:szCs w:val="18"/>
          <w:lang w:val="ru-RU"/>
        </w:rPr>
        <w:t>координационные центры</w:t>
      </w:r>
      <w:r w:rsidRPr="00CC4D15">
        <w:rPr>
          <w:sz w:val="18"/>
          <w:szCs w:val="18"/>
          <w:lang w:val="ru-RU"/>
        </w:rPr>
        <w:t xml:space="preserve"> Картахенского протокола, </w:t>
      </w:r>
      <w:r w:rsidRPr="00CC4D15">
        <w:rPr>
          <w:snapToGrid w:val="0"/>
          <w:kern w:val="18"/>
          <w:sz w:val="18"/>
          <w:szCs w:val="18"/>
          <w:lang w:val="ru-RU"/>
        </w:rPr>
        <w:t>координационные центры ДГРСИВ</w:t>
      </w:r>
      <w:r w:rsidRPr="00CC4D15">
        <w:rPr>
          <w:sz w:val="18"/>
          <w:szCs w:val="18"/>
          <w:lang w:val="ru-RU"/>
        </w:rPr>
        <w:t xml:space="preserve">, </w:t>
      </w:r>
      <w:r w:rsidRPr="00CC4D15">
        <w:rPr>
          <w:snapToGrid w:val="0"/>
          <w:kern w:val="18"/>
          <w:sz w:val="18"/>
          <w:szCs w:val="18"/>
          <w:lang w:val="ru-RU"/>
        </w:rPr>
        <w:t>координационные центры ВОНТТК и коренные народы и местные общины и соответствующие организации были проинформированы о том, что проект настоящего документа будет доступен на веб-сайте Конвенции для коллегиальной оценки до 6 марта 2020 года.</w:t>
      </w:r>
    </w:p>
  </w:footnote>
  <w:footnote w:id="20">
    <w:p w14:paraId="33E78169"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Азербайджан, Албания, Ангола, Андорра, Аргентина, Армения, Беларусь, Белиз, Бенин, Боливия (Многонациональное Государство), Босния и Герцеговина, Венгрия, Гаити, Гайана, Германия, Гренада, Греция, Грузия, Дания, Европейский союз, Зимбабве, Индия, Испания, Камбоджа, Китай, Колумбия, Коста-Рика, Кот-д’Ивуар, Кыргызстан, Либерия, Ливан, Люксембург, Мадагаскар, Мальта, Марокко, Монголия, Мьянма, Намибия, Науру, Непал, Нидерланды, Новая Зеландия, Норвегия, Пакистан, Палау, Панама, Папуа – Новая Гвинея, Перу, Польша, Республика Корея, Республика Молдова, Руанда, Северная Македония, Сейшельские Острова, Сербия, Сингапур, Словения, Судан, Таиланд, Тринидад и Тобаго, Тувалу, Турция, Украина, Филиппины, Финляндия, Франция, Хорватия, Чили, Швейцария, Швеция, Шри-Ланка, Эстония, Япония.</w:t>
      </w:r>
    </w:p>
  </w:footnote>
  <w:footnote w:id="21">
    <w:p w14:paraId="33E7816A" w14:textId="77777777" w:rsidR="00E94960" w:rsidRDefault="00E94960" w:rsidP="00F4225F">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Антигуа и Барбуда, Афганистан, Бурунди, Вануату, Гвинея, Иордания, Кирибати (в процессе), Ливан, Маврикий, Мавритания, Пакистан, Румыния, Самоа, Соломоновы Острова, Уганда, Филиппины, Эсватини, Южный Судан.</w:t>
      </w:r>
    </w:p>
  </w:footnote>
  <w:footnote w:id="22">
    <w:p w14:paraId="33E7816B"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Бутан, Гватемала, Доминиканская Республика, Литва, Сент-Винсент и Гренадины, Таджикистан, Фиджи, Эфиопия.</w:t>
      </w:r>
    </w:p>
  </w:footnote>
  <w:footnote w:id="23">
    <w:p w14:paraId="33E7816C" w14:textId="77777777" w:rsidR="00E94960" w:rsidRDefault="00E94960" w:rsidP="00381ADB">
      <w:pPr>
        <w:pStyle w:val="FootnoteText"/>
        <w:ind w:firstLine="0"/>
        <w:jc w:val="left"/>
      </w:pPr>
      <w:r w:rsidRPr="00CC4D15">
        <w:rPr>
          <w:rStyle w:val="FootnoteReference"/>
          <w:snapToGrid w:val="0"/>
          <w:kern w:val="18"/>
          <w:u w:val="none"/>
          <w:vertAlign w:val="superscript"/>
          <w:lang w:val="ru-RU"/>
        </w:rPr>
        <w:footnoteRef/>
      </w:r>
      <w:r w:rsidRPr="00CC4D15">
        <w:rPr>
          <w:sz w:val="18"/>
          <w:szCs w:val="18"/>
          <w:lang w:val="ru-RU"/>
        </w:rPr>
        <w:t xml:space="preserve"> Информация, представленная в пункте 20 и в таблице 2, является точной на дату издания документа </w:t>
      </w:r>
      <w:r w:rsidRPr="00CC4D15">
        <w:rPr>
          <w:snapToGrid w:val="0"/>
          <w:kern w:val="22"/>
          <w:sz w:val="18"/>
          <w:szCs w:val="18"/>
          <w:lang w:val="ru-RU"/>
        </w:rPr>
        <w:t>CBD/SBI/3/2/Add.1 (25 марта 2020 года).</w:t>
      </w:r>
    </w:p>
  </w:footnote>
  <w:footnote w:id="24">
    <w:p w14:paraId="33E7816D"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Азербайджан, Албания, Алжир, Ангола, Антигуа и Барбуда, Аргентина, Армения, Бангладеш, Барбадос, Бахрейн, Белиз, Бельгия, Бенин, Босния и Герцеговина, Ботсвана, Бразилия, Бурунди, Бутан, Вануату, Вьетнам, Гамбия, Гана, Гвинея, Германия, Гондурас, Гренада, Грузия, Демократическая Республика Конго, Джибути, Доминика, Европейский союз, Египет, Замбия, Зимбабве, Индия, Индонезия, Иордания, Иран (Исламская Республика), Ирландия, Йемен, Кабо-Верде, Камбоджа, Камерун, Катар, Китай, Колумбия, Коморские Острова, Конго, Корейская Народно-Демократическая Республика, Коста-Рика, Куба, Кыргызстан, Лаосская Народно-Демократическая Республика, Либерия, Ливан, Люксембург, Маврикий, Мавритания, Мадагаскар, Малави, Марокко, Мексика, Микронезия (Федеративные Штаты), Мозамбик, Монголия, Намибия, Непал, Нигерия, Ниуэ, Новая Зеландия, Объединенная Республика Танзания, Пакистан, Палау, Папуа – Новая Гвинея, Парагвай, Польша, Республика Корея, Республика Молдова, Российская Федерация, Руанда, Самоа, Сан-Томе и Принсипи, Северная Македония, Сейшельские Острова, Сенегал, Сент-Винсент и Гренадины, Сент-Китс и Невис, Сент-Лусия, Словакия, Словения, Соединенное Королевство Великобритании и Северной Ирландии, Суринам, Сьерра-Леоне, Таджикистан, Таиланд, Того, Тринидад и Тобаго, Тунис, Турция, Уганда, Уругвай, Фиджи, Филиппины, Финляндия, Франция, Хорватия, Чад, Черногория, Чехия, Чили, Шри-Ланка, Эквадор, Экваториальная Гвинея, Эсватини, Эфиопия, Южная Африка, Япония.</w:t>
      </w:r>
    </w:p>
    <w:bookmarkStart w:id="13" w:name="_Hlk32232578"/>
    <w:bookmarkEnd w:id="13"/>
  </w:footnote>
  <w:footnote w:id="25">
    <w:p w14:paraId="33E7816E"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14" w:name="_Hlk32232578"/>
      <w:bookmarkEnd w:id="14"/>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Это включает, помимо прочего, оценки реализации, имеющей отношение к Стратегическому плану в области сохранения и устойчивого использования биоразнообразия на 2011-2020 годы.</w:t>
      </w:r>
    </w:p>
  </w:footnote>
  <w:footnote w:id="26">
    <w:p w14:paraId="33E7816F"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spacing w:val="-3"/>
          <w:kern w:val="18"/>
          <w:u w:val="none"/>
          <w:vertAlign w:val="superscript"/>
          <w:lang w:val="ru-RU"/>
        </w:rPr>
        <w:footnoteRef/>
      </w:r>
      <w:r w:rsidRPr="00CC4D15">
        <w:rPr>
          <w:snapToGrid w:val="0"/>
          <w:spacing w:val="-3"/>
          <w:kern w:val="18"/>
          <w:sz w:val="18"/>
          <w:szCs w:val="18"/>
          <w:lang w:val="ru-RU"/>
        </w:rPr>
        <w:t xml:space="preserve"> Вьетнам, Гондурас, Доминика, Иордания, Иран (Исламская Республика), Ирландия, Монголия, Намибия, Объединенная Республика Танзания, Польша, Республика Корея, Сент-Китс и Невис, Сьерра-Леоне, Таджикистан, Таиланд, Хорватия, Черногория, Шри-Ланка, Южная Африка.</w:t>
      </w:r>
    </w:p>
  </w:footnote>
  <w:footnote w:id="27">
    <w:p w14:paraId="33E78170"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spacing w:val="-1"/>
          <w:kern w:val="18"/>
          <w:u w:val="none"/>
          <w:vertAlign w:val="superscript"/>
          <w:lang w:val="ru-RU"/>
        </w:rPr>
        <w:footnoteRef/>
      </w:r>
      <w:r w:rsidRPr="00CC4D15">
        <w:rPr>
          <w:rStyle w:val="FootnoteReference"/>
          <w:snapToGrid w:val="0"/>
          <w:spacing w:val="-1"/>
          <w:kern w:val="18"/>
          <w:u w:val="none"/>
          <w:vertAlign w:val="superscript"/>
          <w:lang w:val="ru-RU"/>
        </w:rPr>
        <w:t xml:space="preserve"> </w:t>
      </w:r>
      <w:r w:rsidRPr="00CC4D15">
        <w:rPr>
          <w:snapToGrid w:val="0"/>
          <w:spacing w:val="-1"/>
          <w:kern w:val="18"/>
          <w:sz w:val="18"/>
          <w:szCs w:val="18"/>
          <w:lang w:val="ru-RU"/>
        </w:rPr>
        <w:t>Австралия, Албания, Алжир, Ангола, Армения, Бангладеш, Барбадос, Бахрейн, Белиз, Бутан, Гамбия, Гвинея, Гренада, Грузия, Египет, Ирландия, Кабо-Верде, Кирибати, Китай, Коморские Острова, Кыргызстан, Лаосская Народно-Демократическая Республика, Люксембург, Маврикий, Мадагаскар, Малави, Микронезия (Федеративные Штаты), Намибия, Новая Зеландия, Пакистан, Республика Корея, Руанда, Самоа, Сан-Томе и Принсипи, Северная Македония, Сейшельские Острова, Сенегал, Словения, Соединенное Королевство Великобритании и Северной Ирландии, Сьерра-Леоне, Таджикистан, Тринидад и Тобаго, Тунис, Турция, Уганда, Уругвай, Чад, Чили, Эквадор, Южная Африка.</w:t>
      </w:r>
    </w:p>
  </w:footnote>
  <w:footnote w:id="28">
    <w:p w14:paraId="33E78171"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Алжир, Ангола, Армения, Бангладеш, Барбадос, Бахрейн, Белиз, Ботсвана, Гамбия, Гвинея, Гренада, Демократическая Республика Конго, Джибути, Египет, Замбия, Зимбабве, Индонезия, Иордания, Иран (Исламская Республика), Йемен, Камбоджа, Камерун, Кирибати, Китай, Коморские Острова, Лаосская Народно-Демократическая Республика, Либерия, Люксембург, Маврикий, Мальдивские Острова, Микронезия (Федеративные Штаты), Мозамбик, Намибия, Нигерия, Новая Зеландия, Объединенная Республика Танзания, Пакистан, Папуа – Новая Гвинея, Польша, Республика Корея, Российская Федерация, Руанда, Самоа, Северная Македония, Сенегал, Сент-Винсент и Гренадины, Сент-Китс и Невис, Сент-Лусия, Словения, Соединенное Королевство Великобритании и Северной Ирландии, Сьерра-Леоне, Таджикистан, Таиланд, Тринидад и Тобаго, Тунис, Уганда, Филиппины, Франция, Хорватия, Чехия, Чили, Шри-Ланка, Экваториальная Гвинея, Эсватини, Эфиопия.</w:t>
      </w:r>
    </w:p>
  </w:footnote>
  <w:footnote w:id="29">
    <w:p w14:paraId="33E78172"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Алжир, Аргентина, Боливия (Многонациональное Государство), Бразилия, Бурунди, Вануату, Венесуэла (Боливарианская Республика), Гайана, Гамбия, Гана, Гватемала, Гондурас, Гренада, Демократическая Республика Конго, Замбия, Индонезия, Йемен, Камерун, Колумбия, Коста-Рика, Малави, Мексика, Микронезия (Федеративные Штаты), Намибия, Новая Зеландия, Панама, Папуа- Новая Гвинея, Парагвай, Перу, Сенегал, Сент-Лусия, Соломоновы Острова, Суринам, Сьерра-Леоне, Таиланд, Того, Уганда, Фиджи, Филиппины, Финляндия, Шри-Ланка, Эфиопия, Южная Африка, Япония.</w:t>
      </w:r>
    </w:p>
  </w:footnote>
  <w:footnote w:id="30">
    <w:p w14:paraId="33E78173"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rStyle w:val="FootnoteReference"/>
          <w:snapToGrid w:val="0"/>
          <w:kern w:val="18"/>
          <w:u w:val="none"/>
          <w:lang w:val="ru-RU"/>
        </w:rPr>
        <w:t xml:space="preserve"> </w:t>
      </w:r>
      <w:r w:rsidRPr="00CC4D15">
        <w:rPr>
          <w:snapToGrid w:val="0"/>
          <w:kern w:val="18"/>
          <w:sz w:val="18"/>
          <w:szCs w:val="18"/>
          <w:lang w:val="ru-RU"/>
        </w:rPr>
        <w:t>Австралия, Алжир, Андорра, Антигуа и Барбуда, Аргентина, Афганистан, Бангладеш, Барбадос, Бахрейн, Беларусь, Белиз, Бельгия, Боливия (Многонациональное Государство), Босния и Герцеговина, Бразилия, Бурунди, Бутан, Вануату, Венгрия, Гаити, Гайана, Гамбия, Гана, Гватемала, Гвинея, Гондурас, Гренада, Греция, Грузия, Демократическая Республика Конго, Джибути, Доминика, Доминиканская Республика, Замбия, Зимбабве, Индонезия, Ирак, Ирландия, Испания, Йемен, Кабо-Верде, Камерун, Кирибати, Колумбия, Конго, Коста-Рика, Кот-д'Ивуар, Лаосская Народно-Демократическая Республика, Либерия, Ливан, Литва, Лихтенштейн, Маврикий, Малави, Мальдивские Острова, Мексика, Микронезия (Федеративные Штаты), Мозамбик, Монако, Монголия, Мьянма, Намибия, Науру, Нигерия, Новая Зеландия, Объединенная Республика Танзания, Палау, Панама, Папуа – Новая Гвинея, Парагвай, Перу, Руанда, Самоа, Северная Македония, Сейшельские Острова, Сенегал, Сент-Китс и Невис, Сент-Лусия, Сербия, Словения, Соломоновы Острова, Сомали, Судан, Сьерра-Леоне, Таджикистан, Таиланд, Тимор-Лешти, Того, Тринидад и Тобаго, Уганда, Уругвай, Фиджи, Филиппины, Финляндия, Франция, Хорватия, Чили, Швейцария, Шри-Ланка, Экваториальная Гвинея, Эритрея, Эсватини, Эстония, Эфиопия, Южная Африка, Южный Судан, Ямайка, Япония.</w:t>
      </w:r>
    </w:p>
    <w:bookmarkStart w:id="15" w:name="_Hlk32233001"/>
    <w:bookmarkEnd w:id="15"/>
  </w:footnote>
  <w:footnote w:id="31">
    <w:p w14:paraId="33E78174"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16" w:name="_Hlk32233001"/>
      <w:bookmarkEnd w:id="16"/>
      <w:r w:rsidRPr="00CC4D15">
        <w:rPr>
          <w:rStyle w:val="FootnoteReference"/>
          <w:snapToGrid w:val="0"/>
          <w:spacing w:val="-2"/>
          <w:kern w:val="18"/>
          <w:u w:val="none"/>
          <w:vertAlign w:val="superscript"/>
          <w:lang w:val="ru-RU"/>
        </w:rPr>
        <w:footnoteRef/>
      </w:r>
      <w:r w:rsidRPr="00CC4D15">
        <w:rPr>
          <w:snapToGrid w:val="0"/>
          <w:spacing w:val="-2"/>
          <w:kern w:val="18"/>
          <w:sz w:val="18"/>
          <w:szCs w:val="18"/>
          <w:lang w:val="ru-RU"/>
        </w:rPr>
        <w:t xml:space="preserve"> Австралия, Алжир, Барбадос, Бахрейн, Белиз, Боливия (Многонациональное Государство), Бразилия, Гайана, Гамбия, Гватемала, Гвинея, Грузия, Доминика, Доминиканская Республика, Ирак, Испания, Йемен, Кабо-Верде, Камерун, Кирибати, Колумбия, Конго, Лаосская Народно-Демократическая Республика, Маврикий, Малави, Мальдивские Острова, Мозамбик, Монако, Намибия, Новая Зеландия, Объединенная Республика Танзания, Панама, Папуа – Новая Гвинея, Парагвай, Перу, Республика Корея, Руанда, Северная Македония, Сент-Лусия, Соломоновы Острова, Сомали, Судан, Таиланд, Того, Уганда, Уругвай, Фиджи, Филиппины, Финляндия, Франция, Хорватия, Чили, Швейцария, Шри-Ланка, Эсватини, Эстония, Ямайка, Япония.</w:t>
      </w:r>
    </w:p>
  </w:footnote>
  <w:footnote w:id="32">
    <w:p w14:paraId="33E78175"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Алжир, Аргентина, Афганистан, Бангладеш, Барбадос, Бахрейн, Белиз, Боливия (Многонациональное Государство), Босния и Герцеговина, Бразилия, Гамбия, Гана, Гватемала, Гондурас, Грузия, Доминиканская Республика, Замбия, Зимбабве, Иордания, Ирак, Иран (Исламская Республика), Ирландия, Испания, Йемен, Кабо-Верде, Камбоджа, Колумбия, Кот-д'Ивуар, Кыргызстан, Лаосская Народно-Демократическая Республика, Ливан, Маврикий, Малави, Марокко, Мексика, Микронезия (Федеративные Штаты), Мозамбик, Монако, Монголия, Мьянма, Намибия, Нигерия, Новая Зеландия, Объединенная Республика Танзания, Панама, Папуа – Новая Гвинея, Парагвай, Самоа, Северная Македония, Сейшельские Острова, Сенегал, Сент-Лусия, Сербия, Сомали, Сьерра-Леоне, Таджикистан, Таиланд, Тимор-Лешти, Того, Уганда, Уругвай, Фиджи, Филиппины, Финляндия, Франция, Чили, Швейцария, Шри-Ланка, Экваториальная Гвинея, Эритрея, Эсватини, Эстония, Эфиопия, Южный Судан, Ямайка, Япония.</w:t>
      </w:r>
    </w:p>
  </w:footnote>
  <w:footnote w:id="33">
    <w:p w14:paraId="33E78176" w14:textId="77777777" w:rsidR="00E94960" w:rsidRDefault="00E94960" w:rsidP="00B26553">
      <w:pPr>
        <w:pStyle w:val="FootnoteText"/>
        <w:keepLines w:val="0"/>
        <w:suppressLineNumbers/>
        <w:suppressAutoHyphens/>
        <w:adjustRightInd w:val="0"/>
        <w:snapToGrid w:val="0"/>
        <w:ind w:firstLine="0"/>
      </w:pPr>
      <w:r w:rsidRPr="00CC4D15">
        <w:rPr>
          <w:rStyle w:val="FootnoteReference"/>
          <w:kern w:val="18"/>
          <w:u w:val="none"/>
          <w:vertAlign w:val="superscript"/>
          <w:lang w:val="ru-RU"/>
        </w:rPr>
        <w:footnoteRef/>
      </w:r>
      <w:r w:rsidRPr="00CC4D15">
        <w:rPr>
          <w:kern w:val="18"/>
          <w:sz w:val="18"/>
          <w:szCs w:val="18"/>
          <w:lang w:val="ru-RU"/>
        </w:rPr>
        <w:t xml:space="preserve"> </w:t>
      </w:r>
      <w:r w:rsidRPr="00CC4D15">
        <w:rPr>
          <w:sz w:val="18"/>
          <w:szCs w:val="18"/>
          <w:lang w:val="ru-RU"/>
        </w:rPr>
        <w:t xml:space="preserve">Австралия, Австрия, Алжир, Андорра, Антигуа и Барбуда, Аргентина, Афганистан, Бангладеш, Барбадос, Бахрейн, Беларусь, Бельгия, Босния и Герцеговина, Ботсвана, Бразилия, Буркина-Фасо (согласно обследованию МСОП), Бутан, Вьетнам, Гайана, Гамбия, Гватемала (согласно обследованию МСОП), Гвинея, Гондурас, Греция, Грузия, Доминиканская Республика, Европейский союз, Египет, Замбия, Зимбабве, Индия, Индонезия, Иордания, Ирак, Иран (Исламская Республика), Ирландия, Йемен, Кабо-Верде, Камбоджа, Камерун, Китай, Колумбия (согласно обследованию МСОП), Конго, Корейская Народно-Демократическая Республика, Коста-Рика, </w:t>
      </w:r>
      <w:r w:rsidRPr="00CC4D15">
        <w:rPr>
          <w:kern w:val="18"/>
          <w:sz w:val="18"/>
          <w:szCs w:val="18"/>
          <w:lang w:val="ru-RU"/>
        </w:rPr>
        <w:t xml:space="preserve">Лаосская Народно-Демократическая Республика, Либерия, Ливан, Люксембург, Мадагаскар, </w:t>
      </w:r>
      <w:r w:rsidRPr="00CC4D15">
        <w:rPr>
          <w:sz w:val="18"/>
          <w:szCs w:val="18"/>
          <w:lang w:val="ru-RU"/>
        </w:rPr>
        <w:t xml:space="preserve">Мали, Мальдивские Острова, Марокко, Мексика, </w:t>
      </w:r>
      <w:r w:rsidRPr="00CC4D15">
        <w:rPr>
          <w:snapToGrid w:val="0"/>
          <w:kern w:val="18"/>
          <w:sz w:val="18"/>
          <w:szCs w:val="18"/>
          <w:lang w:val="ru-RU"/>
        </w:rPr>
        <w:t xml:space="preserve">Микронезия (Федеративные Штаты), </w:t>
      </w:r>
      <w:r w:rsidRPr="00CC4D15">
        <w:rPr>
          <w:sz w:val="18"/>
          <w:szCs w:val="18"/>
          <w:lang w:val="ru-RU"/>
        </w:rPr>
        <w:t xml:space="preserve">Мозамбик, Мьянма, Намибия, Науру, Непал, Нигерия, Нидерланды, Ниуэ, </w:t>
      </w:r>
      <w:r w:rsidRPr="00CC4D15">
        <w:rPr>
          <w:kern w:val="18"/>
          <w:sz w:val="18"/>
          <w:szCs w:val="18"/>
          <w:lang w:val="ru-RU"/>
        </w:rPr>
        <w:t xml:space="preserve">Объединенная Республика Танзания, Пакистан, Палау, Панама, Парагвай, </w:t>
      </w:r>
      <w:r w:rsidRPr="00CC4D15">
        <w:rPr>
          <w:sz w:val="18"/>
          <w:szCs w:val="18"/>
          <w:lang w:val="ru-RU"/>
        </w:rPr>
        <w:t>Перу, Республика Корея, Румыния, Самоа, Северная Македония, Сейшельские Острова, Сенегал, Сент-Винсент и Гренадины, Сербия, Сомали, Судан, Сьерра-Леоне, Таджикистан, Тимор-Лешти, Того, Тринидад и Тобаго, Турция, Уганда, Фиджи, Филиппины, Финляндия, Франция, Чад, Чешская Республика, Эритрея, Эсватини, Эстония, Эфиопия, Южная Африка, Ямайка, Япония.</w:t>
      </w:r>
    </w:p>
  </w:footnote>
  <w:footnote w:id="34">
    <w:p w14:paraId="33E78177"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snapToGrid w:val="0"/>
          <w:kern w:val="18"/>
          <w:sz w:val="18"/>
          <w:szCs w:val="18"/>
          <w:vertAlign w:val="superscript"/>
          <w:lang w:val="ru-RU"/>
        </w:rPr>
        <w:footnoteRef/>
      </w:r>
      <w:r w:rsidRPr="00CC4D15">
        <w:rPr>
          <w:snapToGrid w:val="0"/>
          <w:kern w:val="18"/>
          <w:sz w:val="18"/>
          <w:szCs w:val="18"/>
          <w:lang w:val="ru-RU"/>
        </w:rPr>
        <w:t xml:space="preserve"> Бельгия, Европейский союз, Нигер, Франция и Япония.</w:t>
      </w:r>
    </w:p>
  </w:footnote>
  <w:footnote w:id="35">
    <w:p w14:paraId="33E78178"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Антигуа и Барбуда, Аргентина, Бангладеш, Барбадос, Белиз, Боливия (Многонациональное Государство), Гайана, Гамбия, Гвинея-Бисау, Доминика, Иордания, Ирак, Кирибати, Корейская Народно-Демократическая Республика, Коста-Рика, Либерия, Малави, Монголия, Мьянма, Науру, Непал, Ниуэ, Объединенная Республика Танзания, Объединенные Арабские Эмираты, Папуа – Новая Гвинея, Перу, Республика Корея, Сан-Марино, Северная Македония, Сент-Винсент и Гренадины, Судан, Сьерра-Леоне, Тимор-Лешти, Шри-Ланка, Экваториальная Гвинея, Эсватини, Южная Африка, Южный Судан.</w:t>
      </w:r>
    </w:p>
  </w:footnote>
  <w:footnote w:id="36">
    <w:p w14:paraId="33E78179"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Албания, Алжир, Бельгия, Бурунди, Венесуэла (Боливарианская Республика), Гватемала, Германия, Грузия, Демократическая Республика Конго, Европейский союз, Египет, Индонезия, Иран (Исламская Республика), Италия, Йемен, Камбоджа, Камерун, Катар, Китай, Колумбия, Лаосская Народно-Демократическая Республика, Ливан, Люксембург, Мадагаскар, Малайзия, Мали, Мальдивские Острова, Мальта, Марокко, Мексика, Микронезия (Федеративные Штаты), Мозамбик, Норвегия, Республика Корея, Республика Молдова, Румыния, Самоа, Сент-Лусия, Словения, Соединенное Королевство Великобритании и Северной Ирландии, Того, Филиппины, Финляндия, Чад, Эфиопия, Япония.</w:t>
      </w:r>
    </w:p>
  </w:footnote>
  <w:footnote w:id="37">
    <w:p w14:paraId="33E7817A"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Бельгия, Бенин, Босния и Герцеговина, Ботсвана, Бурунди, Гайана, Гвинея, Демократическая Республика Конго, Йемен, Коморские Острова, Коста-Рика, Кот</w:t>
      </w:r>
      <w:r w:rsidRPr="00CC4D15">
        <w:rPr>
          <w:snapToGrid w:val="0"/>
          <w:kern w:val="18"/>
          <w:sz w:val="18"/>
          <w:szCs w:val="18"/>
          <w:lang w:val="ru-RU"/>
        </w:rPr>
        <w:noBreakHyphen/>
        <w:t>д'Ивуар, Либерия, Мавритания, Малави, Мали, Мальдивские Острова, Марокко, Микронезия (Федеративные Штаты), Нигер, Нигерия, Ниуэ, Палау, Руанда, Тимор-Лешти.</w:t>
      </w:r>
    </w:p>
  </w:footnote>
  <w:footnote w:id="38">
    <w:p w14:paraId="33E7817B"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Некоторые Стороны, возможно, представили стратегии мобилизации ресурсов или их компоненты не в своих НСПДСБ, а в финансовых отчетах для Конвенции и/или в своих пятых национальных докладах или в других документах. Они не рассматриваются в настоящем документе.</w:t>
      </w:r>
    </w:p>
  </w:footnote>
  <w:footnote w:id="39">
    <w:p w14:paraId="33E7817C"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w:t>
      </w:r>
      <w:bookmarkStart w:id="17" w:name="_Hlk32233889"/>
      <w:r w:rsidRPr="00CC4D15">
        <w:rPr>
          <w:snapToGrid w:val="0"/>
          <w:kern w:val="18"/>
          <w:sz w:val="18"/>
          <w:szCs w:val="18"/>
          <w:lang w:val="ru-RU"/>
        </w:rPr>
        <w:t>Албания, Алжир, Бангладеш, Бахрейн, Бенин, Ботсвана, Бруней-Даруссалам, Буркина-Фасо, Бурунди, Бутан, Гана, Гватемала, Гвинея, Гвинея-Бисау, Доминика, Египет, Зимбабве, Индия, Испания, Йемен, Кирибати, Коста-Рика, Кыргызстан, Либерия, Ливан, Люксембург, Маврикий, Мавритания, Мадагаскар, Малави, Мали, Мальдивские Острова, Мозамбик, Намибия, Непал, Нигер, Никарагуа, Пакистан, Панама, Парагвай, Республика Молдова, Руанда (частично), Румыния, Сан-Томе и Принсипи, Северная Македония, Сенегал, Сент-Винсент и Гренадины, Сент-Китс и Невис, Сомали, Судан, Суринам, Сьерра-Леоне, Того, Тунис, Уганда, Филиппины, Финляндия, Чад, Шри-Ланка, Эритрея, Эсватини, Эстония, Южный Судан, Ямайка.</w:t>
      </w:r>
      <w:bookmarkEnd w:id="17"/>
    </w:p>
  </w:footnote>
  <w:footnote w:id="40">
    <w:p w14:paraId="33E7817D"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Албания, Алжир, Ангола, Антигуа и Барбуда, Аргентина, Афганистан, Бангладеш, Барбадос, Беларусь, Бельгия, Бенин, Босния и Герцеговина, Ботсвана, Бразилия, Бурунди, Бутан, Вануату, Венгрия, Гаити, Гайана, Гамбия, Гана, Гвинея, Гвинея-Бисау, Германия, Гренада, Греция, Грузия, Демократическая Республика Конго, Джибути, Доминиканская Республика, Европейский союз, Египет, Замбия, Зимбабве, Индия, Индонезия, Иордания, Ирак, Иран (Исламская Республика), Кабо-Верде, Камбоджа, Камерун, Китай, Коморские Острова, Конго, Коста-Рика, Куба, Кувейт, Лаосская Народно-Демократическая Республика, Либерия, Ливан, Люксембург, Маврикий, Мавритания, Мадагаскар, Малави, Малайзия, Мали, Мальдивские Острова, Марокко, Мексика, Микронезия (Федеративные Штаты), Мозамбик, Монако, Монголия, Мьянма, Намибия, Нигерия, Ниуэ, Новая Зеландия, Объединенная Республика Танзания, Объединенные Арабские Эмираты, Пакистан, Палау, Панама, Папуа – Новая Гвинея, Республика Корея, Руанда, Самоа, Северная Македония, Сент-Китс и Невис, Сент-Лусия, Сербия, Словения, Соломоновы Острова, Сомали, Сьерра-Леоне, Таджикистан, Таиланд, Тринидад и Тобаго, Тунис, Туркменистан, Турция, Уганда, Уругвай, Фиджи, Финляндия, Черногория, Чили, Эквадор, Экваториальная Гвинея, Эритрея, Эсватини, Эфиопия, Южный Судан, Ямайка, Япония.</w:t>
      </w:r>
    </w:p>
    <w:bookmarkStart w:id="18" w:name="_Hlk32234248"/>
    <w:bookmarkEnd w:id="18"/>
  </w:footnote>
  <w:footnote w:id="41">
    <w:p w14:paraId="33E7817E"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19" w:name="_Hlk32234248"/>
      <w:bookmarkEnd w:id="19"/>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Бангладеш, Белиз, Бенин, Босния и Герцеговина, Ботсвана, Бурунди, Гайана, Гана, Гватемала, Демократическая Республика Конго, Коморские Острова, Коста-Рика, Кот-д'Ивуар, Либерия, Ливан, Мавритания, Малави, Мальдивские Острова, Мексика, Микронезия (Федеративные Штаты), Намибия, Непал, Нигер, Нигерия, Ниуэ, Палау, Панама, Республика Корея, Руанда, Сенегал, Сент-Винсент и Гренадины, Сент-Лусия, Судан, Тимор-Лешти, Тринидад и Тобаго, Филиппины, Финляндия, Франция, Эсватини.</w:t>
      </w:r>
    </w:p>
  </w:footnote>
  <w:footnote w:id="42">
    <w:p w14:paraId="33E7817F"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rStyle w:val="FootnoteReference"/>
          <w:snapToGrid w:val="0"/>
          <w:kern w:val="18"/>
          <w:u w:val="none"/>
          <w:vertAlign w:val="superscript"/>
          <w:lang w:val="ru-RU"/>
        </w:rPr>
        <w:t xml:space="preserve"> </w:t>
      </w:r>
      <w:r w:rsidRPr="00CC4D15">
        <w:rPr>
          <w:snapToGrid w:val="0"/>
          <w:kern w:val="18"/>
          <w:sz w:val="18"/>
          <w:szCs w:val="18"/>
          <w:lang w:val="ru-RU"/>
        </w:rPr>
        <w:t>Австралия, Австрия, Азербайджан, Албания, Алжир, Ангола, Андорра, Антигуа и Барбуда, Аргентина, Армения, Барбадос, Бахрейн, Беларусь, Бельгия, Боливия (Многонациональное Государство), Бразилия, Бруней-Даруссалам, Бутан, Вануату, Венгрия, Венесуэла (Боливарианская Республика), Вьетнам, Гамбия, Гана, Гвинея, Гвинея-Бисау, Германия, Гондурас, Гренада, Греция, Грузия, Дания, Доминиканская Республика, Европейский союз, Египет, Замбия, Зимбабве, Индия, Иордания, Ирак, Иран (Исламская Республика), Ирландия, Испания, Италия, Кабо-Верде, Камбоджа, Канада, Катар, Кирибати, Китай, Конго, Куба, Кыргызстан, Лаосская Народно-Демократическая Республика, Люксембург, Мадагаскар, Малайзия, Мали, Мальта, Мозамбик, Монако, Науру, Никарагуа, Новая Зеландия, Норвегия, Объединенная Республика Танзания, Объединенные Арабские Эмираты, Пакистан, Папуа – Новая Гвинея, Парагвай, Перу, Польша, Республика Молдова, Российская Федерация, Румыния, Самоа, Сан-Марино, Сан-Томе и Принсипи, Сент-Китс и Невис, Сербия, Словакия, Соединенное Королевство Великобритании и Северной Ирландии, Словения, Соломоновы Острова, Сьерра-Леоне, Таджикистан, Таиланд, Того, Туркменистан, Уганда, Украина, Уругвай, Фиджи, Хорватия, Чад, Черногория, Чехия, Чили, Швейцария, Швеция, Эквадор, Экваториальная Гвинея, Эритрея, Эстония, Эфиопия, Южная Африка, Япония.</w:t>
      </w:r>
    </w:p>
    <w:bookmarkStart w:id="20" w:name="_Hlk32234446"/>
    <w:bookmarkEnd w:id="20"/>
  </w:footnote>
  <w:footnote w:id="43">
    <w:p w14:paraId="33E78180"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21" w:name="_Hlk32234446"/>
      <w:bookmarkEnd w:id="21"/>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Австрия, Азербайджан, Албания, Алжир, Ангола, Андорра, Антигуа и Барбуда, Армения, Бангладеш, Барбадос, Бахрейн, Беларусь, Белиз, Бельгия, Бенин, Босния и Герцеговина, Ботсвана, Бразилия, Бурунди, Бутан, Вануату, Венгрия, Венесуэла (Боливарианская Республика), Гаити, Гайана, Гамбия, Гана, Гвинея, Гвинея-Бисау, Германия, Гренада, Греция, Грузия, Дания, Джибути, Доминиканская Республика, Египет, Замбия, Зимбабве, Индия, Индонезия, Иордания, Ирак, Иран (Исламская Республика), Ирландия, Испания, Италия, Кабо-Верде, Камбоджа, Канада, Катар, Китай, Коморские Острова, Конго, Коста-Рика, Кот-д'Ивуар, Куба, Кувейт, Кыргызстан, Лаосская Народно-Демократическая Республика, Ливан, Либерия, Мавритания, Мадагаскар, Малави, Малайзия, Мали, Мальдивские Острова, Мальта, Марокко, Мексика, Микронезия (Федеративные Штаты), Мозамбик, Монако, Монголия, Мьянма, Намибия, Нигерия, Никарагуа, Ниуэ, Новая Зеландия, Парагвай, Объединенная Республика Танзания, Объединенные Арабские Эмираты, Пакистан, Палау, Панама, Папуа – Новая Гвинея, Перу, Республика Корея, Республика Молдова, Российская Федерация, Руанда, Румыния, Самоа, Сан-Марино, Северная Македония, Сенегал, Сент-Винсент и Гренадины, Сент-Китс и Невис, Сент-Лусия, Сербия, Сингапур, Словакия, Словения, Соединенное Королевство Великобритании и Северной Ирландии, Соломоновы Острова, Сомали, Судан, Сьерра-Леоне, Таджикистан, Таиланд, Тимор-Лешти, Того, Тринидад и Тобаго, Тунис, Турция, Уганда, Уругвай, Фиджи, Филиппины, Финляндия, Черногория, Чехия, Чили, Швейцария, Швеция, Шри-Ланка, Эквадор, Экваториальная Гвинея, Эритрея, Эсватини, Эстония, Эфиопия, Южная Африка, Южный Судан, Ямайка, Япония.</w:t>
      </w:r>
    </w:p>
    <w:bookmarkStart w:id="22" w:name="_Hlk32234634"/>
    <w:bookmarkEnd w:id="22"/>
  </w:footnote>
  <w:footnote w:id="44">
    <w:p w14:paraId="33E78181"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23" w:name="_Hlk32234634"/>
      <w:bookmarkEnd w:id="23"/>
      <w:r w:rsidRPr="00CC4D15">
        <w:rPr>
          <w:rStyle w:val="FootnoteReference"/>
          <w:snapToGrid w:val="0"/>
          <w:spacing w:val="-1"/>
          <w:kern w:val="18"/>
          <w:u w:val="none"/>
          <w:vertAlign w:val="superscript"/>
          <w:lang w:val="ru-RU"/>
        </w:rPr>
        <w:footnoteRef/>
      </w:r>
      <w:r w:rsidRPr="00CC4D15">
        <w:rPr>
          <w:snapToGrid w:val="0"/>
          <w:spacing w:val="-1"/>
          <w:kern w:val="18"/>
          <w:sz w:val="18"/>
          <w:szCs w:val="18"/>
          <w:lang w:val="ru-RU"/>
        </w:rPr>
        <w:t xml:space="preserve"> Австралия, Австрия, Азербайджан, Алжир, Ангола, Андорра, Аргентина, Армения, Бангладеш, Барбадос, Бахрейн, Белиз, Боливия (Многонациональное Государство), Ботсвана, Бразилия, Буркина-Фасо, Венгрия, Гаити, Гайана, Гватемала, Гвинея, Гвинея-Бисау, Гондурас, Гренада, Греция, Грузия, Демократическая Республика Конго, Джибути, Доминика, Египет, Замбия, Зимбабве, Индия, Иордания, Ирак, </w:t>
      </w:r>
      <w:r w:rsidRPr="00CC4D15">
        <w:rPr>
          <w:snapToGrid w:val="0"/>
          <w:kern w:val="18"/>
          <w:sz w:val="18"/>
          <w:szCs w:val="18"/>
          <w:lang w:val="ru-RU"/>
        </w:rPr>
        <w:t xml:space="preserve">Иран (Исламская Республика), </w:t>
      </w:r>
      <w:r w:rsidRPr="00CC4D15">
        <w:rPr>
          <w:snapToGrid w:val="0"/>
          <w:spacing w:val="-1"/>
          <w:kern w:val="18"/>
          <w:sz w:val="18"/>
          <w:szCs w:val="18"/>
          <w:lang w:val="ru-RU"/>
        </w:rPr>
        <w:t xml:space="preserve">Ирландия, Кабо-Верде, Камбоджа, Камерун, Кирибати, Китай, Коморские Острова, Конго, Куба, Кувейт, Лаосская Народно-Демократическая Республика, Ливан, Литва, Лихтенштейн, Люксембург, Мавритания, Мадагаскар, Малави, Малайзия, Мали, Мальдивские Острова, Мексика, </w:t>
      </w:r>
      <w:r w:rsidRPr="00CC4D15">
        <w:rPr>
          <w:snapToGrid w:val="0"/>
          <w:kern w:val="18"/>
          <w:sz w:val="18"/>
          <w:szCs w:val="18"/>
          <w:lang w:val="ru-RU"/>
        </w:rPr>
        <w:t xml:space="preserve">Микронезия (Федеративные Штаты), </w:t>
      </w:r>
      <w:r w:rsidRPr="00CC4D15">
        <w:rPr>
          <w:snapToGrid w:val="0"/>
          <w:spacing w:val="-1"/>
          <w:kern w:val="18"/>
          <w:sz w:val="18"/>
          <w:szCs w:val="18"/>
          <w:lang w:val="ru-RU"/>
        </w:rPr>
        <w:t>Мозамбик, Монако, Мьянма, Намибия, Науру, Непал, Нигер, Никарагуа, Новая Зеландия, Пакистан, Панама, Папуа – Новая Гвинея, Парагвай, Перу, Польша, Республика Молдова, Румыния, Северная Македония, Сейшельские Острова, Сенегал, Сент-Китс и Невис, Сент-Лусия, Сербия, Словакия, Словения, Соединенное Королевство Великобритании и Северной Ирландии, Судан, Сьерра-Леоне, Таджикистан, Того, Тринидад и Тобаго, Тувалу, Туркменистан, Турция, Уганда, Уругвай, Фиджи, Филиппины, Хорватия, Чад, Чехия, Чили, Шри-Ланка, Эритрея, Эсватини, Южная Африка, Южный Судан, Япония.</w:t>
      </w:r>
    </w:p>
    <w:bookmarkStart w:id="24" w:name="_Hlk32234818"/>
    <w:bookmarkEnd w:id="24"/>
  </w:footnote>
  <w:footnote w:id="45">
    <w:p w14:paraId="33E78182"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bookmarkStart w:id="25" w:name="_Hlk32234818"/>
      <w:bookmarkEnd w:id="25"/>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Босния и Герцеговина, Ботсвана, Гайана, Демократическая Республика Конго, Доминиканская Республика, Камбоджа, Камерун, Корейская Народно-Демократическая Республика, Лаосская Народно-Демократическая Республика, Маврикий, Монголия, Ниуэ, Румыния, Самоа, Суринам, Тимор-Лешти, Тувалу, Эритрея.</w:t>
      </w:r>
    </w:p>
  </w:footnote>
  <w:footnote w:id="46">
    <w:p w14:paraId="33E78183" w14:textId="77777777" w:rsidR="00E94960" w:rsidRDefault="00E94960" w:rsidP="00E42C26">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Босния и Герцеговина, Ботсвана, Бурунди, Гайана, Индонезия, Коморские Острова, Либерия, Ливан, Маврикий, Малави, Мали, Мальдивские Острова, Марокко, Нигерия, Ниуэ, Палау, Республика Корея, Руанда, Суринам, Тимор-Лешти.</w:t>
      </w:r>
    </w:p>
  </w:footnote>
  <w:footnote w:id="47">
    <w:p w14:paraId="33E78184" w14:textId="77777777" w:rsidR="00E94960" w:rsidRDefault="00E94960" w:rsidP="00E42C26">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Афганистан, Бангладеш, Белиз, Конго, Непал, Перу, Сейшельские Острова, Сент-Китс и Невис, Сомали, Ямайка.</w:t>
      </w:r>
    </w:p>
  </w:footnote>
  <w:footnote w:id="48">
    <w:p w14:paraId="33E78185"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Бангладеш, Барбадос, Ботсвана, Бразилия, Бутан, Вьетнам, Гайана, Германия, Гренада, Грузия, Дания, Европейский союз, Египет, Зимбабве, Индонезия, Ирландия, Йемен, Кабо-Верде, Колумбия, Лаосская Народно-Демократическая Республика, Маврикий, Мальдивские Острова, Мальта, Мексика, Монако, Монголия, Мьянма, Нидерланды, Новая Зеландия, Норвегия, Папуа – Новая Гвинея, Парагвай, Республика Корея, Республика Молдова, Российская Федерация, Сальвадор, Сан-Томе и Принсипи, Сейшельские Острова, Сент-Винсент и Гренадины, Сент-Китс и Невис, Турция, Уганда, Уругвай, Черногория, Чили, Швейцария, Швеция, Шри-Ланка, Эфиопия, Ямайка, Япония.</w:t>
      </w:r>
    </w:p>
  </w:footnote>
  <w:footnote w:id="49">
    <w:p w14:paraId="33E78186"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Алжир, Антигуа и Барбуда, Аргентина, Армения, Бангладеш, Беларусь, Бельгия, Бурунди, Бутан, Гаити, Гамбия, Гватемала, Греция, Грузия, Доминиканская Республика, Индия, Иордания, Йемен, Камерун, Конго, Кувейт, Мавритания, Малави, Мали, Микронезия (Федеративные Штаты), Мозамбик, Монако, Намибия, Нигерия, Новая Зеландия, Объединенная Республика Танзания, Панама, Папуа – Новая Гвинея, Перу, Республика Корея Северная Македония, Сенегал, Сент-Китс и Невис, Сент-Лусия, Сингапур, Словения, Сомали, Тринидад и Тобаго, Турция, Уганда, Уругвай, Фиджи, Чили, Швейцария, Экваториальная Гвинея, Эстония, Южный Судан, Япония.</w:t>
      </w:r>
    </w:p>
  </w:footnote>
  <w:footnote w:id="50">
    <w:p w14:paraId="33E78187"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rStyle w:val="FootnoteReference"/>
          <w:snapToGrid w:val="0"/>
          <w:kern w:val="18"/>
          <w:u w:val="none"/>
          <w:vertAlign w:val="superscript"/>
          <w:lang w:val="ru-RU"/>
        </w:rPr>
        <w:t xml:space="preserve"> </w:t>
      </w:r>
      <w:r w:rsidRPr="00CC4D15">
        <w:rPr>
          <w:snapToGrid w:val="0"/>
          <w:kern w:val="18"/>
          <w:sz w:val="18"/>
          <w:szCs w:val="18"/>
          <w:lang w:val="ru-RU"/>
        </w:rPr>
        <w:t>Андорра, Антигуа и Барбуда, Армения, Беларусь, Белиз, Бельгия, Бурунди, Вануату, Гамбия, Гватемала, Доминика, Доминиканская Республика, Замбия, Индия, Иордания, Иран (Исламская Республика), Ирландия, Италия, Камбоджа, Камерун, Коморские Острова, Куба, Литва, Люксембург, Мальта, Намибия, Науру, Непал, Нигер, Нигерия, Пакистан, Перу, Республика Корея, Республика Молдова, Руанда, Румыния, Сан-Томе и Принсипи, Словакия, Сомали, Суринам, Тимор-Лешти, Того, Тувалу, Туркменистан, Финляндия, Франция, Хорватия, Эквадор, Экваториальная Гвинея, Эсватини, Эстония, Япония.</w:t>
      </w:r>
    </w:p>
  </w:footnote>
  <w:footnote w:id="51">
    <w:p w14:paraId="33E78188"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Алжир, Ангола, Бангладеш, Белиз, Боливия (Многонациональное Государство), Буркина-Фасо, Бурунди, Бутан, Венесуэла (Боливарианская Республика), Вьетнам, Гаити, Гондурас, Доминиканская Республика, Ирак, Кирибати, Китай, Кот-д’Ивуар, Куба, Малави, Мексика, Микронезия (Федеративные Штаты), Намибия, Нигер, Нидерланды, Ниуэ, Новая Зеландия, Объединенная Республика Танзания, Папуа – Новая Гвинея, Перу, Руанда, Сент-Винсент и Гренадины, Словакия, Словения, Соединенное Королевство Великобритании и Северной Ирландии, Таиланд, Тимор-Лешти, Тринидад и Тобаго, Турция, Уганда, Филиппины, Эквадор, Экваториальная Гвинея, Эстония, Южная Африка.</w:t>
      </w:r>
    </w:p>
  </w:footnote>
  <w:footnote w:id="52">
    <w:p w14:paraId="33E78189" w14:textId="77777777" w:rsidR="00E94960" w:rsidRDefault="00E94960" w:rsidP="00B463EC">
      <w:pPr>
        <w:pStyle w:val="FootnoteText"/>
        <w:ind w:firstLine="0"/>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Информация о включении вопросов биоразнообразия в национальные планы развития или аналогичные документы учитывает информацию, полученную от Сторон после 14-го совещания Конференции Сторон в ответ на запросы секретариата, направленные по электронной почте (пункт 22 решения 14/1), а также в ответ на уведомление 2020-019 от 14 февраля 2020 года, посредством которого национальные координационные центры КБР, координационные центры Картахенского протокола, координационные центры ДГРСИВ, координационные центры ВОНТТК и коренные народы и местные общины и соответствующие организации были проинформированы о том, что проект настоящего документа будет доступен на веб-сайте Конвенции для коллегиальной оценки до 6 марта 2020 года. </w:t>
      </w:r>
    </w:p>
  </w:footnote>
  <w:footnote w:id="53">
    <w:p w14:paraId="33E7818A"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Цель 7 касается гарантии прав природы и содействия экологической устойчивости.</w:t>
      </w:r>
    </w:p>
  </w:footnote>
  <w:footnote w:id="54">
    <w:p w14:paraId="33E7818B"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Андорра, Армения, Бахрейн, Бельгия, Ботсвана, Гана, Демократическая Республика Конго, Египет, Замбия, Зимбабве, Индонезия, Иран (Исламская Республика), Ирландия, Италия, Кабо-Верде, Камерун, Катар, Колумбия, Коморские Острова, Кувейт, Маврикий, Малави, Нигерия, Пакистан, Румыния, Сан-Марино, Северная Македония, Сент-Лусия, Соединенное Королевство Великобритании и Северной Ирландии, Соломоновы Острова, Фиджи, Финляндия, Франция, Черногория, Чили, Южная Африка, Южный Судан, Ямайка.</w:t>
      </w:r>
    </w:p>
  </w:footnote>
  <w:footnote w:id="55">
    <w:p w14:paraId="33E7818C"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Белиз, Бельгия, Вануату, Европейский союз, Ирландия, Испания, Кыргызстан, Лаосская Народно-Демократическая Республика, Люксембург, Мавритания, Марокко, Мьянма, Нигер, Папуа – Новая Гвинея, Республика Корея, Румыния, Сейшельские Острова, Сербия, Тимор-Лешти, Финляндия, Франция, Черногория, Чехия, Швейцария, Эстония, Эфиопия, Южная Африка.</w:t>
      </w:r>
    </w:p>
  </w:footnote>
  <w:footnote w:id="56">
    <w:p w14:paraId="33E7818D" w14:textId="77777777" w:rsidR="00E94960" w:rsidRDefault="00E94960" w:rsidP="00B463EC">
      <w:pPr>
        <w:pStyle w:val="FootnoteText"/>
        <w:ind w:firstLine="0"/>
      </w:pPr>
      <w:r w:rsidRPr="00CC4D15">
        <w:rPr>
          <w:rStyle w:val="FootnoteReference"/>
          <w:snapToGrid w:val="0"/>
          <w:kern w:val="18"/>
          <w:u w:val="none"/>
          <w:vertAlign w:val="superscript"/>
          <w:lang w:val="ru-RU"/>
        </w:rPr>
        <w:footnoteRef/>
      </w:r>
      <w:r w:rsidRPr="00CC4D15">
        <w:rPr>
          <w:rStyle w:val="FootnoteReference"/>
          <w:snapToGrid w:val="0"/>
          <w:kern w:val="18"/>
          <w:u w:val="none"/>
          <w:vertAlign w:val="superscript"/>
          <w:lang w:val="ru-RU"/>
        </w:rPr>
        <w:t xml:space="preserve"> </w:t>
      </w:r>
      <w:r w:rsidRPr="00CC4D15">
        <w:rPr>
          <w:snapToGrid w:val="0"/>
          <w:kern w:val="18"/>
          <w:sz w:val="18"/>
          <w:szCs w:val="18"/>
          <w:lang w:val="ru-RU"/>
        </w:rPr>
        <w:t xml:space="preserve">Информация о включении вопросов биоразнообразия в планы устойчивого развития или аналогичные документы учитывает информацию, полученную от Сторон после 14-го совещания Конференции Сторон в ответ на запросы секретариата, направленные по электронной почте (пункт 22 решения 14/1). </w:t>
      </w:r>
    </w:p>
  </w:footnote>
  <w:footnote w:id="57">
    <w:p w14:paraId="33E7818E"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Ангола, Антигуа и Барбуда, Афганистан, Бельгия, Бенин, Боливия (Многонациональное Государство), Ботсвана, Буркина-Фасо, Бурунди, Бутан, Гаити, Гайана, Гамбия, Гвинея, Грузия, Индия, Италия, Йемен, Кабо-Верде, Камбоджа, Китай, Коморские Острова, Конго, Кот-д'Ивуар, Лаосская Народно-Демократическая Республика, Мадагаскар, Мали, Марокко, Намибия, Нигер, Нигерия, Никарагуа, Объединенная Республика Танзания, Папуа – Новая Гвинея, Перу, Республика Молдова, Руанда, Северная Македония, Сент-Китс и Невис, Сент-Лусия, Соломоновы Острова, Судан, Того, Тринидад и Тобаго, Уганда, Фиджи, Филиппины, Финляндия, Экваториальная Гвинея, Эфиопия, Южная Африка, Южный Судан.</w:t>
      </w:r>
    </w:p>
  </w:footnote>
  <w:footnote w:id="58">
    <w:p w14:paraId="33E7818F" w14:textId="77777777" w:rsidR="00E94960" w:rsidRDefault="00E94960" w:rsidP="00845882">
      <w:pPr>
        <w:pStyle w:val="FootnoteText"/>
        <w:ind w:firstLine="0"/>
      </w:pPr>
      <w:r w:rsidRPr="00CC4D15">
        <w:rPr>
          <w:rStyle w:val="FootnoteReference"/>
          <w:snapToGrid w:val="0"/>
          <w:kern w:val="18"/>
          <w:u w:val="none"/>
          <w:vertAlign w:val="superscript"/>
          <w:lang w:val="ru-RU"/>
        </w:rPr>
        <w:footnoteRef/>
      </w:r>
      <w:r w:rsidRPr="00CC4D15">
        <w:rPr>
          <w:rStyle w:val="FootnoteReference"/>
          <w:snapToGrid w:val="0"/>
          <w:kern w:val="18"/>
          <w:u w:val="none"/>
          <w:vertAlign w:val="superscript"/>
          <w:lang w:val="ru-RU"/>
        </w:rPr>
        <w:t xml:space="preserve"> </w:t>
      </w:r>
      <w:r w:rsidRPr="00CC4D15">
        <w:rPr>
          <w:snapToGrid w:val="0"/>
          <w:kern w:val="18"/>
          <w:sz w:val="18"/>
          <w:szCs w:val="18"/>
          <w:lang w:val="ru-RU"/>
        </w:rPr>
        <w:t xml:space="preserve">Информация о Сторонах, упоминающих взаимосвязи между биоразнообразием и искоренением нищеты, учитывает информацию, полученную от Сторон после 14-го совещания Конференции Сторон в ответ на запросы секретариата, направленные по электронной почте (пункт 22 решения 14/1). </w:t>
      </w:r>
    </w:p>
  </w:footnote>
  <w:footnote w:id="59">
    <w:p w14:paraId="33E78190"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Австрия, Вануату, Ирландия, Лаосская Народно-Демократическая Республика, Маврикий, Мексика, Новая Зеландия, Перу, Республика Корея, Соединенное Королевство Великобритании и Северной Ирландии, Япония.</w:t>
      </w:r>
    </w:p>
  </w:footnote>
  <w:footnote w:id="60">
    <w:p w14:paraId="33E78191"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w:t>
      </w:r>
      <w:hyperlink r:id="rId2" w:history="1">
        <w:r w:rsidRPr="00CC4D15">
          <w:rPr>
            <w:rStyle w:val="Hyperlink"/>
            <w:snapToGrid w:val="0"/>
            <w:kern w:val="18"/>
            <w:sz w:val="18"/>
            <w:szCs w:val="18"/>
            <w:lang w:val="ru-RU"/>
          </w:rPr>
          <w:t>https://www.cbd.int/nbsap/related-info/sbsap/default.shtml</w:t>
        </w:r>
      </w:hyperlink>
    </w:p>
  </w:footnote>
  <w:footnote w:id="61">
    <w:p w14:paraId="33E78192"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Босния и Герцеговина, Ирландия, Китай, Корейская Народно-Демократическая Республика, Малави, Мьянма, Непал, Нигерия, Российская Федерация, Соединенное Королевство Великобритании и Северной Ирландии, Украина.</w:t>
      </w:r>
    </w:p>
  </w:footnote>
  <w:footnote w:id="62">
    <w:p w14:paraId="33E78193"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Бельгия, Боливия (Многонациональное Государство), Бурунди, Демократическая Республика Конго, Зимбабве, Индия, Камбоджа, Камерун, Канада, Лаосская Народно-Демократическая Республика, Малави, Малайзия, Мальта, Микронезия (Федеративные Штаты), Нигерия, Норвегия, Республика Корея, Российская Федерация, Северная Македония, Соединенное Королевство Великобритании и Северной Ирландии, Судан, Таиланд, Франция, Швейцария, Южный Судан.</w:t>
      </w:r>
    </w:p>
  </w:footnote>
  <w:footnote w:id="63">
    <w:p w14:paraId="33E78194" w14:textId="77777777" w:rsidR="00E94960" w:rsidRDefault="00E94960" w:rsidP="00D823A0">
      <w:pPr>
        <w:pStyle w:val="FootnoteText"/>
        <w:suppressLineNumbers/>
        <w:suppressAutoHyphens/>
        <w:kinsoku w:val="0"/>
        <w:overflowPunct w:val="0"/>
        <w:autoSpaceDE w:val="0"/>
        <w:autoSpaceDN w:val="0"/>
        <w:adjustRightInd w:val="0"/>
        <w:snapToGrid w:val="0"/>
        <w:ind w:firstLine="0"/>
        <w:jc w:val="left"/>
      </w:pPr>
      <w:r w:rsidRPr="00CC4D15">
        <w:rPr>
          <w:rStyle w:val="FootnoteReference"/>
          <w:snapToGrid w:val="0"/>
          <w:kern w:val="18"/>
          <w:u w:val="none"/>
          <w:vertAlign w:val="superscript"/>
          <w:lang w:val="ru-RU"/>
        </w:rPr>
        <w:footnoteRef/>
      </w:r>
      <w:r w:rsidRPr="00CC4D15">
        <w:rPr>
          <w:snapToGrid w:val="0"/>
          <w:kern w:val="18"/>
          <w:sz w:val="18"/>
          <w:szCs w:val="18"/>
          <w:lang w:val="ru-RU"/>
        </w:rPr>
        <w:t xml:space="preserve"> Австралия, Азербайджан, Ангола, Бангладеш, Бахрейн, Боливия (Многонациональное Государство), Бразилия, Буркина-Фасо, Бурунди, Бутан, Вануату, Гаити, Гайана, Гамбия, Гана, Гватемала, Гвинея, Гвинея-Бисау, Гондурас, Грузия, Джибути, Доминиканская Республика, Египет, Зимбабве, Индия, Ирак, Йемен, Кабо-Верде, Камбоджа, Камерун, Кирибати, Конго, Коморские Острова, Коста-Рика, Куба, Лаосская Народно-Демократическая Республика, Либерия, Мавритания, Мадагаскар, Малави, Мали, Марокко, Мексика, Микронезия (Федеративные Штаты), Мозамбик, Мьянма, Намибия, Науру, Непал, Нигер, Нигерия, Никарагуа, Объединенная Республика Танзания, Пакистан, Панама, Папуа – Новая Гвинея, Парагвай, Перу, Руанда, Сенегал, Сент-Китс и Невис, Сент-Лусия, Соломоновы Острова, Судан, Сьерра-Леоне, Таиланд, Тимор-Лешти, Того, Тувалу, Тунис, Уганда, Уругвай, Фиджи, Филиппины, Чад, Эквадор, Экваториальная Гвинея, Эритрея, Эфиопия, Южный Судан, Ямайка, Япония.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814F" w14:textId="77777777" w:rsidR="00E94960" w:rsidRPr="00B012FB" w:rsidRDefault="00E94960" w:rsidP="00B012FB">
    <w:pPr>
      <w:pStyle w:val="Header"/>
      <w:tabs>
        <w:tab w:val="clear" w:pos="4320"/>
        <w:tab w:val="clear" w:pos="8640"/>
      </w:tabs>
      <w:kinsoku w:val="0"/>
      <w:overflowPunct w:val="0"/>
      <w:autoSpaceDE w:val="0"/>
      <w:autoSpaceDN w:val="0"/>
      <w:jc w:val="left"/>
      <w:rPr>
        <w:noProof/>
        <w:kern w:val="22"/>
      </w:rPr>
    </w:pPr>
    <w:r>
      <w:rPr>
        <w:noProof/>
        <w:kern w:val="22"/>
      </w:rPr>
      <w:t>CBD/COP/15/9/Add.1</w:t>
    </w:r>
  </w:p>
  <w:p w14:paraId="33E78150" w14:textId="77777777" w:rsidR="00E94960" w:rsidRPr="00B012FB" w:rsidRDefault="00E94960" w:rsidP="008E4736">
    <w:pPr>
      <w:pStyle w:val="Header"/>
      <w:tabs>
        <w:tab w:val="clear" w:pos="4320"/>
        <w:tab w:val="clear" w:pos="8640"/>
      </w:tabs>
      <w:kinsoku w:val="0"/>
      <w:overflowPunct w:val="0"/>
      <w:autoSpaceDE w:val="0"/>
      <w:autoSpaceDN w:val="0"/>
      <w:spacing w:after="240"/>
      <w:jc w:val="left"/>
      <w:rPr>
        <w:noProof/>
        <w:kern w:val="22"/>
      </w:rPr>
    </w:pPr>
    <w:r>
      <w:rPr>
        <w:noProof/>
        <w:kern w:val="22"/>
        <w:lang w:val="ru-RU"/>
      </w:rPr>
      <w:t>Страница</w:t>
    </w:r>
    <w:r w:rsidRPr="00B012FB">
      <w:rPr>
        <w:noProof/>
        <w:kern w:val="22"/>
      </w:rPr>
      <w:t xml:space="preserv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8</w:t>
    </w:r>
    <w:r w:rsidRPr="00B012FB">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8151" w14:textId="77777777" w:rsidR="00E94960" w:rsidRPr="00B012FB" w:rsidRDefault="00E94960" w:rsidP="00B012FB">
    <w:pPr>
      <w:pStyle w:val="Header"/>
      <w:tabs>
        <w:tab w:val="clear" w:pos="4320"/>
        <w:tab w:val="clear" w:pos="8640"/>
      </w:tabs>
      <w:kinsoku w:val="0"/>
      <w:overflowPunct w:val="0"/>
      <w:autoSpaceDE w:val="0"/>
      <w:autoSpaceDN w:val="0"/>
      <w:jc w:val="right"/>
      <w:rPr>
        <w:noProof/>
        <w:kern w:val="22"/>
      </w:rPr>
    </w:pPr>
    <w:r>
      <w:rPr>
        <w:noProof/>
        <w:kern w:val="22"/>
        <w:lang w:val="en-US"/>
      </w:rPr>
      <w:t>CBD/SBI/3/2/Add.1</w:t>
    </w:r>
  </w:p>
  <w:p w14:paraId="33E78152" w14:textId="77777777" w:rsidR="00E94960" w:rsidRPr="00B012FB" w:rsidRDefault="00E94960" w:rsidP="008E4736">
    <w:pPr>
      <w:pStyle w:val="Header"/>
      <w:tabs>
        <w:tab w:val="clear" w:pos="4320"/>
        <w:tab w:val="clear" w:pos="8640"/>
      </w:tabs>
      <w:kinsoku w:val="0"/>
      <w:overflowPunct w:val="0"/>
      <w:autoSpaceDE w:val="0"/>
      <w:autoSpaceDN w:val="0"/>
      <w:spacing w:after="240"/>
      <w:jc w:val="right"/>
      <w:rPr>
        <w:noProof/>
        <w:kern w:val="22"/>
      </w:rPr>
    </w:pPr>
    <w:r>
      <w:rPr>
        <w:noProof/>
        <w:kern w:val="22"/>
        <w:lang w:val="ru-RU"/>
      </w:rPr>
      <w:t>Страница</w:t>
    </w:r>
    <w:r w:rsidRPr="00B012FB">
      <w:rPr>
        <w:noProof/>
        <w:kern w:val="22"/>
      </w:rPr>
      <w:t xml:space="preserv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11</w:t>
    </w:r>
    <w:r w:rsidRPr="00B012FB">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3EE"/>
    <w:multiLevelType w:val="hybridMultilevel"/>
    <w:tmpl w:val="4028B136"/>
    <w:lvl w:ilvl="0" w:tplc="88A6ECF0">
      <w:start w:val="1"/>
      <w:numFmt w:val="lowerLetter"/>
      <w:lvlText w:val=" %1)"/>
      <w:lvlJc w:val="left"/>
      <w:pPr>
        <w:tabs>
          <w:tab w:val="num" w:pos="1440"/>
        </w:tabs>
        <w:ind w:left="1440" w:hanging="360"/>
      </w:pPr>
      <w:rPr>
        <w:rFonts w:hint="default"/>
        <w:b w:val="0"/>
        <w:bCs w:val="0"/>
        <w:i w:val="0"/>
        <w:i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ED17E3"/>
    <w:multiLevelType w:val="multilevel"/>
    <w:tmpl w:val="D5581424"/>
    <w:lvl w:ilvl="0">
      <w:start w:val="1"/>
      <w:numFmt w:val="lowerLetter"/>
      <w:lvlText w:val=" %1)"/>
      <w:lvlJc w:val="left"/>
      <w:pPr>
        <w:tabs>
          <w:tab w:val="num" w:pos="1080"/>
        </w:tabs>
        <w:ind w:left="720"/>
      </w:pPr>
      <w:rPr>
        <w:rFonts w:hint="default"/>
        <w:b w:val="0"/>
        <w:bCs w:val="0"/>
        <w:i w:val="0"/>
        <w:iCs w:val="0"/>
        <w:color w:val="auto"/>
        <w:sz w:val="22"/>
        <w:szCs w:val="22"/>
      </w:rPr>
    </w:lvl>
    <w:lvl w:ilvl="1">
      <w:start w:val="1"/>
      <w:numFmt w:val="lowerLetter"/>
      <w:lvlText w:val="(%2)"/>
      <w:lvlJc w:val="left"/>
      <w:pPr>
        <w:tabs>
          <w:tab w:val="num" w:pos="2160"/>
        </w:tabs>
        <w:ind w:left="720" w:firstLine="720"/>
      </w:pPr>
      <w:rPr>
        <w:rFonts w:hint="default"/>
        <w:b w:val="0"/>
        <w:bCs w:val="0"/>
        <w:i w:val="0"/>
        <w:iCs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cs="Symbol" w:hint="default"/>
        <w:color w:val="auto"/>
        <w:sz w:val="28"/>
        <w:szCs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55A03068"/>
    <w:lvl w:ilvl="0">
      <w:start w:val="1"/>
      <w:numFmt w:val="lowerLetter"/>
      <w:lvlText w:val=" %1)"/>
      <w:lvlJc w:val="left"/>
      <w:pPr>
        <w:tabs>
          <w:tab w:val="num" w:pos="1080"/>
        </w:tabs>
        <w:ind w:left="1080" w:hanging="360"/>
      </w:pPr>
      <w:rPr>
        <w:rFonts w:hint="default"/>
        <w:b w:val="0"/>
        <w:bCs w:val="0"/>
        <w:i w:val="0"/>
        <w:iCs w:val="0"/>
        <w:sz w:val="22"/>
        <w:szCs w:val="22"/>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1C3815E4"/>
    <w:lvl w:ilvl="0" w:tplc="091CB17C">
      <w:start w:val="1"/>
      <w:numFmt w:val="lowerLetter"/>
      <w:pStyle w:val="TOC9"/>
      <w:lvlText w:val="(%1)"/>
      <w:lvlJc w:val="left"/>
      <w:pPr>
        <w:ind w:left="1636" w:hanging="360"/>
      </w:pPr>
      <w:rPr>
        <w:rFonts w:ascii="Times New Roman" w:eastAsia="Times New Roman" w:hAnsi="Times New Roman"/>
      </w:rPr>
    </w:lvl>
    <w:lvl w:ilvl="1" w:tplc="0C0A0019">
      <w:start w:val="1"/>
      <w:numFmt w:val="lowerLetter"/>
      <w:lvlText w:val="%2."/>
      <w:lvlJc w:val="left"/>
      <w:pPr>
        <w:ind w:left="2070" w:hanging="360"/>
      </w:pPr>
    </w:lvl>
    <w:lvl w:ilvl="2" w:tplc="0C0A001B">
      <w:start w:val="1"/>
      <w:numFmt w:val="lowerRoman"/>
      <w:lvlText w:val="%3."/>
      <w:lvlJc w:val="right"/>
      <w:pPr>
        <w:ind w:left="2790" w:hanging="180"/>
      </w:pPr>
    </w:lvl>
    <w:lvl w:ilvl="3" w:tplc="0C0A000F">
      <w:start w:val="1"/>
      <w:numFmt w:val="decimal"/>
      <w:lvlText w:val="%4."/>
      <w:lvlJc w:val="left"/>
      <w:pPr>
        <w:ind w:left="3510" w:hanging="360"/>
      </w:pPr>
    </w:lvl>
    <w:lvl w:ilvl="4" w:tplc="0C0A0019">
      <w:start w:val="1"/>
      <w:numFmt w:val="lowerLetter"/>
      <w:lvlText w:val="%5."/>
      <w:lvlJc w:val="left"/>
      <w:pPr>
        <w:ind w:left="4230" w:hanging="360"/>
      </w:pPr>
    </w:lvl>
    <w:lvl w:ilvl="5" w:tplc="0C0A001B">
      <w:start w:val="1"/>
      <w:numFmt w:val="lowerRoman"/>
      <w:lvlText w:val="%6."/>
      <w:lvlJc w:val="right"/>
      <w:pPr>
        <w:ind w:left="4950" w:hanging="180"/>
      </w:pPr>
    </w:lvl>
    <w:lvl w:ilvl="6" w:tplc="0C0A000F">
      <w:start w:val="1"/>
      <w:numFmt w:val="decimal"/>
      <w:lvlText w:val="%7."/>
      <w:lvlJc w:val="left"/>
      <w:pPr>
        <w:ind w:left="5670" w:hanging="360"/>
      </w:pPr>
    </w:lvl>
    <w:lvl w:ilvl="7" w:tplc="0C0A0019">
      <w:start w:val="1"/>
      <w:numFmt w:val="lowerLetter"/>
      <w:lvlText w:val="%8."/>
      <w:lvlJc w:val="left"/>
      <w:pPr>
        <w:ind w:left="6390" w:hanging="360"/>
      </w:pPr>
    </w:lvl>
    <w:lvl w:ilvl="8" w:tplc="0C0A001B">
      <w:start w:val="1"/>
      <w:numFmt w:val="lowerRoman"/>
      <w:lvlText w:val="%9."/>
      <w:lvlJc w:val="right"/>
      <w:pPr>
        <w:ind w:left="7110" w:hanging="180"/>
      </w:pPr>
    </w:lvl>
  </w:abstractNum>
  <w:abstractNum w:abstractNumId="4" w15:restartNumberingAfterBreak="0">
    <w:nsid w:val="1C7E4E66"/>
    <w:multiLevelType w:val="hybridMultilevel"/>
    <w:tmpl w:val="C682DBBE"/>
    <w:lvl w:ilvl="0" w:tplc="88A6ECF0">
      <w:start w:val="1"/>
      <w:numFmt w:val="lowerLetter"/>
      <w:lvlText w:val=" %1)"/>
      <w:lvlJc w:val="left"/>
      <w:pPr>
        <w:ind w:left="1636" w:hanging="360"/>
      </w:pPr>
      <w:rPr>
        <w:rFonts w:hint="default"/>
        <w:b w:val="0"/>
        <w:bCs w:val="0"/>
        <w:sz w:val="22"/>
        <w:szCs w:val="22"/>
      </w:rPr>
    </w:lvl>
    <w:lvl w:ilvl="1" w:tplc="0C0A0019">
      <w:start w:val="1"/>
      <w:numFmt w:val="lowerLetter"/>
      <w:lvlText w:val="%2."/>
      <w:lvlJc w:val="left"/>
      <w:pPr>
        <w:ind w:left="2070" w:hanging="360"/>
      </w:pPr>
    </w:lvl>
    <w:lvl w:ilvl="2" w:tplc="0C0A001B">
      <w:start w:val="1"/>
      <w:numFmt w:val="lowerRoman"/>
      <w:lvlText w:val="%3."/>
      <w:lvlJc w:val="right"/>
      <w:pPr>
        <w:ind w:left="2790" w:hanging="180"/>
      </w:pPr>
    </w:lvl>
    <w:lvl w:ilvl="3" w:tplc="0C0A000F">
      <w:start w:val="1"/>
      <w:numFmt w:val="decimal"/>
      <w:lvlText w:val="%4."/>
      <w:lvlJc w:val="left"/>
      <w:pPr>
        <w:ind w:left="3510" w:hanging="360"/>
      </w:pPr>
    </w:lvl>
    <w:lvl w:ilvl="4" w:tplc="0C0A0019">
      <w:start w:val="1"/>
      <w:numFmt w:val="lowerLetter"/>
      <w:lvlText w:val="%5."/>
      <w:lvlJc w:val="left"/>
      <w:pPr>
        <w:ind w:left="4230" w:hanging="360"/>
      </w:pPr>
    </w:lvl>
    <w:lvl w:ilvl="5" w:tplc="0C0A001B">
      <w:start w:val="1"/>
      <w:numFmt w:val="lowerRoman"/>
      <w:lvlText w:val="%6."/>
      <w:lvlJc w:val="right"/>
      <w:pPr>
        <w:ind w:left="4950" w:hanging="180"/>
      </w:pPr>
    </w:lvl>
    <w:lvl w:ilvl="6" w:tplc="0C0A000F">
      <w:start w:val="1"/>
      <w:numFmt w:val="decimal"/>
      <w:lvlText w:val="%7."/>
      <w:lvlJc w:val="left"/>
      <w:pPr>
        <w:ind w:left="5670" w:hanging="360"/>
      </w:pPr>
    </w:lvl>
    <w:lvl w:ilvl="7" w:tplc="0C0A0019">
      <w:start w:val="1"/>
      <w:numFmt w:val="lowerLetter"/>
      <w:lvlText w:val="%8."/>
      <w:lvlJc w:val="left"/>
      <w:pPr>
        <w:ind w:left="6390" w:hanging="360"/>
      </w:pPr>
    </w:lvl>
    <w:lvl w:ilvl="8" w:tplc="0C0A001B">
      <w:start w:val="1"/>
      <w:numFmt w:val="lowerRoman"/>
      <w:lvlText w:val="%9."/>
      <w:lvlJc w:val="right"/>
      <w:pPr>
        <w:ind w:left="711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A4A3598"/>
    <w:multiLevelType w:val="hybridMultilevel"/>
    <w:tmpl w:val="0D188EF6"/>
    <w:lvl w:ilvl="0" w:tplc="3188AFB8">
      <w:start w:val="10"/>
      <w:numFmt w:val="decimal"/>
      <w:lvlText w:val="%1."/>
      <w:lvlJc w:val="left"/>
      <w:pPr>
        <w:ind w:left="720" w:hanging="360"/>
      </w:pPr>
      <w:rPr>
        <w:b w:val="0"/>
        <w:bCs w:val="0"/>
      </w:rPr>
    </w:lvl>
    <w:lvl w:ilvl="1" w:tplc="88A6ECF0">
      <w:start w:val="1"/>
      <w:numFmt w:val="lowerLetter"/>
      <w:lvlText w:val=" %2)"/>
      <w:lvlJc w:val="left"/>
      <w:pPr>
        <w:ind w:left="1890" w:hanging="360"/>
      </w:pPr>
      <w:rPr>
        <w:rFonts w:hint="default"/>
        <w:b w:val="0"/>
        <w:bCs w:val="0"/>
        <w:sz w:val="22"/>
        <w:szCs w:val="22"/>
      </w:rPr>
    </w:lvl>
    <w:lvl w:ilvl="2" w:tplc="4BE29E5A">
      <w:start w:val="1"/>
      <w:numFmt w:val="lowerLetter"/>
      <w:lvlText w:val="(%3)"/>
      <w:lvlJc w:val="right"/>
      <w:pPr>
        <w:ind w:left="2160" w:hanging="180"/>
      </w:pPr>
      <w:rPr>
        <w:rFonts w:ascii="Times New Roman" w:eastAsia="Times New Roman" w:hAnsi="Times New Roman"/>
      </w:rPr>
    </w:lvl>
    <w:lvl w:ilvl="3" w:tplc="5B16B29C">
      <w:start w:val="1"/>
      <w:numFmt w:val="lowerLetter"/>
      <w:lvlText w:val="(%4)"/>
      <w:lvlJc w:val="left"/>
      <w:pPr>
        <w:ind w:left="2880" w:hanging="360"/>
      </w:pPr>
      <w:rPr>
        <w:rFonts w:hint="default"/>
        <w:b w:val="0"/>
        <w:bCs w:val="0"/>
        <w:i w:val="0"/>
        <w:iCs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ABA14CF"/>
    <w:multiLevelType w:val="hybridMultilevel"/>
    <w:tmpl w:val="8D1E2A2E"/>
    <w:lvl w:ilvl="0" w:tplc="3188AFB8">
      <w:start w:val="10"/>
      <w:numFmt w:val="decimal"/>
      <w:lvlText w:val="%1."/>
      <w:lvlJc w:val="left"/>
      <w:pPr>
        <w:ind w:left="720" w:hanging="360"/>
      </w:pPr>
      <w:rPr>
        <w:b w:val="0"/>
        <w:bCs w:val="0"/>
      </w:rPr>
    </w:lvl>
    <w:lvl w:ilvl="1" w:tplc="88A6ECF0">
      <w:start w:val="1"/>
      <w:numFmt w:val="lowerLetter"/>
      <w:lvlText w:val=" %2)"/>
      <w:lvlJc w:val="left"/>
      <w:pPr>
        <w:ind w:left="1440" w:hanging="360"/>
      </w:pPr>
      <w:rPr>
        <w:rFonts w:hint="default"/>
        <w:b w:val="0"/>
        <w:bCs w:val="0"/>
        <w:sz w:val="22"/>
        <w:szCs w:val="22"/>
      </w:rPr>
    </w:lvl>
    <w:lvl w:ilvl="2" w:tplc="4BE29E5A">
      <w:start w:val="1"/>
      <w:numFmt w:val="lowerLetter"/>
      <w:lvlText w:val="(%3)"/>
      <w:lvlJc w:val="right"/>
      <w:pPr>
        <w:ind w:left="2160" w:hanging="180"/>
      </w:pPr>
      <w:rPr>
        <w:rFonts w:ascii="Times New Roman" w:eastAsia="Times New Roman" w:hAnsi="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97346CF"/>
    <w:multiLevelType w:val="hybridMultilevel"/>
    <w:tmpl w:val="DFBE32A8"/>
    <w:lvl w:ilvl="0" w:tplc="3188AFB8">
      <w:start w:val="10"/>
      <w:numFmt w:val="decimal"/>
      <w:lvlText w:val="%1."/>
      <w:lvlJc w:val="left"/>
      <w:pPr>
        <w:ind w:left="720" w:hanging="360"/>
      </w:pPr>
      <w:rPr>
        <w:b w:val="0"/>
        <w:bCs w:val="0"/>
      </w:rPr>
    </w:lvl>
    <w:lvl w:ilvl="1" w:tplc="88A6ECF0">
      <w:start w:val="1"/>
      <w:numFmt w:val="lowerLetter"/>
      <w:lvlText w:val=" %2)"/>
      <w:lvlJc w:val="left"/>
      <w:pPr>
        <w:ind w:left="1890" w:hanging="360"/>
      </w:pPr>
      <w:rPr>
        <w:rFonts w:hint="default"/>
        <w:b w:val="0"/>
        <w:bCs w:val="0"/>
        <w:sz w:val="22"/>
        <w:szCs w:val="22"/>
      </w:rPr>
    </w:lvl>
    <w:lvl w:ilvl="2" w:tplc="4BE29E5A">
      <w:start w:val="1"/>
      <w:numFmt w:val="lowerLetter"/>
      <w:lvlText w:val="(%3)"/>
      <w:lvlJc w:val="right"/>
      <w:pPr>
        <w:ind w:left="2160" w:hanging="180"/>
      </w:pPr>
      <w:rPr>
        <w:rFonts w:ascii="Times New Roman" w:eastAsia="Times New Roman" w:hAnsi="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B022AA6"/>
    <w:multiLevelType w:val="hybridMultilevel"/>
    <w:tmpl w:val="BB88FAD6"/>
    <w:lvl w:ilvl="0" w:tplc="3188AFB8">
      <w:start w:val="10"/>
      <w:numFmt w:val="decimal"/>
      <w:lvlText w:val="%1."/>
      <w:lvlJc w:val="left"/>
      <w:pPr>
        <w:ind w:left="720" w:hanging="360"/>
      </w:pPr>
      <w:rPr>
        <w:b w:val="0"/>
        <w:bCs w:val="0"/>
      </w:rPr>
    </w:lvl>
    <w:lvl w:ilvl="1" w:tplc="9DDA1FD8">
      <w:start w:val="1"/>
      <w:numFmt w:val="lowerLetter"/>
      <w:lvlText w:val=" %2)"/>
      <w:lvlJc w:val="left"/>
      <w:pPr>
        <w:ind w:left="1890" w:hanging="360"/>
      </w:pPr>
      <w:rPr>
        <w:rFonts w:hint="default"/>
        <w:b w:val="0"/>
        <w:bCs w:val="0"/>
        <w:sz w:val="22"/>
        <w:szCs w:val="22"/>
      </w:rPr>
    </w:lvl>
    <w:lvl w:ilvl="2" w:tplc="4BE29E5A">
      <w:start w:val="1"/>
      <w:numFmt w:val="lowerLetter"/>
      <w:lvlText w:val="(%3)"/>
      <w:lvlJc w:val="right"/>
      <w:pPr>
        <w:ind w:left="2160" w:hanging="180"/>
      </w:pPr>
      <w:rPr>
        <w:rFonts w:ascii="Times New Roman" w:eastAsia="Times New Roman" w:hAnsi="Times New Roman"/>
      </w:rPr>
    </w:lvl>
    <w:lvl w:ilvl="3" w:tplc="C50837C2">
      <w:start w:val="10"/>
      <w:numFmt w:val="bullet"/>
      <w:lvlText w:val="-"/>
      <w:lvlJc w:val="left"/>
      <w:pPr>
        <w:ind w:left="2880" w:hanging="360"/>
      </w:pPr>
      <w:rPr>
        <w:rFonts w:ascii="Times New Roman" w:eastAsia="Times New Roman" w:hAnsi="Times New Roman"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425A74"/>
    <w:multiLevelType w:val="hybridMultilevel"/>
    <w:tmpl w:val="235A821E"/>
    <w:lvl w:ilvl="0" w:tplc="0C0C0015">
      <w:start w:val="1"/>
      <w:numFmt w:val="upperLetter"/>
      <w:lvlText w:val="%1."/>
      <w:lvlJc w:val="left"/>
      <w:pPr>
        <w:ind w:left="720" w:hanging="360"/>
      </w:pPr>
      <w:rPr>
        <w:rFonts w:hint="default"/>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14" w15:restartNumberingAfterBreak="0">
    <w:nsid w:val="630C1533"/>
    <w:multiLevelType w:val="hybridMultilevel"/>
    <w:tmpl w:val="B590C9C2"/>
    <w:lvl w:ilvl="0" w:tplc="88A6ECF0">
      <w:start w:val="1"/>
      <w:numFmt w:val="lowerLetter"/>
      <w:lvlText w:val=" %1)"/>
      <w:lvlJc w:val="left"/>
      <w:pPr>
        <w:ind w:left="720" w:hanging="360"/>
      </w:pPr>
      <w:rPr>
        <w:rFonts w:hint="default"/>
        <w:b w:val="0"/>
        <w:bCs w:val="0"/>
        <w:sz w:val="22"/>
        <w:szCs w:val="22"/>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5" w15:restartNumberingAfterBreak="0">
    <w:nsid w:val="69DD2293"/>
    <w:multiLevelType w:val="hybridMultilevel"/>
    <w:tmpl w:val="2ACE6596"/>
    <w:lvl w:ilvl="0" w:tplc="88A6ECF0">
      <w:start w:val="1"/>
      <w:numFmt w:val="lowerLetter"/>
      <w:lvlText w:val=" %1)"/>
      <w:lvlJc w:val="left"/>
      <w:pPr>
        <w:tabs>
          <w:tab w:val="num" w:pos="540"/>
        </w:tabs>
        <w:ind w:left="540" w:hanging="360"/>
      </w:pPr>
      <w:rPr>
        <w:rFonts w:hint="default"/>
        <w:b w:val="0"/>
        <w:bCs w:val="0"/>
        <w:sz w:val="22"/>
        <w:szCs w:val="22"/>
      </w:rPr>
    </w:lvl>
    <w:lvl w:ilvl="1" w:tplc="5B16B29C">
      <w:start w:val="1"/>
      <w:numFmt w:val="lowerLetter"/>
      <w:lvlText w:val="(%2)"/>
      <w:lvlJc w:val="left"/>
      <w:pPr>
        <w:tabs>
          <w:tab w:val="num" w:pos="1440"/>
        </w:tabs>
        <w:ind w:left="1440" w:hanging="360"/>
      </w:pPr>
      <w:rPr>
        <w:rFonts w:hint="default"/>
        <w:b w:val="0"/>
        <w:bCs w:val="0"/>
        <w:i w:val="0"/>
        <w:iCs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DFB725F"/>
    <w:multiLevelType w:val="hybridMultilevel"/>
    <w:tmpl w:val="CB9EEAB6"/>
    <w:lvl w:ilvl="0" w:tplc="7112260A">
      <w:start w:val="1"/>
      <w:numFmt w:val="decimal"/>
      <w:lvlText w:val="%1."/>
      <w:lvlJc w:val="left"/>
      <w:pPr>
        <w:tabs>
          <w:tab w:val="num" w:pos="540"/>
        </w:tabs>
        <w:ind w:left="540" w:hanging="360"/>
      </w:pPr>
      <w:rPr>
        <w:rFonts w:ascii="Times New Roman" w:hAnsi="Times New Roman" w:cs="Times New Roman" w:hint="default"/>
        <w:b w:val="0"/>
        <w:bCs w:val="0"/>
      </w:rPr>
    </w:lvl>
    <w:lvl w:ilvl="1" w:tplc="88A6ECF0">
      <w:start w:val="1"/>
      <w:numFmt w:val="lowerLetter"/>
      <w:lvlText w:val=" %2)"/>
      <w:lvlJc w:val="left"/>
      <w:pPr>
        <w:tabs>
          <w:tab w:val="num" w:pos="1440"/>
        </w:tabs>
        <w:ind w:left="1440" w:hanging="360"/>
      </w:pPr>
      <w:rPr>
        <w:rFonts w:hint="default"/>
        <w:b w:val="0"/>
        <w:bCs w:val="0"/>
        <w:i w:val="0"/>
        <w:iCs w:val="0"/>
        <w:sz w:val="22"/>
        <w:szCs w:val="22"/>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bCs w:val="0"/>
        <w:i w:val="0"/>
        <w:iCs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bCs w:val="0"/>
        <w:vertAlign w:val="baseline"/>
      </w:rPr>
    </w:lvl>
    <w:lvl w:ilvl="1" w:tplc="5B16B29C">
      <w:start w:val="1"/>
      <w:numFmt w:val="lowerLetter"/>
      <w:lvlText w:val="(%2)"/>
      <w:lvlJc w:val="left"/>
      <w:pPr>
        <w:tabs>
          <w:tab w:val="num" w:pos="1440"/>
        </w:tabs>
        <w:ind w:left="1440" w:hanging="360"/>
      </w:pPr>
      <w:rPr>
        <w:rFonts w:hint="default"/>
        <w:b w:val="0"/>
        <w:bCs w:val="0"/>
        <w:i w:val="0"/>
        <w:iCs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79365F83"/>
    <w:multiLevelType w:val="hybridMultilevel"/>
    <w:tmpl w:val="A194578C"/>
    <w:lvl w:ilvl="0" w:tplc="3188AFB8">
      <w:start w:val="10"/>
      <w:numFmt w:val="decimal"/>
      <w:lvlText w:val="%1."/>
      <w:lvlJc w:val="left"/>
      <w:pPr>
        <w:ind w:left="720" w:hanging="360"/>
      </w:pPr>
      <w:rPr>
        <w:b w:val="0"/>
        <w:bCs w:val="0"/>
      </w:rPr>
    </w:lvl>
    <w:lvl w:ilvl="1" w:tplc="88A6ECF0">
      <w:start w:val="1"/>
      <w:numFmt w:val="lowerLetter"/>
      <w:lvlText w:val=" %2)"/>
      <w:lvlJc w:val="left"/>
      <w:pPr>
        <w:ind w:left="1440" w:hanging="360"/>
      </w:pPr>
      <w:rPr>
        <w:rFonts w:hint="default"/>
        <w:b w:val="0"/>
        <w:bCs w:val="0"/>
        <w:i w:val="0"/>
        <w:iCs w:val="0"/>
        <w:sz w:val="22"/>
        <w:szCs w:val="22"/>
      </w:rPr>
    </w:lvl>
    <w:lvl w:ilvl="2" w:tplc="4BE29E5A">
      <w:start w:val="1"/>
      <w:numFmt w:val="lowerLetter"/>
      <w:lvlText w:val="(%3)"/>
      <w:lvlJc w:val="right"/>
      <w:pPr>
        <w:ind w:left="2160" w:hanging="180"/>
      </w:pPr>
      <w:rPr>
        <w:rFonts w:ascii="Times New Roman" w:eastAsia="Times New Roman" w:hAnsi="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F6E6162"/>
    <w:multiLevelType w:val="hybridMultilevel"/>
    <w:tmpl w:val="FB20B2B8"/>
    <w:lvl w:ilvl="0" w:tplc="88A6ECF0">
      <w:start w:val="1"/>
      <w:numFmt w:val="lowerLetter"/>
      <w:lvlText w:val=" %1)"/>
      <w:lvlJc w:val="left"/>
      <w:pPr>
        <w:tabs>
          <w:tab w:val="num" w:pos="1440"/>
        </w:tabs>
        <w:ind w:left="1440" w:hanging="360"/>
      </w:pPr>
      <w:rPr>
        <w:rFonts w:hint="default"/>
        <w:b w:val="0"/>
        <w:bCs w:val="0"/>
        <w:i w:val="0"/>
        <w:i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10"/>
  </w:num>
  <w:num w:numId="3">
    <w:abstractNumId w:val="6"/>
  </w:num>
  <w:num w:numId="4">
    <w:abstractNumId w:val="10"/>
  </w:num>
  <w:num w:numId="5">
    <w:abstractNumId w:val="7"/>
  </w:num>
  <w:num w:numId="6">
    <w:abstractNumId w:val="18"/>
  </w:num>
  <w:num w:numId="7">
    <w:abstractNumId w:val="2"/>
  </w:num>
  <w:num w:numId="8">
    <w:abstractNumId w:val="1"/>
  </w:num>
  <w:num w:numId="9">
    <w:abstractNumId w:val="17"/>
  </w:num>
  <w:num w:numId="10">
    <w:abstractNumId w:val="9"/>
  </w:num>
  <w:num w:numId="11">
    <w:abstractNumId w:val="19"/>
  </w:num>
  <w:num w:numId="12">
    <w:abstractNumId w:val="8"/>
  </w:num>
  <w:num w:numId="13">
    <w:abstractNumId w:val="11"/>
  </w:num>
  <w:num w:numId="14">
    <w:abstractNumId w:val="12"/>
  </w:num>
  <w:num w:numId="15">
    <w:abstractNumId w:val="14"/>
  </w:num>
  <w:num w:numId="16">
    <w:abstractNumId w:val="15"/>
  </w:num>
  <w:num w:numId="17">
    <w:abstractNumId w:val="3"/>
  </w:num>
  <w:num w:numId="18">
    <w:abstractNumId w:val="16"/>
  </w:num>
  <w:num w:numId="19">
    <w:abstractNumId w:val="20"/>
  </w:num>
  <w:num w:numId="20">
    <w:abstractNumId w:val="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3"/>
  </w:num>
  <w:num w:numId="35">
    <w:abstractNumId w:val="10"/>
  </w:num>
  <w:num w:numId="36">
    <w:abstractNumId w:val="10"/>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hyphenationZone w:val="425"/>
  <w:doNotHyphenateCaps/>
  <w:evenAndOddHeaders/>
  <w:drawingGridHorizontalSpacing w:val="110"/>
  <w:drawingGridVerticalSpacing w:val="299"/>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55B3B"/>
    <w:rsid w:val="00000304"/>
    <w:rsid w:val="00001DA9"/>
    <w:rsid w:val="00002B29"/>
    <w:rsid w:val="000030BF"/>
    <w:rsid w:val="00003A7C"/>
    <w:rsid w:val="000064E9"/>
    <w:rsid w:val="00010828"/>
    <w:rsid w:val="00010EF7"/>
    <w:rsid w:val="00014202"/>
    <w:rsid w:val="00016251"/>
    <w:rsid w:val="00020295"/>
    <w:rsid w:val="000219AC"/>
    <w:rsid w:val="00022961"/>
    <w:rsid w:val="0002340E"/>
    <w:rsid w:val="00025AC1"/>
    <w:rsid w:val="00025D8F"/>
    <w:rsid w:val="00030C79"/>
    <w:rsid w:val="00031D24"/>
    <w:rsid w:val="00031F26"/>
    <w:rsid w:val="00032509"/>
    <w:rsid w:val="00033843"/>
    <w:rsid w:val="00035653"/>
    <w:rsid w:val="000361A6"/>
    <w:rsid w:val="00037873"/>
    <w:rsid w:val="0004090E"/>
    <w:rsid w:val="000419F3"/>
    <w:rsid w:val="00041CDE"/>
    <w:rsid w:val="000428F5"/>
    <w:rsid w:val="00042EB6"/>
    <w:rsid w:val="00050572"/>
    <w:rsid w:val="0005073B"/>
    <w:rsid w:val="0005135F"/>
    <w:rsid w:val="00051B64"/>
    <w:rsid w:val="00052AD5"/>
    <w:rsid w:val="00053C45"/>
    <w:rsid w:val="00054381"/>
    <w:rsid w:val="00054C36"/>
    <w:rsid w:val="00054E0D"/>
    <w:rsid w:val="00062695"/>
    <w:rsid w:val="00063E89"/>
    <w:rsid w:val="000649DC"/>
    <w:rsid w:val="00065E6A"/>
    <w:rsid w:val="000660D4"/>
    <w:rsid w:val="00066925"/>
    <w:rsid w:val="000711E1"/>
    <w:rsid w:val="000732E1"/>
    <w:rsid w:val="00073708"/>
    <w:rsid w:val="0007615F"/>
    <w:rsid w:val="00076D94"/>
    <w:rsid w:val="00077304"/>
    <w:rsid w:val="0007764D"/>
    <w:rsid w:val="0007785F"/>
    <w:rsid w:val="0008061C"/>
    <w:rsid w:val="00081664"/>
    <w:rsid w:val="000850AA"/>
    <w:rsid w:val="0008539E"/>
    <w:rsid w:val="00086D99"/>
    <w:rsid w:val="00090732"/>
    <w:rsid w:val="00091967"/>
    <w:rsid w:val="00094463"/>
    <w:rsid w:val="0009465E"/>
    <w:rsid w:val="0009484C"/>
    <w:rsid w:val="00096ED0"/>
    <w:rsid w:val="000974B3"/>
    <w:rsid w:val="000A1C06"/>
    <w:rsid w:val="000A2DE8"/>
    <w:rsid w:val="000A592C"/>
    <w:rsid w:val="000A5E07"/>
    <w:rsid w:val="000A64F4"/>
    <w:rsid w:val="000A78C6"/>
    <w:rsid w:val="000A7FD3"/>
    <w:rsid w:val="000B0649"/>
    <w:rsid w:val="000B1578"/>
    <w:rsid w:val="000B2BD3"/>
    <w:rsid w:val="000B4374"/>
    <w:rsid w:val="000B47EA"/>
    <w:rsid w:val="000B6A65"/>
    <w:rsid w:val="000C4344"/>
    <w:rsid w:val="000C48B4"/>
    <w:rsid w:val="000C5BB9"/>
    <w:rsid w:val="000C71E8"/>
    <w:rsid w:val="000C74D9"/>
    <w:rsid w:val="000D055C"/>
    <w:rsid w:val="000D0BBE"/>
    <w:rsid w:val="000D17ED"/>
    <w:rsid w:val="000D2448"/>
    <w:rsid w:val="000D2FC5"/>
    <w:rsid w:val="000D49B4"/>
    <w:rsid w:val="000D50A1"/>
    <w:rsid w:val="000D7455"/>
    <w:rsid w:val="000E1576"/>
    <w:rsid w:val="000E27CF"/>
    <w:rsid w:val="000E637D"/>
    <w:rsid w:val="000E6B6E"/>
    <w:rsid w:val="000E7762"/>
    <w:rsid w:val="000E7E6A"/>
    <w:rsid w:val="000F057E"/>
    <w:rsid w:val="000F0AEB"/>
    <w:rsid w:val="000F17D5"/>
    <w:rsid w:val="000F1F1B"/>
    <w:rsid w:val="000F31EA"/>
    <w:rsid w:val="000F3F42"/>
    <w:rsid w:val="000F46CB"/>
    <w:rsid w:val="000F5A71"/>
    <w:rsid w:val="000F6031"/>
    <w:rsid w:val="000F6210"/>
    <w:rsid w:val="000F63AB"/>
    <w:rsid w:val="000F6492"/>
    <w:rsid w:val="000F6CDF"/>
    <w:rsid w:val="001001AF"/>
    <w:rsid w:val="00101900"/>
    <w:rsid w:val="00102DD2"/>
    <w:rsid w:val="001073FE"/>
    <w:rsid w:val="00107743"/>
    <w:rsid w:val="00107FC6"/>
    <w:rsid w:val="00110853"/>
    <w:rsid w:val="00112647"/>
    <w:rsid w:val="00115EF0"/>
    <w:rsid w:val="00116AE0"/>
    <w:rsid w:val="00116E14"/>
    <w:rsid w:val="00117B7E"/>
    <w:rsid w:val="0012214B"/>
    <w:rsid w:val="0012415D"/>
    <w:rsid w:val="00124D75"/>
    <w:rsid w:val="001260A3"/>
    <w:rsid w:val="001307A2"/>
    <w:rsid w:val="00131C85"/>
    <w:rsid w:val="001340BA"/>
    <w:rsid w:val="00134E71"/>
    <w:rsid w:val="00136AFB"/>
    <w:rsid w:val="00140716"/>
    <w:rsid w:val="001410F4"/>
    <w:rsid w:val="001413E6"/>
    <w:rsid w:val="0014146F"/>
    <w:rsid w:val="00141A6B"/>
    <w:rsid w:val="0014291F"/>
    <w:rsid w:val="00143A8A"/>
    <w:rsid w:val="00144261"/>
    <w:rsid w:val="00144BBD"/>
    <w:rsid w:val="001471D6"/>
    <w:rsid w:val="001472FA"/>
    <w:rsid w:val="001476F6"/>
    <w:rsid w:val="00151F1E"/>
    <w:rsid w:val="001522D0"/>
    <w:rsid w:val="001540A5"/>
    <w:rsid w:val="00155D4E"/>
    <w:rsid w:val="00155DC1"/>
    <w:rsid w:val="00155EFD"/>
    <w:rsid w:val="00157BB6"/>
    <w:rsid w:val="001608FA"/>
    <w:rsid w:val="001643E8"/>
    <w:rsid w:val="00166367"/>
    <w:rsid w:val="00171BDC"/>
    <w:rsid w:val="00173A32"/>
    <w:rsid w:val="0017442E"/>
    <w:rsid w:val="0017587D"/>
    <w:rsid w:val="00175BBD"/>
    <w:rsid w:val="001770D3"/>
    <w:rsid w:val="0018530A"/>
    <w:rsid w:val="00185F08"/>
    <w:rsid w:val="0019024C"/>
    <w:rsid w:val="0019057B"/>
    <w:rsid w:val="001917E0"/>
    <w:rsid w:val="00192E06"/>
    <w:rsid w:val="00194DF4"/>
    <w:rsid w:val="001951F4"/>
    <w:rsid w:val="001A1CF3"/>
    <w:rsid w:val="001A4BB1"/>
    <w:rsid w:val="001A5072"/>
    <w:rsid w:val="001A5DAA"/>
    <w:rsid w:val="001A6656"/>
    <w:rsid w:val="001A6F1F"/>
    <w:rsid w:val="001A7941"/>
    <w:rsid w:val="001B1630"/>
    <w:rsid w:val="001B34F7"/>
    <w:rsid w:val="001B7ACD"/>
    <w:rsid w:val="001C2CBA"/>
    <w:rsid w:val="001C3007"/>
    <w:rsid w:val="001C354E"/>
    <w:rsid w:val="001C36B1"/>
    <w:rsid w:val="001C406B"/>
    <w:rsid w:val="001C4716"/>
    <w:rsid w:val="001C5594"/>
    <w:rsid w:val="001C7AED"/>
    <w:rsid w:val="001D0007"/>
    <w:rsid w:val="001D30AF"/>
    <w:rsid w:val="001D325A"/>
    <w:rsid w:val="001D42A9"/>
    <w:rsid w:val="001D4B85"/>
    <w:rsid w:val="001D58A8"/>
    <w:rsid w:val="001D7797"/>
    <w:rsid w:val="001D7B50"/>
    <w:rsid w:val="001E1730"/>
    <w:rsid w:val="001E2453"/>
    <w:rsid w:val="001E3C2A"/>
    <w:rsid w:val="001E4DC4"/>
    <w:rsid w:val="001E4FE5"/>
    <w:rsid w:val="001E647C"/>
    <w:rsid w:val="001F3B1F"/>
    <w:rsid w:val="001F4992"/>
    <w:rsid w:val="001F5E96"/>
    <w:rsid w:val="001F6379"/>
    <w:rsid w:val="001F66CD"/>
    <w:rsid w:val="00204415"/>
    <w:rsid w:val="00206FDA"/>
    <w:rsid w:val="00207A6E"/>
    <w:rsid w:val="00207E52"/>
    <w:rsid w:val="00213F39"/>
    <w:rsid w:val="00213FF5"/>
    <w:rsid w:val="0021439F"/>
    <w:rsid w:val="00214497"/>
    <w:rsid w:val="00216091"/>
    <w:rsid w:val="00224B92"/>
    <w:rsid w:val="002315B3"/>
    <w:rsid w:val="002321F3"/>
    <w:rsid w:val="00232464"/>
    <w:rsid w:val="00232B53"/>
    <w:rsid w:val="002357E1"/>
    <w:rsid w:val="00240F94"/>
    <w:rsid w:val="00243471"/>
    <w:rsid w:val="0024600F"/>
    <w:rsid w:val="00247865"/>
    <w:rsid w:val="00250D5A"/>
    <w:rsid w:val="0025104E"/>
    <w:rsid w:val="00251D57"/>
    <w:rsid w:val="00252624"/>
    <w:rsid w:val="00252897"/>
    <w:rsid w:val="00252F67"/>
    <w:rsid w:val="00260C41"/>
    <w:rsid w:val="00261973"/>
    <w:rsid w:val="00261F25"/>
    <w:rsid w:val="002629F8"/>
    <w:rsid w:val="00263F0C"/>
    <w:rsid w:val="00263FCC"/>
    <w:rsid w:val="0026412A"/>
    <w:rsid w:val="00264734"/>
    <w:rsid w:val="00264932"/>
    <w:rsid w:val="0026538E"/>
    <w:rsid w:val="002679CB"/>
    <w:rsid w:val="00272103"/>
    <w:rsid w:val="0027317F"/>
    <w:rsid w:val="002735DA"/>
    <w:rsid w:val="00276392"/>
    <w:rsid w:val="0027680D"/>
    <w:rsid w:val="00281F17"/>
    <w:rsid w:val="002851E0"/>
    <w:rsid w:val="002854D6"/>
    <w:rsid w:val="00285ECF"/>
    <w:rsid w:val="0029039D"/>
    <w:rsid w:val="00292B66"/>
    <w:rsid w:val="00292F67"/>
    <w:rsid w:val="00293213"/>
    <w:rsid w:val="0029684E"/>
    <w:rsid w:val="002A12E8"/>
    <w:rsid w:val="002A1E84"/>
    <w:rsid w:val="002A5522"/>
    <w:rsid w:val="002A700F"/>
    <w:rsid w:val="002A749E"/>
    <w:rsid w:val="002B0942"/>
    <w:rsid w:val="002B2F2F"/>
    <w:rsid w:val="002B3627"/>
    <w:rsid w:val="002B4D59"/>
    <w:rsid w:val="002B7B70"/>
    <w:rsid w:val="002C2D11"/>
    <w:rsid w:val="002C2D3D"/>
    <w:rsid w:val="002C3223"/>
    <w:rsid w:val="002C4126"/>
    <w:rsid w:val="002C48A7"/>
    <w:rsid w:val="002C4BDB"/>
    <w:rsid w:val="002C537E"/>
    <w:rsid w:val="002C6891"/>
    <w:rsid w:val="002C72D5"/>
    <w:rsid w:val="002D17FC"/>
    <w:rsid w:val="002D2129"/>
    <w:rsid w:val="002D355B"/>
    <w:rsid w:val="002D6E18"/>
    <w:rsid w:val="002E0627"/>
    <w:rsid w:val="002E1285"/>
    <w:rsid w:val="002E1D3A"/>
    <w:rsid w:val="002E3198"/>
    <w:rsid w:val="002E4427"/>
    <w:rsid w:val="002E62B3"/>
    <w:rsid w:val="002E7402"/>
    <w:rsid w:val="002F2EF7"/>
    <w:rsid w:val="002F4654"/>
    <w:rsid w:val="0030089E"/>
    <w:rsid w:val="00301AE3"/>
    <w:rsid w:val="00302889"/>
    <w:rsid w:val="0030632E"/>
    <w:rsid w:val="00306DC5"/>
    <w:rsid w:val="003102CD"/>
    <w:rsid w:val="00310FA1"/>
    <w:rsid w:val="0031106B"/>
    <w:rsid w:val="00311F08"/>
    <w:rsid w:val="00311F35"/>
    <w:rsid w:val="00313B96"/>
    <w:rsid w:val="003165A6"/>
    <w:rsid w:val="0031674C"/>
    <w:rsid w:val="00320072"/>
    <w:rsid w:val="003210FF"/>
    <w:rsid w:val="003213DC"/>
    <w:rsid w:val="0032355B"/>
    <w:rsid w:val="00324E55"/>
    <w:rsid w:val="00324EB3"/>
    <w:rsid w:val="00325A4F"/>
    <w:rsid w:val="00325DE3"/>
    <w:rsid w:val="00325F65"/>
    <w:rsid w:val="003275EB"/>
    <w:rsid w:val="0033045A"/>
    <w:rsid w:val="00330D2D"/>
    <w:rsid w:val="003329FB"/>
    <w:rsid w:val="00334530"/>
    <w:rsid w:val="0033518C"/>
    <w:rsid w:val="00336766"/>
    <w:rsid w:val="003400BF"/>
    <w:rsid w:val="00340512"/>
    <w:rsid w:val="00340F2B"/>
    <w:rsid w:val="00342858"/>
    <w:rsid w:val="00344D0C"/>
    <w:rsid w:val="00345A4C"/>
    <w:rsid w:val="0035167A"/>
    <w:rsid w:val="00354F1B"/>
    <w:rsid w:val="003551B4"/>
    <w:rsid w:val="0035527A"/>
    <w:rsid w:val="003571A7"/>
    <w:rsid w:val="00361B87"/>
    <w:rsid w:val="00365BC5"/>
    <w:rsid w:val="003661D4"/>
    <w:rsid w:val="00367DD9"/>
    <w:rsid w:val="00370FC0"/>
    <w:rsid w:val="00372D81"/>
    <w:rsid w:val="003733B2"/>
    <w:rsid w:val="0037784A"/>
    <w:rsid w:val="003816B6"/>
    <w:rsid w:val="00381ADB"/>
    <w:rsid w:val="00381B6F"/>
    <w:rsid w:val="003822C0"/>
    <w:rsid w:val="00384170"/>
    <w:rsid w:val="003850E6"/>
    <w:rsid w:val="003865D4"/>
    <w:rsid w:val="00390B4E"/>
    <w:rsid w:val="003913CE"/>
    <w:rsid w:val="003A0BA0"/>
    <w:rsid w:val="003A1097"/>
    <w:rsid w:val="003A3225"/>
    <w:rsid w:val="003A5815"/>
    <w:rsid w:val="003A6936"/>
    <w:rsid w:val="003A6A32"/>
    <w:rsid w:val="003A7790"/>
    <w:rsid w:val="003B0946"/>
    <w:rsid w:val="003B10B9"/>
    <w:rsid w:val="003B2485"/>
    <w:rsid w:val="003B2FAB"/>
    <w:rsid w:val="003B3970"/>
    <w:rsid w:val="003B4AD9"/>
    <w:rsid w:val="003B505D"/>
    <w:rsid w:val="003B53D4"/>
    <w:rsid w:val="003B6A4C"/>
    <w:rsid w:val="003B743A"/>
    <w:rsid w:val="003C113F"/>
    <w:rsid w:val="003C11DB"/>
    <w:rsid w:val="003C23BC"/>
    <w:rsid w:val="003C3919"/>
    <w:rsid w:val="003C4C3B"/>
    <w:rsid w:val="003C5785"/>
    <w:rsid w:val="003C76DE"/>
    <w:rsid w:val="003C79D4"/>
    <w:rsid w:val="003D6245"/>
    <w:rsid w:val="003D7A41"/>
    <w:rsid w:val="003E23DB"/>
    <w:rsid w:val="003E2DAE"/>
    <w:rsid w:val="003E2FA9"/>
    <w:rsid w:val="003E45A9"/>
    <w:rsid w:val="003F0B83"/>
    <w:rsid w:val="003F26C3"/>
    <w:rsid w:val="003F4635"/>
    <w:rsid w:val="003F4BD5"/>
    <w:rsid w:val="003F4DC0"/>
    <w:rsid w:val="003F6E44"/>
    <w:rsid w:val="003F7AE4"/>
    <w:rsid w:val="00400E62"/>
    <w:rsid w:val="00401D7D"/>
    <w:rsid w:val="00403EA3"/>
    <w:rsid w:val="004040CD"/>
    <w:rsid w:val="004047DC"/>
    <w:rsid w:val="0040583C"/>
    <w:rsid w:val="00405A51"/>
    <w:rsid w:val="0040653C"/>
    <w:rsid w:val="00406BC6"/>
    <w:rsid w:val="00410006"/>
    <w:rsid w:val="0041170B"/>
    <w:rsid w:val="00412341"/>
    <w:rsid w:val="00412F15"/>
    <w:rsid w:val="0041425D"/>
    <w:rsid w:val="004144CF"/>
    <w:rsid w:val="004149D3"/>
    <w:rsid w:val="00414D32"/>
    <w:rsid w:val="004155DA"/>
    <w:rsid w:val="00415FA6"/>
    <w:rsid w:val="004167D8"/>
    <w:rsid w:val="004250D3"/>
    <w:rsid w:val="004266CC"/>
    <w:rsid w:val="004312EA"/>
    <w:rsid w:val="00436224"/>
    <w:rsid w:val="00436625"/>
    <w:rsid w:val="00436A35"/>
    <w:rsid w:val="00437636"/>
    <w:rsid w:val="00437C6E"/>
    <w:rsid w:val="00440B66"/>
    <w:rsid w:val="00441481"/>
    <w:rsid w:val="0044190C"/>
    <w:rsid w:val="004422F8"/>
    <w:rsid w:val="00443843"/>
    <w:rsid w:val="00443E38"/>
    <w:rsid w:val="0044424E"/>
    <w:rsid w:val="00446F8B"/>
    <w:rsid w:val="0045536D"/>
    <w:rsid w:val="00455906"/>
    <w:rsid w:val="004641C4"/>
    <w:rsid w:val="00466C1E"/>
    <w:rsid w:val="00467A12"/>
    <w:rsid w:val="004733E8"/>
    <w:rsid w:val="0047567E"/>
    <w:rsid w:val="004763E0"/>
    <w:rsid w:val="00477CD9"/>
    <w:rsid w:val="00480F82"/>
    <w:rsid w:val="00482CAA"/>
    <w:rsid w:val="00485BA4"/>
    <w:rsid w:val="00487286"/>
    <w:rsid w:val="00490254"/>
    <w:rsid w:val="00490CE3"/>
    <w:rsid w:val="00492E7F"/>
    <w:rsid w:val="00494094"/>
    <w:rsid w:val="004972EB"/>
    <w:rsid w:val="004A0D65"/>
    <w:rsid w:val="004A137E"/>
    <w:rsid w:val="004A1F23"/>
    <w:rsid w:val="004A60FF"/>
    <w:rsid w:val="004A686C"/>
    <w:rsid w:val="004A6972"/>
    <w:rsid w:val="004A7BEF"/>
    <w:rsid w:val="004B2DB1"/>
    <w:rsid w:val="004B4C93"/>
    <w:rsid w:val="004B4D2B"/>
    <w:rsid w:val="004B597A"/>
    <w:rsid w:val="004B6E33"/>
    <w:rsid w:val="004B78B3"/>
    <w:rsid w:val="004C0A6F"/>
    <w:rsid w:val="004C0EE3"/>
    <w:rsid w:val="004C25E6"/>
    <w:rsid w:val="004C6760"/>
    <w:rsid w:val="004D02B8"/>
    <w:rsid w:val="004D04F3"/>
    <w:rsid w:val="004D4329"/>
    <w:rsid w:val="004D4AB1"/>
    <w:rsid w:val="004D6352"/>
    <w:rsid w:val="004D6D82"/>
    <w:rsid w:val="004D6F63"/>
    <w:rsid w:val="004E0538"/>
    <w:rsid w:val="004E19A0"/>
    <w:rsid w:val="004E25DE"/>
    <w:rsid w:val="004F07E0"/>
    <w:rsid w:val="004F1116"/>
    <w:rsid w:val="004F11E4"/>
    <w:rsid w:val="004F1CC2"/>
    <w:rsid w:val="004F201C"/>
    <w:rsid w:val="004F34B4"/>
    <w:rsid w:val="004F3BF9"/>
    <w:rsid w:val="004F6044"/>
    <w:rsid w:val="00500530"/>
    <w:rsid w:val="0050082D"/>
    <w:rsid w:val="00502085"/>
    <w:rsid w:val="005032C9"/>
    <w:rsid w:val="0050470A"/>
    <w:rsid w:val="00505B62"/>
    <w:rsid w:val="00505CD5"/>
    <w:rsid w:val="00507550"/>
    <w:rsid w:val="00507717"/>
    <w:rsid w:val="0051231F"/>
    <w:rsid w:val="00512666"/>
    <w:rsid w:val="00516C26"/>
    <w:rsid w:val="00521EFF"/>
    <w:rsid w:val="00522164"/>
    <w:rsid w:val="00522E0C"/>
    <w:rsid w:val="005230BE"/>
    <w:rsid w:val="00524664"/>
    <w:rsid w:val="0052489E"/>
    <w:rsid w:val="00525B31"/>
    <w:rsid w:val="00526C68"/>
    <w:rsid w:val="0053128C"/>
    <w:rsid w:val="005323A2"/>
    <w:rsid w:val="0053628E"/>
    <w:rsid w:val="005404D5"/>
    <w:rsid w:val="00542250"/>
    <w:rsid w:val="00543C96"/>
    <w:rsid w:val="005440A6"/>
    <w:rsid w:val="005459BE"/>
    <w:rsid w:val="00546CDA"/>
    <w:rsid w:val="00551055"/>
    <w:rsid w:val="005513BF"/>
    <w:rsid w:val="00553105"/>
    <w:rsid w:val="0055392F"/>
    <w:rsid w:val="00557BE0"/>
    <w:rsid w:val="00560288"/>
    <w:rsid w:val="00561899"/>
    <w:rsid w:val="00565F8D"/>
    <w:rsid w:val="005732ED"/>
    <w:rsid w:val="0057390C"/>
    <w:rsid w:val="0058030D"/>
    <w:rsid w:val="00581449"/>
    <w:rsid w:val="00581D77"/>
    <w:rsid w:val="0058223D"/>
    <w:rsid w:val="00583471"/>
    <w:rsid w:val="00585ED7"/>
    <w:rsid w:val="00586D3B"/>
    <w:rsid w:val="005870BE"/>
    <w:rsid w:val="00587375"/>
    <w:rsid w:val="005943DA"/>
    <w:rsid w:val="00594D7D"/>
    <w:rsid w:val="005955D2"/>
    <w:rsid w:val="00596F32"/>
    <w:rsid w:val="005A4284"/>
    <w:rsid w:val="005A4E74"/>
    <w:rsid w:val="005A53D5"/>
    <w:rsid w:val="005A588A"/>
    <w:rsid w:val="005A5951"/>
    <w:rsid w:val="005A66AA"/>
    <w:rsid w:val="005A6C54"/>
    <w:rsid w:val="005A796F"/>
    <w:rsid w:val="005B78E8"/>
    <w:rsid w:val="005B7DE1"/>
    <w:rsid w:val="005C2DB3"/>
    <w:rsid w:val="005C430F"/>
    <w:rsid w:val="005C4CA4"/>
    <w:rsid w:val="005C55C7"/>
    <w:rsid w:val="005C5A15"/>
    <w:rsid w:val="005C5B5F"/>
    <w:rsid w:val="005C67AD"/>
    <w:rsid w:val="005C7AA2"/>
    <w:rsid w:val="005C7AD3"/>
    <w:rsid w:val="005D11DB"/>
    <w:rsid w:val="005D139C"/>
    <w:rsid w:val="005D2C02"/>
    <w:rsid w:val="005D2FE4"/>
    <w:rsid w:val="005D4E07"/>
    <w:rsid w:val="005D55D0"/>
    <w:rsid w:val="005D5F3B"/>
    <w:rsid w:val="005D608A"/>
    <w:rsid w:val="005D7BB5"/>
    <w:rsid w:val="005E02EC"/>
    <w:rsid w:val="005E115D"/>
    <w:rsid w:val="005E6FE0"/>
    <w:rsid w:val="005F11C8"/>
    <w:rsid w:val="005F2B3B"/>
    <w:rsid w:val="005F431B"/>
    <w:rsid w:val="005F49B4"/>
    <w:rsid w:val="005F4C74"/>
    <w:rsid w:val="005F51ED"/>
    <w:rsid w:val="005F6CC1"/>
    <w:rsid w:val="005F6D48"/>
    <w:rsid w:val="006001AB"/>
    <w:rsid w:val="00600544"/>
    <w:rsid w:val="006006B8"/>
    <w:rsid w:val="00602776"/>
    <w:rsid w:val="00602AEB"/>
    <w:rsid w:val="0060449C"/>
    <w:rsid w:val="00605B42"/>
    <w:rsid w:val="00606DF6"/>
    <w:rsid w:val="00612779"/>
    <w:rsid w:val="00612D1E"/>
    <w:rsid w:val="006149DD"/>
    <w:rsid w:val="00616E03"/>
    <w:rsid w:val="0062084E"/>
    <w:rsid w:val="00620876"/>
    <w:rsid w:val="00623FFC"/>
    <w:rsid w:val="00624EF0"/>
    <w:rsid w:val="00625B5C"/>
    <w:rsid w:val="006260D5"/>
    <w:rsid w:val="0062747F"/>
    <w:rsid w:val="006278C5"/>
    <w:rsid w:val="00627FB6"/>
    <w:rsid w:val="00630483"/>
    <w:rsid w:val="00630F9C"/>
    <w:rsid w:val="00632B34"/>
    <w:rsid w:val="00633492"/>
    <w:rsid w:val="00634FFD"/>
    <w:rsid w:val="00642D93"/>
    <w:rsid w:val="00643DEC"/>
    <w:rsid w:val="00644BBD"/>
    <w:rsid w:val="00645A13"/>
    <w:rsid w:val="0064760B"/>
    <w:rsid w:val="006477BC"/>
    <w:rsid w:val="006507F2"/>
    <w:rsid w:val="00651DBB"/>
    <w:rsid w:val="006532D4"/>
    <w:rsid w:val="006539F2"/>
    <w:rsid w:val="006559CF"/>
    <w:rsid w:val="00656C99"/>
    <w:rsid w:val="00657576"/>
    <w:rsid w:val="00663C74"/>
    <w:rsid w:val="006706AC"/>
    <w:rsid w:val="00670B15"/>
    <w:rsid w:val="006721C7"/>
    <w:rsid w:val="0067529A"/>
    <w:rsid w:val="00675686"/>
    <w:rsid w:val="006762DF"/>
    <w:rsid w:val="006818E6"/>
    <w:rsid w:val="00682306"/>
    <w:rsid w:val="00684040"/>
    <w:rsid w:val="00685C40"/>
    <w:rsid w:val="00690847"/>
    <w:rsid w:val="006914E7"/>
    <w:rsid w:val="00695607"/>
    <w:rsid w:val="006A29C4"/>
    <w:rsid w:val="006A2E53"/>
    <w:rsid w:val="006A37E8"/>
    <w:rsid w:val="006A651C"/>
    <w:rsid w:val="006B04A7"/>
    <w:rsid w:val="006B074E"/>
    <w:rsid w:val="006B242F"/>
    <w:rsid w:val="006B2BD5"/>
    <w:rsid w:val="006B3206"/>
    <w:rsid w:val="006B4637"/>
    <w:rsid w:val="006B55F8"/>
    <w:rsid w:val="006B5AA4"/>
    <w:rsid w:val="006B6C47"/>
    <w:rsid w:val="006B7615"/>
    <w:rsid w:val="006C3199"/>
    <w:rsid w:val="006C3841"/>
    <w:rsid w:val="006D0E3D"/>
    <w:rsid w:val="006D158D"/>
    <w:rsid w:val="006D1D1A"/>
    <w:rsid w:val="006D4A4E"/>
    <w:rsid w:val="006D5658"/>
    <w:rsid w:val="006E090A"/>
    <w:rsid w:val="006E123A"/>
    <w:rsid w:val="006E12BE"/>
    <w:rsid w:val="006E1741"/>
    <w:rsid w:val="006E2B04"/>
    <w:rsid w:val="006E4E17"/>
    <w:rsid w:val="006E7B11"/>
    <w:rsid w:val="006E7B3F"/>
    <w:rsid w:val="006F284C"/>
    <w:rsid w:val="006F2A87"/>
    <w:rsid w:val="006F3EA2"/>
    <w:rsid w:val="006F7076"/>
    <w:rsid w:val="006F7227"/>
    <w:rsid w:val="006F744E"/>
    <w:rsid w:val="0070136C"/>
    <w:rsid w:val="00702366"/>
    <w:rsid w:val="00704A1F"/>
    <w:rsid w:val="007062D8"/>
    <w:rsid w:val="00706FE3"/>
    <w:rsid w:val="00707E0F"/>
    <w:rsid w:val="0071135E"/>
    <w:rsid w:val="00713ABA"/>
    <w:rsid w:val="007163BC"/>
    <w:rsid w:val="00716751"/>
    <w:rsid w:val="007215A1"/>
    <w:rsid w:val="00721801"/>
    <w:rsid w:val="00724352"/>
    <w:rsid w:val="00727BA5"/>
    <w:rsid w:val="00730AE3"/>
    <w:rsid w:val="00732620"/>
    <w:rsid w:val="00732EE6"/>
    <w:rsid w:val="007342A4"/>
    <w:rsid w:val="00734E1E"/>
    <w:rsid w:val="00735081"/>
    <w:rsid w:val="007369AD"/>
    <w:rsid w:val="00736BC2"/>
    <w:rsid w:val="00740287"/>
    <w:rsid w:val="00743B91"/>
    <w:rsid w:val="00743D6A"/>
    <w:rsid w:val="007446D8"/>
    <w:rsid w:val="007457D5"/>
    <w:rsid w:val="00746010"/>
    <w:rsid w:val="007510B8"/>
    <w:rsid w:val="007552D1"/>
    <w:rsid w:val="00756901"/>
    <w:rsid w:val="0075740B"/>
    <w:rsid w:val="00762593"/>
    <w:rsid w:val="0076476C"/>
    <w:rsid w:val="00764925"/>
    <w:rsid w:val="00764F50"/>
    <w:rsid w:val="00766641"/>
    <w:rsid w:val="00766D22"/>
    <w:rsid w:val="0076710D"/>
    <w:rsid w:val="00767B17"/>
    <w:rsid w:val="00774AFA"/>
    <w:rsid w:val="0077503A"/>
    <w:rsid w:val="00775238"/>
    <w:rsid w:val="00776C32"/>
    <w:rsid w:val="00777569"/>
    <w:rsid w:val="00777F35"/>
    <w:rsid w:val="00780411"/>
    <w:rsid w:val="007808DA"/>
    <w:rsid w:val="00782CCA"/>
    <w:rsid w:val="00783473"/>
    <w:rsid w:val="00784A43"/>
    <w:rsid w:val="00786EA3"/>
    <w:rsid w:val="00792370"/>
    <w:rsid w:val="0079325E"/>
    <w:rsid w:val="00794DA7"/>
    <w:rsid w:val="00795B86"/>
    <w:rsid w:val="007964CF"/>
    <w:rsid w:val="00796B78"/>
    <w:rsid w:val="00796E97"/>
    <w:rsid w:val="007A3801"/>
    <w:rsid w:val="007A5BDB"/>
    <w:rsid w:val="007A769A"/>
    <w:rsid w:val="007B1587"/>
    <w:rsid w:val="007B3082"/>
    <w:rsid w:val="007B312A"/>
    <w:rsid w:val="007B39CD"/>
    <w:rsid w:val="007B3EFB"/>
    <w:rsid w:val="007B45A8"/>
    <w:rsid w:val="007C054B"/>
    <w:rsid w:val="007C3ECE"/>
    <w:rsid w:val="007C4523"/>
    <w:rsid w:val="007C4914"/>
    <w:rsid w:val="007C5285"/>
    <w:rsid w:val="007C633B"/>
    <w:rsid w:val="007C63E4"/>
    <w:rsid w:val="007D1323"/>
    <w:rsid w:val="007D3182"/>
    <w:rsid w:val="007D6775"/>
    <w:rsid w:val="007D724C"/>
    <w:rsid w:val="007D7D03"/>
    <w:rsid w:val="007E2755"/>
    <w:rsid w:val="007E405C"/>
    <w:rsid w:val="007E41A8"/>
    <w:rsid w:val="007E6E18"/>
    <w:rsid w:val="007F0383"/>
    <w:rsid w:val="007F0586"/>
    <w:rsid w:val="007F4464"/>
    <w:rsid w:val="007F4D27"/>
    <w:rsid w:val="007F6045"/>
    <w:rsid w:val="007F7479"/>
    <w:rsid w:val="00800553"/>
    <w:rsid w:val="008026F3"/>
    <w:rsid w:val="00802D99"/>
    <w:rsid w:val="008118F0"/>
    <w:rsid w:val="00815A08"/>
    <w:rsid w:val="00815F24"/>
    <w:rsid w:val="00816881"/>
    <w:rsid w:val="00821B0B"/>
    <w:rsid w:val="00821B70"/>
    <w:rsid w:val="00825524"/>
    <w:rsid w:val="00826607"/>
    <w:rsid w:val="0083211E"/>
    <w:rsid w:val="00833ABF"/>
    <w:rsid w:val="00835650"/>
    <w:rsid w:val="00835F32"/>
    <w:rsid w:val="00836177"/>
    <w:rsid w:val="00841A8A"/>
    <w:rsid w:val="00841DB0"/>
    <w:rsid w:val="0084334C"/>
    <w:rsid w:val="00843FF1"/>
    <w:rsid w:val="0084449A"/>
    <w:rsid w:val="00845882"/>
    <w:rsid w:val="00845E61"/>
    <w:rsid w:val="008471C3"/>
    <w:rsid w:val="0085384F"/>
    <w:rsid w:val="008538DC"/>
    <w:rsid w:val="00854D2F"/>
    <w:rsid w:val="00855AC8"/>
    <w:rsid w:val="008600F0"/>
    <w:rsid w:val="00860EA9"/>
    <w:rsid w:val="008638EE"/>
    <w:rsid w:val="00864704"/>
    <w:rsid w:val="00864D88"/>
    <w:rsid w:val="00866C93"/>
    <w:rsid w:val="00867EA5"/>
    <w:rsid w:val="00870D40"/>
    <w:rsid w:val="00871642"/>
    <w:rsid w:val="0087252E"/>
    <w:rsid w:val="00872564"/>
    <w:rsid w:val="008738FE"/>
    <w:rsid w:val="00874448"/>
    <w:rsid w:val="008748D3"/>
    <w:rsid w:val="008753DE"/>
    <w:rsid w:val="00875709"/>
    <w:rsid w:val="00876BEC"/>
    <w:rsid w:val="00877B6B"/>
    <w:rsid w:val="00877C76"/>
    <w:rsid w:val="00880ACF"/>
    <w:rsid w:val="0088188A"/>
    <w:rsid w:val="00882B53"/>
    <w:rsid w:val="00885890"/>
    <w:rsid w:val="00886952"/>
    <w:rsid w:val="00886E20"/>
    <w:rsid w:val="00890B2A"/>
    <w:rsid w:val="008920A1"/>
    <w:rsid w:val="00894CD3"/>
    <w:rsid w:val="00895D13"/>
    <w:rsid w:val="008A0782"/>
    <w:rsid w:val="008A1723"/>
    <w:rsid w:val="008A2151"/>
    <w:rsid w:val="008A5E58"/>
    <w:rsid w:val="008A6092"/>
    <w:rsid w:val="008A7CB2"/>
    <w:rsid w:val="008B3AA8"/>
    <w:rsid w:val="008B4028"/>
    <w:rsid w:val="008B4F15"/>
    <w:rsid w:val="008B77E0"/>
    <w:rsid w:val="008C013C"/>
    <w:rsid w:val="008C1E35"/>
    <w:rsid w:val="008C2B0A"/>
    <w:rsid w:val="008C4EB1"/>
    <w:rsid w:val="008C5226"/>
    <w:rsid w:val="008C56CB"/>
    <w:rsid w:val="008C7E34"/>
    <w:rsid w:val="008D1F86"/>
    <w:rsid w:val="008D5AA2"/>
    <w:rsid w:val="008E0FCD"/>
    <w:rsid w:val="008E1946"/>
    <w:rsid w:val="008E2FD6"/>
    <w:rsid w:val="008E36F2"/>
    <w:rsid w:val="008E4736"/>
    <w:rsid w:val="008E5C0A"/>
    <w:rsid w:val="008E5F84"/>
    <w:rsid w:val="008E6DBE"/>
    <w:rsid w:val="008E6DD3"/>
    <w:rsid w:val="008E7500"/>
    <w:rsid w:val="008E7917"/>
    <w:rsid w:val="008F1B72"/>
    <w:rsid w:val="008F5803"/>
    <w:rsid w:val="008F5C95"/>
    <w:rsid w:val="008F7D2A"/>
    <w:rsid w:val="00900241"/>
    <w:rsid w:val="00903BFE"/>
    <w:rsid w:val="009067F8"/>
    <w:rsid w:val="00906820"/>
    <w:rsid w:val="00906B60"/>
    <w:rsid w:val="00912FF5"/>
    <w:rsid w:val="00920683"/>
    <w:rsid w:val="009219D3"/>
    <w:rsid w:val="00922EAD"/>
    <w:rsid w:val="0092794B"/>
    <w:rsid w:val="00930B61"/>
    <w:rsid w:val="00932882"/>
    <w:rsid w:val="00933218"/>
    <w:rsid w:val="0093440C"/>
    <w:rsid w:val="00934973"/>
    <w:rsid w:val="00936221"/>
    <w:rsid w:val="009368B4"/>
    <w:rsid w:val="00936F3E"/>
    <w:rsid w:val="009439CA"/>
    <w:rsid w:val="0094438C"/>
    <w:rsid w:val="00944F95"/>
    <w:rsid w:val="00945241"/>
    <w:rsid w:val="00945384"/>
    <w:rsid w:val="00952C36"/>
    <w:rsid w:val="00953856"/>
    <w:rsid w:val="009554D5"/>
    <w:rsid w:val="0095705C"/>
    <w:rsid w:val="00962BA0"/>
    <w:rsid w:val="00963376"/>
    <w:rsid w:val="00964D94"/>
    <w:rsid w:val="009658DC"/>
    <w:rsid w:val="00966BE7"/>
    <w:rsid w:val="00966C35"/>
    <w:rsid w:val="009714C3"/>
    <w:rsid w:val="00972A75"/>
    <w:rsid w:val="009735F1"/>
    <w:rsid w:val="00973AF7"/>
    <w:rsid w:val="009742E9"/>
    <w:rsid w:val="00974C73"/>
    <w:rsid w:val="00974E46"/>
    <w:rsid w:val="00977C14"/>
    <w:rsid w:val="00981EF1"/>
    <w:rsid w:val="009822CF"/>
    <w:rsid w:val="00985679"/>
    <w:rsid w:val="00986575"/>
    <w:rsid w:val="0098791B"/>
    <w:rsid w:val="009913E0"/>
    <w:rsid w:val="009915E9"/>
    <w:rsid w:val="009938AE"/>
    <w:rsid w:val="0099553F"/>
    <w:rsid w:val="009A0F57"/>
    <w:rsid w:val="009A1D25"/>
    <w:rsid w:val="009A30D0"/>
    <w:rsid w:val="009A3742"/>
    <w:rsid w:val="009A5B4C"/>
    <w:rsid w:val="009B00E8"/>
    <w:rsid w:val="009B2356"/>
    <w:rsid w:val="009B2433"/>
    <w:rsid w:val="009B35B2"/>
    <w:rsid w:val="009B41D2"/>
    <w:rsid w:val="009B5E1D"/>
    <w:rsid w:val="009B73E3"/>
    <w:rsid w:val="009C0D84"/>
    <w:rsid w:val="009C286E"/>
    <w:rsid w:val="009C3281"/>
    <w:rsid w:val="009C50D2"/>
    <w:rsid w:val="009C7DFC"/>
    <w:rsid w:val="009C7E98"/>
    <w:rsid w:val="009D0A5A"/>
    <w:rsid w:val="009D2F92"/>
    <w:rsid w:val="009D3CA9"/>
    <w:rsid w:val="009D5DD3"/>
    <w:rsid w:val="009D6172"/>
    <w:rsid w:val="009E00FA"/>
    <w:rsid w:val="009E2775"/>
    <w:rsid w:val="009E2B79"/>
    <w:rsid w:val="009E354F"/>
    <w:rsid w:val="009E4222"/>
    <w:rsid w:val="009E6FF7"/>
    <w:rsid w:val="009F0763"/>
    <w:rsid w:val="009F4C03"/>
    <w:rsid w:val="00A01207"/>
    <w:rsid w:val="00A01AC6"/>
    <w:rsid w:val="00A04749"/>
    <w:rsid w:val="00A04796"/>
    <w:rsid w:val="00A05589"/>
    <w:rsid w:val="00A06FB3"/>
    <w:rsid w:val="00A10051"/>
    <w:rsid w:val="00A157F4"/>
    <w:rsid w:val="00A170D2"/>
    <w:rsid w:val="00A176A0"/>
    <w:rsid w:val="00A20F36"/>
    <w:rsid w:val="00A2246F"/>
    <w:rsid w:val="00A24351"/>
    <w:rsid w:val="00A255D3"/>
    <w:rsid w:val="00A26B9C"/>
    <w:rsid w:val="00A27693"/>
    <w:rsid w:val="00A27834"/>
    <w:rsid w:val="00A30470"/>
    <w:rsid w:val="00A30DAD"/>
    <w:rsid w:val="00A31D73"/>
    <w:rsid w:val="00A40BE1"/>
    <w:rsid w:val="00A4147C"/>
    <w:rsid w:val="00A41FED"/>
    <w:rsid w:val="00A42049"/>
    <w:rsid w:val="00A42ADA"/>
    <w:rsid w:val="00A45EFB"/>
    <w:rsid w:val="00A46A19"/>
    <w:rsid w:val="00A50B2D"/>
    <w:rsid w:val="00A5112A"/>
    <w:rsid w:val="00A534F6"/>
    <w:rsid w:val="00A541AA"/>
    <w:rsid w:val="00A551DC"/>
    <w:rsid w:val="00A61072"/>
    <w:rsid w:val="00A63075"/>
    <w:rsid w:val="00A641F4"/>
    <w:rsid w:val="00A65499"/>
    <w:rsid w:val="00A6680C"/>
    <w:rsid w:val="00A67A2F"/>
    <w:rsid w:val="00A723CC"/>
    <w:rsid w:val="00A735EF"/>
    <w:rsid w:val="00A7507E"/>
    <w:rsid w:val="00A76DFC"/>
    <w:rsid w:val="00A8210C"/>
    <w:rsid w:val="00A82D02"/>
    <w:rsid w:val="00A84CF1"/>
    <w:rsid w:val="00A857AE"/>
    <w:rsid w:val="00A8616B"/>
    <w:rsid w:val="00A86BF2"/>
    <w:rsid w:val="00A87268"/>
    <w:rsid w:val="00A915F1"/>
    <w:rsid w:val="00A93C63"/>
    <w:rsid w:val="00A93F05"/>
    <w:rsid w:val="00A94E43"/>
    <w:rsid w:val="00A958C4"/>
    <w:rsid w:val="00A96E3E"/>
    <w:rsid w:val="00AA014E"/>
    <w:rsid w:val="00AA0DB3"/>
    <w:rsid w:val="00AA2CE3"/>
    <w:rsid w:val="00AA31FD"/>
    <w:rsid w:val="00AB1EBC"/>
    <w:rsid w:val="00AB4908"/>
    <w:rsid w:val="00AC01CD"/>
    <w:rsid w:val="00AC1A07"/>
    <w:rsid w:val="00AC1E69"/>
    <w:rsid w:val="00AC3379"/>
    <w:rsid w:val="00AC5285"/>
    <w:rsid w:val="00AC6563"/>
    <w:rsid w:val="00AC7334"/>
    <w:rsid w:val="00AC7CD0"/>
    <w:rsid w:val="00AD3B1D"/>
    <w:rsid w:val="00AD7C0C"/>
    <w:rsid w:val="00AE11C0"/>
    <w:rsid w:val="00AE2424"/>
    <w:rsid w:val="00AE32A0"/>
    <w:rsid w:val="00AE51FF"/>
    <w:rsid w:val="00AE5553"/>
    <w:rsid w:val="00AE579A"/>
    <w:rsid w:val="00AE5E76"/>
    <w:rsid w:val="00AE70A2"/>
    <w:rsid w:val="00AE7E41"/>
    <w:rsid w:val="00AF148E"/>
    <w:rsid w:val="00AF17E8"/>
    <w:rsid w:val="00AF1DBA"/>
    <w:rsid w:val="00AF6D23"/>
    <w:rsid w:val="00AF705A"/>
    <w:rsid w:val="00AF7BFC"/>
    <w:rsid w:val="00B012FB"/>
    <w:rsid w:val="00B0213C"/>
    <w:rsid w:val="00B04DE6"/>
    <w:rsid w:val="00B04F43"/>
    <w:rsid w:val="00B05100"/>
    <w:rsid w:val="00B05125"/>
    <w:rsid w:val="00B06E11"/>
    <w:rsid w:val="00B120AB"/>
    <w:rsid w:val="00B14153"/>
    <w:rsid w:val="00B15530"/>
    <w:rsid w:val="00B15828"/>
    <w:rsid w:val="00B1592B"/>
    <w:rsid w:val="00B218DD"/>
    <w:rsid w:val="00B21C8F"/>
    <w:rsid w:val="00B231AA"/>
    <w:rsid w:val="00B23242"/>
    <w:rsid w:val="00B23891"/>
    <w:rsid w:val="00B23B11"/>
    <w:rsid w:val="00B23FE8"/>
    <w:rsid w:val="00B24422"/>
    <w:rsid w:val="00B245B2"/>
    <w:rsid w:val="00B25047"/>
    <w:rsid w:val="00B26553"/>
    <w:rsid w:val="00B271A0"/>
    <w:rsid w:val="00B32014"/>
    <w:rsid w:val="00B3299A"/>
    <w:rsid w:val="00B33331"/>
    <w:rsid w:val="00B3701D"/>
    <w:rsid w:val="00B3761B"/>
    <w:rsid w:val="00B379FE"/>
    <w:rsid w:val="00B402C2"/>
    <w:rsid w:val="00B45509"/>
    <w:rsid w:val="00B463EC"/>
    <w:rsid w:val="00B477A1"/>
    <w:rsid w:val="00B52192"/>
    <w:rsid w:val="00B55C74"/>
    <w:rsid w:val="00B566A3"/>
    <w:rsid w:val="00B56840"/>
    <w:rsid w:val="00B56B11"/>
    <w:rsid w:val="00B61F46"/>
    <w:rsid w:val="00B62496"/>
    <w:rsid w:val="00B6345C"/>
    <w:rsid w:val="00B65A1D"/>
    <w:rsid w:val="00B65E84"/>
    <w:rsid w:val="00B665F8"/>
    <w:rsid w:val="00B667D0"/>
    <w:rsid w:val="00B675E8"/>
    <w:rsid w:val="00B70768"/>
    <w:rsid w:val="00B72A58"/>
    <w:rsid w:val="00B752BD"/>
    <w:rsid w:val="00B75D8C"/>
    <w:rsid w:val="00B772FD"/>
    <w:rsid w:val="00B8380F"/>
    <w:rsid w:val="00B83CB4"/>
    <w:rsid w:val="00B85F9B"/>
    <w:rsid w:val="00B91A9E"/>
    <w:rsid w:val="00B92424"/>
    <w:rsid w:val="00B94950"/>
    <w:rsid w:val="00B950AB"/>
    <w:rsid w:val="00B97F3D"/>
    <w:rsid w:val="00BA0853"/>
    <w:rsid w:val="00BA1498"/>
    <w:rsid w:val="00BA24B3"/>
    <w:rsid w:val="00BA3233"/>
    <w:rsid w:val="00BA486E"/>
    <w:rsid w:val="00BB03D2"/>
    <w:rsid w:val="00BB17D9"/>
    <w:rsid w:val="00BB26DD"/>
    <w:rsid w:val="00BB3EFD"/>
    <w:rsid w:val="00BB4645"/>
    <w:rsid w:val="00BB5C19"/>
    <w:rsid w:val="00BB5F37"/>
    <w:rsid w:val="00BB760C"/>
    <w:rsid w:val="00BB77A0"/>
    <w:rsid w:val="00BC210C"/>
    <w:rsid w:val="00BC579F"/>
    <w:rsid w:val="00BC6371"/>
    <w:rsid w:val="00BC7071"/>
    <w:rsid w:val="00BD1995"/>
    <w:rsid w:val="00BD7E6F"/>
    <w:rsid w:val="00BE2E99"/>
    <w:rsid w:val="00BE37A4"/>
    <w:rsid w:val="00BE45DE"/>
    <w:rsid w:val="00BE5253"/>
    <w:rsid w:val="00BE6FF2"/>
    <w:rsid w:val="00BF0D8E"/>
    <w:rsid w:val="00BF11D8"/>
    <w:rsid w:val="00BF74C3"/>
    <w:rsid w:val="00C0083C"/>
    <w:rsid w:val="00C0174F"/>
    <w:rsid w:val="00C027F9"/>
    <w:rsid w:val="00C05456"/>
    <w:rsid w:val="00C05E9F"/>
    <w:rsid w:val="00C076A9"/>
    <w:rsid w:val="00C0798E"/>
    <w:rsid w:val="00C11753"/>
    <w:rsid w:val="00C121DA"/>
    <w:rsid w:val="00C1268E"/>
    <w:rsid w:val="00C15A80"/>
    <w:rsid w:val="00C15BBB"/>
    <w:rsid w:val="00C16015"/>
    <w:rsid w:val="00C16311"/>
    <w:rsid w:val="00C178C4"/>
    <w:rsid w:val="00C200F4"/>
    <w:rsid w:val="00C209B5"/>
    <w:rsid w:val="00C21F86"/>
    <w:rsid w:val="00C2245C"/>
    <w:rsid w:val="00C22BF7"/>
    <w:rsid w:val="00C23379"/>
    <w:rsid w:val="00C23782"/>
    <w:rsid w:val="00C272A7"/>
    <w:rsid w:val="00C31152"/>
    <w:rsid w:val="00C31FC0"/>
    <w:rsid w:val="00C32A9C"/>
    <w:rsid w:val="00C32C74"/>
    <w:rsid w:val="00C3511E"/>
    <w:rsid w:val="00C36243"/>
    <w:rsid w:val="00C37BF7"/>
    <w:rsid w:val="00C37FF1"/>
    <w:rsid w:val="00C40B44"/>
    <w:rsid w:val="00C42C01"/>
    <w:rsid w:val="00C4595C"/>
    <w:rsid w:val="00C45EA1"/>
    <w:rsid w:val="00C50483"/>
    <w:rsid w:val="00C507CD"/>
    <w:rsid w:val="00C51CC0"/>
    <w:rsid w:val="00C55EC6"/>
    <w:rsid w:val="00C5739B"/>
    <w:rsid w:val="00C63506"/>
    <w:rsid w:val="00C64D92"/>
    <w:rsid w:val="00C6744F"/>
    <w:rsid w:val="00C67612"/>
    <w:rsid w:val="00C67D12"/>
    <w:rsid w:val="00C7246E"/>
    <w:rsid w:val="00C73AD8"/>
    <w:rsid w:val="00C75434"/>
    <w:rsid w:val="00C754D3"/>
    <w:rsid w:val="00C75700"/>
    <w:rsid w:val="00C7722B"/>
    <w:rsid w:val="00C779AE"/>
    <w:rsid w:val="00C85EA4"/>
    <w:rsid w:val="00C912FE"/>
    <w:rsid w:val="00C9162B"/>
    <w:rsid w:val="00C91B3B"/>
    <w:rsid w:val="00C9201F"/>
    <w:rsid w:val="00C92B1C"/>
    <w:rsid w:val="00C94BCB"/>
    <w:rsid w:val="00C9507A"/>
    <w:rsid w:val="00C96015"/>
    <w:rsid w:val="00CA1572"/>
    <w:rsid w:val="00CA1FBA"/>
    <w:rsid w:val="00CA57DD"/>
    <w:rsid w:val="00CA5E92"/>
    <w:rsid w:val="00CA643A"/>
    <w:rsid w:val="00CA6B87"/>
    <w:rsid w:val="00CB32D6"/>
    <w:rsid w:val="00CB4B9A"/>
    <w:rsid w:val="00CB6092"/>
    <w:rsid w:val="00CB6589"/>
    <w:rsid w:val="00CB65FD"/>
    <w:rsid w:val="00CB660D"/>
    <w:rsid w:val="00CC144E"/>
    <w:rsid w:val="00CC17DD"/>
    <w:rsid w:val="00CC1BB9"/>
    <w:rsid w:val="00CC2031"/>
    <w:rsid w:val="00CC41AC"/>
    <w:rsid w:val="00CC4D15"/>
    <w:rsid w:val="00CC6B91"/>
    <w:rsid w:val="00CD1799"/>
    <w:rsid w:val="00CD2395"/>
    <w:rsid w:val="00CD2924"/>
    <w:rsid w:val="00CD4726"/>
    <w:rsid w:val="00CD51DB"/>
    <w:rsid w:val="00CE0912"/>
    <w:rsid w:val="00CE51C3"/>
    <w:rsid w:val="00CE79C9"/>
    <w:rsid w:val="00CF1AF1"/>
    <w:rsid w:val="00CF2F38"/>
    <w:rsid w:val="00CF3399"/>
    <w:rsid w:val="00CF3CE4"/>
    <w:rsid w:val="00CF4F69"/>
    <w:rsid w:val="00D007D1"/>
    <w:rsid w:val="00D01193"/>
    <w:rsid w:val="00D0136E"/>
    <w:rsid w:val="00D02FEC"/>
    <w:rsid w:val="00D03708"/>
    <w:rsid w:val="00D0448A"/>
    <w:rsid w:val="00D110A9"/>
    <w:rsid w:val="00D1467F"/>
    <w:rsid w:val="00D14DB8"/>
    <w:rsid w:val="00D15589"/>
    <w:rsid w:val="00D17989"/>
    <w:rsid w:val="00D20D8B"/>
    <w:rsid w:val="00D21355"/>
    <w:rsid w:val="00D22383"/>
    <w:rsid w:val="00D22AE8"/>
    <w:rsid w:val="00D2368C"/>
    <w:rsid w:val="00D244AA"/>
    <w:rsid w:val="00D25B07"/>
    <w:rsid w:val="00D27C24"/>
    <w:rsid w:val="00D32B1E"/>
    <w:rsid w:val="00D344BE"/>
    <w:rsid w:val="00D3461A"/>
    <w:rsid w:val="00D37BBE"/>
    <w:rsid w:val="00D41569"/>
    <w:rsid w:val="00D432AD"/>
    <w:rsid w:val="00D442E0"/>
    <w:rsid w:val="00D44548"/>
    <w:rsid w:val="00D51069"/>
    <w:rsid w:val="00D51510"/>
    <w:rsid w:val="00D51EF2"/>
    <w:rsid w:val="00D552A2"/>
    <w:rsid w:val="00D56456"/>
    <w:rsid w:val="00D56CCE"/>
    <w:rsid w:val="00D57383"/>
    <w:rsid w:val="00D60AE9"/>
    <w:rsid w:val="00D6123A"/>
    <w:rsid w:val="00D61CF3"/>
    <w:rsid w:val="00D63AC7"/>
    <w:rsid w:val="00D6582A"/>
    <w:rsid w:val="00D66362"/>
    <w:rsid w:val="00D67097"/>
    <w:rsid w:val="00D72497"/>
    <w:rsid w:val="00D73027"/>
    <w:rsid w:val="00D73786"/>
    <w:rsid w:val="00D75C9D"/>
    <w:rsid w:val="00D816AC"/>
    <w:rsid w:val="00D823A0"/>
    <w:rsid w:val="00D8426D"/>
    <w:rsid w:val="00D851B3"/>
    <w:rsid w:val="00D85B30"/>
    <w:rsid w:val="00D85D5B"/>
    <w:rsid w:val="00D86370"/>
    <w:rsid w:val="00D92D9F"/>
    <w:rsid w:val="00D93FB5"/>
    <w:rsid w:val="00D94167"/>
    <w:rsid w:val="00D9537D"/>
    <w:rsid w:val="00D9689B"/>
    <w:rsid w:val="00DA071E"/>
    <w:rsid w:val="00DA284A"/>
    <w:rsid w:val="00DA41C8"/>
    <w:rsid w:val="00DA4EF8"/>
    <w:rsid w:val="00DA5CFB"/>
    <w:rsid w:val="00DA64F5"/>
    <w:rsid w:val="00DB0938"/>
    <w:rsid w:val="00DB1387"/>
    <w:rsid w:val="00DB1760"/>
    <w:rsid w:val="00DB3193"/>
    <w:rsid w:val="00DB5174"/>
    <w:rsid w:val="00DB6254"/>
    <w:rsid w:val="00DB6D3B"/>
    <w:rsid w:val="00DB7897"/>
    <w:rsid w:val="00DC0277"/>
    <w:rsid w:val="00DC3545"/>
    <w:rsid w:val="00DC405E"/>
    <w:rsid w:val="00DC6799"/>
    <w:rsid w:val="00DC7652"/>
    <w:rsid w:val="00DD0C00"/>
    <w:rsid w:val="00DD3535"/>
    <w:rsid w:val="00DD52CC"/>
    <w:rsid w:val="00DD6D04"/>
    <w:rsid w:val="00DE11EF"/>
    <w:rsid w:val="00DE308B"/>
    <w:rsid w:val="00DF0002"/>
    <w:rsid w:val="00E01939"/>
    <w:rsid w:val="00E0287A"/>
    <w:rsid w:val="00E036EB"/>
    <w:rsid w:val="00E065CA"/>
    <w:rsid w:val="00E12769"/>
    <w:rsid w:val="00E13969"/>
    <w:rsid w:val="00E13D01"/>
    <w:rsid w:val="00E1465E"/>
    <w:rsid w:val="00E16B89"/>
    <w:rsid w:val="00E16C4E"/>
    <w:rsid w:val="00E16C5B"/>
    <w:rsid w:val="00E17339"/>
    <w:rsid w:val="00E20312"/>
    <w:rsid w:val="00E2068F"/>
    <w:rsid w:val="00E215CA"/>
    <w:rsid w:val="00E21B7C"/>
    <w:rsid w:val="00E22131"/>
    <w:rsid w:val="00E23C11"/>
    <w:rsid w:val="00E24C28"/>
    <w:rsid w:val="00E3167B"/>
    <w:rsid w:val="00E34B58"/>
    <w:rsid w:val="00E35F5B"/>
    <w:rsid w:val="00E3621A"/>
    <w:rsid w:val="00E37A7A"/>
    <w:rsid w:val="00E42C26"/>
    <w:rsid w:val="00E435A9"/>
    <w:rsid w:val="00E4491B"/>
    <w:rsid w:val="00E47630"/>
    <w:rsid w:val="00E55B3B"/>
    <w:rsid w:val="00E55E91"/>
    <w:rsid w:val="00E5618B"/>
    <w:rsid w:val="00E5683C"/>
    <w:rsid w:val="00E57A10"/>
    <w:rsid w:val="00E57E5D"/>
    <w:rsid w:val="00E602EC"/>
    <w:rsid w:val="00E60404"/>
    <w:rsid w:val="00E66E46"/>
    <w:rsid w:val="00E66EE3"/>
    <w:rsid w:val="00E71964"/>
    <w:rsid w:val="00E738EC"/>
    <w:rsid w:val="00E76AB4"/>
    <w:rsid w:val="00E76F3B"/>
    <w:rsid w:val="00E825AB"/>
    <w:rsid w:val="00E8567C"/>
    <w:rsid w:val="00E8577E"/>
    <w:rsid w:val="00E934FE"/>
    <w:rsid w:val="00E9356C"/>
    <w:rsid w:val="00E94157"/>
    <w:rsid w:val="00E94960"/>
    <w:rsid w:val="00E950F5"/>
    <w:rsid w:val="00E95E7A"/>
    <w:rsid w:val="00E96C60"/>
    <w:rsid w:val="00EA1BB9"/>
    <w:rsid w:val="00EA505C"/>
    <w:rsid w:val="00EA7525"/>
    <w:rsid w:val="00EB01B1"/>
    <w:rsid w:val="00EB0259"/>
    <w:rsid w:val="00EB07BD"/>
    <w:rsid w:val="00EB14DD"/>
    <w:rsid w:val="00EB1EBF"/>
    <w:rsid w:val="00EB2FEF"/>
    <w:rsid w:val="00EB34E9"/>
    <w:rsid w:val="00EB4A66"/>
    <w:rsid w:val="00EB4EC1"/>
    <w:rsid w:val="00EB539E"/>
    <w:rsid w:val="00EB5766"/>
    <w:rsid w:val="00EC0262"/>
    <w:rsid w:val="00EC0891"/>
    <w:rsid w:val="00EC0B3A"/>
    <w:rsid w:val="00EC0C89"/>
    <w:rsid w:val="00EC117D"/>
    <w:rsid w:val="00EC1942"/>
    <w:rsid w:val="00EC4697"/>
    <w:rsid w:val="00EC5831"/>
    <w:rsid w:val="00EC63A1"/>
    <w:rsid w:val="00EC7177"/>
    <w:rsid w:val="00ED107A"/>
    <w:rsid w:val="00ED1169"/>
    <w:rsid w:val="00ED12E4"/>
    <w:rsid w:val="00ED1543"/>
    <w:rsid w:val="00ED38F0"/>
    <w:rsid w:val="00ED51FE"/>
    <w:rsid w:val="00EE0B02"/>
    <w:rsid w:val="00EE31AE"/>
    <w:rsid w:val="00EE4C33"/>
    <w:rsid w:val="00EE51DB"/>
    <w:rsid w:val="00EF2F2A"/>
    <w:rsid w:val="00EF3433"/>
    <w:rsid w:val="00EF3E39"/>
    <w:rsid w:val="00EF47DB"/>
    <w:rsid w:val="00F000F2"/>
    <w:rsid w:val="00F014B3"/>
    <w:rsid w:val="00F02FF9"/>
    <w:rsid w:val="00F03EA3"/>
    <w:rsid w:val="00F050E9"/>
    <w:rsid w:val="00F06337"/>
    <w:rsid w:val="00F06501"/>
    <w:rsid w:val="00F0655E"/>
    <w:rsid w:val="00F079F3"/>
    <w:rsid w:val="00F11DD7"/>
    <w:rsid w:val="00F12038"/>
    <w:rsid w:val="00F12E6A"/>
    <w:rsid w:val="00F13DC0"/>
    <w:rsid w:val="00F14485"/>
    <w:rsid w:val="00F16F02"/>
    <w:rsid w:val="00F2008D"/>
    <w:rsid w:val="00F208A6"/>
    <w:rsid w:val="00F210A6"/>
    <w:rsid w:val="00F21489"/>
    <w:rsid w:val="00F21859"/>
    <w:rsid w:val="00F2233B"/>
    <w:rsid w:val="00F23535"/>
    <w:rsid w:val="00F25BEC"/>
    <w:rsid w:val="00F26A60"/>
    <w:rsid w:val="00F27045"/>
    <w:rsid w:val="00F2786C"/>
    <w:rsid w:val="00F27DA1"/>
    <w:rsid w:val="00F31EE2"/>
    <w:rsid w:val="00F358E8"/>
    <w:rsid w:val="00F36803"/>
    <w:rsid w:val="00F37321"/>
    <w:rsid w:val="00F37E2A"/>
    <w:rsid w:val="00F37F04"/>
    <w:rsid w:val="00F418A8"/>
    <w:rsid w:val="00F41DC8"/>
    <w:rsid w:val="00F42051"/>
    <w:rsid w:val="00F4225F"/>
    <w:rsid w:val="00F458E9"/>
    <w:rsid w:val="00F45D06"/>
    <w:rsid w:val="00F465B6"/>
    <w:rsid w:val="00F46B45"/>
    <w:rsid w:val="00F47199"/>
    <w:rsid w:val="00F472CA"/>
    <w:rsid w:val="00F50542"/>
    <w:rsid w:val="00F55FF1"/>
    <w:rsid w:val="00F621D8"/>
    <w:rsid w:val="00F64842"/>
    <w:rsid w:val="00F64925"/>
    <w:rsid w:val="00F64CB9"/>
    <w:rsid w:val="00F65210"/>
    <w:rsid w:val="00F65B2C"/>
    <w:rsid w:val="00F66F09"/>
    <w:rsid w:val="00F67181"/>
    <w:rsid w:val="00F671BC"/>
    <w:rsid w:val="00F700C3"/>
    <w:rsid w:val="00F732A2"/>
    <w:rsid w:val="00F7372F"/>
    <w:rsid w:val="00F74684"/>
    <w:rsid w:val="00F7500A"/>
    <w:rsid w:val="00F77628"/>
    <w:rsid w:val="00F80277"/>
    <w:rsid w:val="00F838DD"/>
    <w:rsid w:val="00F843AF"/>
    <w:rsid w:val="00F85FB5"/>
    <w:rsid w:val="00F86833"/>
    <w:rsid w:val="00F86A04"/>
    <w:rsid w:val="00F87E69"/>
    <w:rsid w:val="00F90774"/>
    <w:rsid w:val="00F93C2C"/>
    <w:rsid w:val="00F93FE6"/>
    <w:rsid w:val="00F95C0A"/>
    <w:rsid w:val="00FA03C0"/>
    <w:rsid w:val="00FA05B8"/>
    <w:rsid w:val="00FA201A"/>
    <w:rsid w:val="00FA3124"/>
    <w:rsid w:val="00FA6863"/>
    <w:rsid w:val="00FB06F3"/>
    <w:rsid w:val="00FB1341"/>
    <w:rsid w:val="00FB25B5"/>
    <w:rsid w:val="00FB3141"/>
    <w:rsid w:val="00FB3B70"/>
    <w:rsid w:val="00FC00B7"/>
    <w:rsid w:val="00FC3108"/>
    <w:rsid w:val="00FC4FF5"/>
    <w:rsid w:val="00FC5B16"/>
    <w:rsid w:val="00FC6159"/>
    <w:rsid w:val="00FC7E57"/>
    <w:rsid w:val="00FC7E7F"/>
    <w:rsid w:val="00FD061C"/>
    <w:rsid w:val="00FD164D"/>
    <w:rsid w:val="00FD2325"/>
    <w:rsid w:val="00FD6188"/>
    <w:rsid w:val="00FD6D1A"/>
    <w:rsid w:val="00FD7207"/>
    <w:rsid w:val="00FD7D3F"/>
    <w:rsid w:val="00FE512E"/>
    <w:rsid w:val="00FE560B"/>
    <w:rsid w:val="00FE635C"/>
    <w:rsid w:val="00FE6A68"/>
    <w:rsid w:val="00FE760E"/>
    <w:rsid w:val="00FE7621"/>
    <w:rsid w:val="00FE774C"/>
    <w:rsid w:val="00FE7920"/>
    <w:rsid w:val="00FF2387"/>
    <w:rsid w:val="00FF3096"/>
    <w:rsid w:val="00FF4DB2"/>
    <w:rsid w:val="00FF573F"/>
    <w:rsid w:val="00FF6750"/>
    <w:rsid w:val="00FF6CC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E78047"/>
  <w15:docId w15:val="{5F497BAD-103E-4298-BC36-6C0AEAD8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lang w:val="en-GB" w:eastAsia="en-US"/>
    </w:rPr>
  </w:style>
  <w:style w:type="paragraph" w:styleId="Heading1">
    <w:name w:val="heading 1"/>
    <w:basedOn w:val="Normal"/>
    <w:next w:val="Heading2"/>
    <w:link w:val="Heading1Char1"/>
    <w:uiPriority w:val="99"/>
    <w:qFormat/>
    <w:rsid w:val="005513BF"/>
    <w:pPr>
      <w:keepNext/>
      <w:tabs>
        <w:tab w:val="left" w:pos="720"/>
      </w:tabs>
      <w:spacing w:before="240" w:after="120"/>
      <w:jc w:val="center"/>
      <w:outlineLvl w:val="0"/>
    </w:pPr>
    <w:rPr>
      <w:b/>
      <w:bCs/>
      <w:caps/>
      <w:sz w:val="24"/>
      <w:szCs w:val="24"/>
      <w:lang w:eastAsia="ru-RU"/>
    </w:rPr>
  </w:style>
  <w:style w:type="paragraph" w:styleId="Heading2">
    <w:name w:val="heading 2"/>
    <w:basedOn w:val="Normal"/>
    <w:next w:val="Normal"/>
    <w:link w:val="Heading2Char"/>
    <w:uiPriority w:val="99"/>
    <w:qFormat/>
    <w:rsid w:val="00E55B3B"/>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5513BF"/>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5513BF"/>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5513BF"/>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5513BF"/>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0A2DE8"/>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0A2DE8"/>
    <w:rPr>
      <w:rFonts w:ascii="Cambria" w:hAnsi="Cambria" w:cs="Cambria"/>
      <w:b/>
      <w:bCs/>
      <w:i/>
      <w:iCs/>
      <w:sz w:val="28"/>
      <w:szCs w:val="28"/>
      <w:lang w:val="en-GB" w:eastAsia="en-US"/>
    </w:rPr>
  </w:style>
  <w:style w:type="character" w:customStyle="1" w:styleId="Heading3Char">
    <w:name w:val="Heading 3 Char"/>
    <w:basedOn w:val="DefaultParagraphFont"/>
    <w:link w:val="Heading3"/>
    <w:uiPriority w:val="99"/>
    <w:semiHidden/>
    <w:locked/>
    <w:rsid w:val="000A2DE8"/>
    <w:rPr>
      <w:rFonts w:ascii="Cambria" w:hAnsi="Cambria" w:cs="Cambria"/>
      <w:b/>
      <w:bCs/>
      <w:sz w:val="26"/>
      <w:szCs w:val="26"/>
      <w:lang w:val="en-GB" w:eastAsia="en-US"/>
    </w:rPr>
  </w:style>
  <w:style w:type="character" w:customStyle="1" w:styleId="Heading4Char">
    <w:name w:val="Heading 4 Char"/>
    <w:basedOn w:val="DefaultParagraphFont"/>
    <w:link w:val="Heading4"/>
    <w:uiPriority w:val="99"/>
    <w:semiHidden/>
    <w:locked/>
    <w:rsid w:val="000A2DE8"/>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0A2DE8"/>
    <w:rPr>
      <w:rFonts w:ascii="Calibri" w:hAnsi="Calibri" w:cs="Calibri"/>
      <w:b/>
      <w:bCs/>
      <w:i/>
      <w:iCs/>
      <w:sz w:val="26"/>
      <w:szCs w:val="26"/>
      <w:lang w:val="en-GB" w:eastAsia="en-US"/>
    </w:rPr>
  </w:style>
  <w:style w:type="character" w:customStyle="1" w:styleId="Heading6Char">
    <w:name w:val="Heading 6 Char"/>
    <w:basedOn w:val="DefaultParagraphFont"/>
    <w:link w:val="Heading6"/>
    <w:uiPriority w:val="99"/>
    <w:semiHidden/>
    <w:locked/>
    <w:rsid w:val="000A2DE8"/>
    <w:rPr>
      <w:rFonts w:ascii="Calibri" w:hAnsi="Calibri" w:cs="Calibri"/>
      <w:b/>
      <w:bCs/>
      <w:lang w:val="en-GB" w:eastAsia="en-US"/>
    </w:rPr>
  </w:style>
  <w:style w:type="character" w:customStyle="1" w:styleId="Heading7Char">
    <w:name w:val="Heading 7 Char"/>
    <w:basedOn w:val="DefaultParagraphFont"/>
    <w:link w:val="Heading7"/>
    <w:uiPriority w:val="99"/>
    <w:semiHidden/>
    <w:locked/>
    <w:rsid w:val="000A2DE8"/>
    <w:rPr>
      <w:rFonts w:ascii="Calibri" w:hAnsi="Calibri" w:cs="Calibri"/>
      <w:sz w:val="24"/>
      <w:szCs w:val="24"/>
      <w:lang w:val="en-GB" w:eastAsia="en-US"/>
    </w:rPr>
  </w:style>
  <w:style w:type="character" w:customStyle="1" w:styleId="Heading8Char">
    <w:name w:val="Heading 8 Char"/>
    <w:basedOn w:val="DefaultParagraphFont"/>
    <w:link w:val="Heading8"/>
    <w:uiPriority w:val="99"/>
    <w:semiHidden/>
    <w:locked/>
    <w:rsid w:val="000A2DE8"/>
    <w:rPr>
      <w:rFonts w:ascii="Calibri" w:hAnsi="Calibri" w:cs="Calibri"/>
      <w:i/>
      <w:iCs/>
      <w:sz w:val="24"/>
      <w:szCs w:val="24"/>
      <w:lang w:val="en-GB" w:eastAsia="en-US"/>
    </w:rPr>
  </w:style>
  <w:style w:type="character" w:customStyle="1" w:styleId="Heading9Char">
    <w:name w:val="Heading 9 Char"/>
    <w:basedOn w:val="DefaultParagraphFont"/>
    <w:link w:val="Heading9"/>
    <w:uiPriority w:val="99"/>
    <w:semiHidden/>
    <w:locked/>
    <w:rsid w:val="000A2DE8"/>
    <w:rPr>
      <w:rFonts w:ascii="Cambria" w:hAnsi="Cambria" w:cs="Cambria"/>
      <w:lang w:val="en-GB" w:eastAsia="en-US"/>
    </w:rPr>
  </w:style>
  <w:style w:type="paragraph" w:styleId="Header">
    <w:name w:val="header"/>
    <w:basedOn w:val="Normal"/>
    <w:link w:val="HeaderChar1"/>
    <w:uiPriority w:val="99"/>
    <w:rsid w:val="005513BF"/>
    <w:pPr>
      <w:tabs>
        <w:tab w:val="center" w:pos="4320"/>
        <w:tab w:val="right" w:pos="8640"/>
      </w:tabs>
    </w:pPr>
    <w:rPr>
      <w:sz w:val="24"/>
      <w:szCs w:val="24"/>
      <w:lang w:eastAsia="ru-RU"/>
    </w:rPr>
  </w:style>
  <w:style w:type="character" w:customStyle="1" w:styleId="HeaderChar">
    <w:name w:val="Header Char"/>
    <w:basedOn w:val="DefaultParagraphFont"/>
    <w:uiPriority w:val="99"/>
    <w:semiHidden/>
    <w:locked/>
    <w:rsid w:val="000A2DE8"/>
    <w:rPr>
      <w:lang w:val="en-GB" w:eastAsia="en-US"/>
    </w:rPr>
  </w:style>
  <w:style w:type="paragraph" w:styleId="Footer">
    <w:name w:val="footer"/>
    <w:basedOn w:val="Normal"/>
    <w:link w:val="FooterChar"/>
    <w:uiPriority w:val="99"/>
    <w:rsid w:val="005513BF"/>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sid w:val="000A2DE8"/>
    <w:rPr>
      <w:lang w:val="en-GB" w:eastAsia="en-US"/>
    </w:rPr>
  </w:style>
  <w:style w:type="paragraph" w:customStyle="1" w:styleId="Para1">
    <w:name w:val="Para1"/>
    <w:basedOn w:val="Normal"/>
    <w:link w:val="Para1Char"/>
    <w:uiPriority w:val="99"/>
    <w:rsid w:val="00F13DC0"/>
    <w:pPr>
      <w:numPr>
        <w:numId w:val="2"/>
      </w:numPr>
      <w:spacing w:before="120" w:after="120"/>
    </w:pPr>
    <w:rPr>
      <w:sz w:val="18"/>
      <w:szCs w:val="18"/>
      <w:lang w:eastAsia="ru-RU"/>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semiHidden/>
    <w:rsid w:val="005513BF"/>
    <w:pPr>
      <w:keepLines/>
      <w:spacing w:after="60"/>
      <w:ind w:firstLine="720"/>
    </w:pPr>
    <w:rPr>
      <w:sz w:val="24"/>
      <w:szCs w:val="24"/>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29441D"/>
    <w:rPr>
      <w:sz w:val="20"/>
      <w:szCs w:val="20"/>
      <w:lang w:val="en-GB" w:eastAsia="en-US"/>
    </w:rPr>
  </w:style>
  <w:style w:type="character" w:customStyle="1" w:styleId="FootnoteTextChar4">
    <w:name w:val="Footnote Text Char4"/>
    <w:aliases w:val="Geneva 9 Char4,Font: Geneva 9 Char4,Boston 10 Char4,f Char4,ft Char12,Fotnotstext Char Char4,ft Char Char4,single space Char4,FOOTNOTES Char4,ADB Char4,single space1 Char4,footnote text1 Char4,FOOTNOTES1 Char4,fn1 Char4,ADB1 Char4"/>
    <w:basedOn w:val="DefaultParagraphFont"/>
    <w:uiPriority w:val="99"/>
    <w:semiHidden/>
    <w:locked/>
    <w:rPr>
      <w:sz w:val="20"/>
      <w:szCs w:val="20"/>
      <w:lang w:val="en-GB" w:eastAsia="en-US"/>
    </w:rPr>
  </w:style>
  <w:style w:type="character" w:customStyle="1" w:styleId="FootnoteTextChar3">
    <w:name w:val="Footnote Text Char3"/>
    <w:aliases w:val="Geneva 9 Char3,Font: Geneva 9 Char3,Boston 10 Char3,f Char3,ft Char11,Fotnotstext Char Char3,ft Char Char3,single space Char3,FOOTNOTES Char3,ADB Char3,single space1 Char3,footnote text1 Char3,FOOTNOTES1 Char3,fn1 Char3,ADB1 Char3"/>
    <w:basedOn w:val="DefaultParagraphFont"/>
    <w:uiPriority w:val="99"/>
    <w:semiHidden/>
    <w:locked/>
    <w:rsid w:val="000A2DE8"/>
    <w:rPr>
      <w:sz w:val="20"/>
      <w:szCs w:val="20"/>
      <w:lang w:val="en-GB" w:eastAsia="en-US"/>
    </w:rPr>
  </w:style>
  <w:style w:type="paragraph" w:styleId="BodyText">
    <w:name w:val="Body Text"/>
    <w:basedOn w:val="Normal"/>
    <w:link w:val="BodyTextChar"/>
    <w:uiPriority w:val="99"/>
    <w:rsid w:val="005513BF"/>
    <w:pPr>
      <w:spacing w:before="120" w:after="120"/>
      <w:ind w:firstLine="720"/>
    </w:pPr>
  </w:style>
  <w:style w:type="character" w:customStyle="1" w:styleId="BodyTextChar">
    <w:name w:val="Body Text Char"/>
    <w:basedOn w:val="DefaultParagraphFont"/>
    <w:link w:val="BodyText"/>
    <w:uiPriority w:val="99"/>
    <w:semiHidden/>
    <w:locked/>
    <w:rsid w:val="000A2DE8"/>
    <w:rPr>
      <w:lang w:val="en-GB" w:eastAsia="en-US"/>
    </w:rPr>
  </w:style>
  <w:style w:type="character" w:customStyle="1" w:styleId="StyleFootnoteReferenceNounderline">
    <w:name w:val="Style Footnote Reference + No underline"/>
    <w:uiPriority w:val="99"/>
    <w:rsid w:val="006507F2"/>
    <w:rPr>
      <w:sz w:val="18"/>
      <w:szCs w:val="18"/>
      <w:u w:val="none"/>
      <w:vertAlign w:val="baseline"/>
    </w:rPr>
  </w:style>
  <w:style w:type="paragraph" w:customStyle="1" w:styleId="Quotationtextindented">
    <w:name w:val="Quotation text (indented)"/>
    <w:basedOn w:val="Normal"/>
    <w:uiPriority w:val="99"/>
    <w:rsid w:val="006507F2"/>
    <w:pPr>
      <w:spacing w:before="120" w:after="120"/>
      <w:ind w:left="720" w:right="720"/>
    </w:pPr>
  </w:style>
  <w:style w:type="paragraph" w:customStyle="1" w:styleId="recommendationheader">
    <w:name w:val="recommendation header"/>
    <w:basedOn w:val="Heading2"/>
    <w:uiPriority w:val="99"/>
    <w:rsid w:val="006507F2"/>
  </w:style>
  <w:style w:type="character" w:styleId="CommentReference">
    <w:name w:val="annotation reference"/>
    <w:basedOn w:val="DefaultParagraphFont"/>
    <w:uiPriority w:val="99"/>
    <w:semiHidden/>
    <w:rsid w:val="005513BF"/>
    <w:rPr>
      <w:sz w:val="16"/>
      <w:szCs w:val="16"/>
    </w:rPr>
  </w:style>
  <w:style w:type="paragraph" w:styleId="CommentText">
    <w:name w:val="annotation text"/>
    <w:basedOn w:val="Normal"/>
    <w:link w:val="CommentTextChar1"/>
    <w:uiPriority w:val="99"/>
    <w:semiHidden/>
    <w:rsid w:val="005513BF"/>
    <w:pPr>
      <w:spacing w:after="120" w:line="240" w:lineRule="exact"/>
    </w:pPr>
    <w:rPr>
      <w:sz w:val="24"/>
      <w:szCs w:val="24"/>
      <w:lang w:eastAsia="ru-RU"/>
    </w:rPr>
  </w:style>
  <w:style w:type="character" w:customStyle="1" w:styleId="CommentTextChar">
    <w:name w:val="Comment Text Char"/>
    <w:basedOn w:val="DefaultParagraphFont"/>
    <w:uiPriority w:val="99"/>
    <w:semiHidden/>
    <w:locked/>
    <w:rsid w:val="000A2DE8"/>
    <w:rPr>
      <w:sz w:val="20"/>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semiHidden/>
    <w:rsid w:val="005513BF"/>
    <w:rPr>
      <w:sz w:val="18"/>
      <w:szCs w:val="18"/>
      <w:u w:val="single"/>
      <w:vertAlign w:val="baseline"/>
    </w:rPr>
  </w:style>
  <w:style w:type="paragraph" w:styleId="BodyTextIndent">
    <w:name w:val="Body Text Indent"/>
    <w:basedOn w:val="Normal"/>
    <w:link w:val="BodyTextIndentChar"/>
    <w:uiPriority w:val="99"/>
    <w:rsid w:val="005513BF"/>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sid w:val="000A2DE8"/>
    <w:rPr>
      <w:lang w:val="en-GB" w:eastAsia="en-US"/>
    </w:rPr>
  </w:style>
  <w:style w:type="character" w:styleId="PageNumber">
    <w:name w:val="page number"/>
    <w:basedOn w:val="DefaultParagraphFont"/>
    <w:uiPriority w:val="99"/>
    <w:rsid w:val="005513BF"/>
    <w:rPr>
      <w:rFonts w:ascii="Times New Roman" w:hAnsi="Times New Roman" w:cs="Times New Roman"/>
      <w:sz w:val="22"/>
      <w:szCs w:val="22"/>
    </w:rPr>
  </w:style>
  <w:style w:type="paragraph" w:customStyle="1" w:styleId="HEADING">
    <w:name w:val="HEADING"/>
    <w:basedOn w:val="Normal"/>
    <w:link w:val="HEADINGChar"/>
    <w:uiPriority w:val="99"/>
    <w:rsid w:val="005513BF"/>
    <w:pPr>
      <w:keepNext/>
      <w:spacing w:before="240" w:after="120"/>
      <w:jc w:val="center"/>
    </w:pPr>
    <w:rPr>
      <w:b/>
      <w:bCs/>
      <w:caps/>
      <w:sz w:val="24"/>
      <w:szCs w:val="24"/>
      <w:lang w:eastAsia="ru-RU"/>
    </w:rPr>
  </w:style>
  <w:style w:type="paragraph" w:customStyle="1" w:styleId="para4">
    <w:name w:val="para4"/>
    <w:basedOn w:val="Normal"/>
    <w:uiPriority w:val="99"/>
    <w:rsid w:val="005513BF"/>
    <w:pPr>
      <w:numPr>
        <w:ilvl w:val="3"/>
        <w:numId w:val="5"/>
      </w:num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Heading4indent">
    <w:name w:val="Heading 4 indent"/>
    <w:basedOn w:val="Heading4"/>
    <w:uiPriority w:val="99"/>
    <w:rsid w:val="000F63AB"/>
    <w:pPr>
      <w:ind w:left="720"/>
      <w:outlineLvl w:val="9"/>
    </w:pPr>
    <w:rPr>
      <w:rFonts w:ascii="Times New Roman" w:hAnsi="Times New Roman" w:cs="Times New Roman"/>
    </w:rPr>
  </w:style>
  <w:style w:type="paragraph" w:customStyle="1" w:styleId="Cornernotation">
    <w:name w:val="Corner notation"/>
    <w:basedOn w:val="Normal"/>
    <w:uiPriority w:val="99"/>
    <w:rsid w:val="005513BF"/>
    <w:pPr>
      <w:ind w:left="170" w:right="3119" w:hanging="170"/>
      <w:jc w:val="left"/>
    </w:pPr>
  </w:style>
  <w:style w:type="paragraph" w:customStyle="1" w:styleId="Para3">
    <w:name w:val="Para3"/>
    <w:basedOn w:val="Normal"/>
    <w:uiPriority w:val="99"/>
    <w:rsid w:val="005513BF"/>
    <w:pPr>
      <w:numPr>
        <w:ilvl w:val="2"/>
        <w:numId w:val="4"/>
      </w:numPr>
      <w:tabs>
        <w:tab w:val="left" w:pos="1980"/>
      </w:tabs>
      <w:spacing w:before="80" w:after="80"/>
    </w:pPr>
  </w:style>
  <w:style w:type="paragraph" w:customStyle="1" w:styleId="recommendationheaderlong">
    <w:name w:val="recommendation header long"/>
    <w:basedOn w:val="Heading2longmultiline"/>
    <w:uiPriority w:val="99"/>
    <w:rsid w:val="000F63AB"/>
  </w:style>
  <w:style w:type="paragraph" w:customStyle="1" w:styleId="tabletitle">
    <w:name w:val="table title"/>
    <w:basedOn w:val="Heading2"/>
    <w:uiPriority w:val="99"/>
    <w:rsid w:val="000F63AB"/>
    <w:pPr>
      <w:jc w:val="left"/>
      <w:outlineLvl w:val="9"/>
    </w:pPr>
  </w:style>
  <w:style w:type="paragraph" w:styleId="TOAHeading">
    <w:name w:val="toa heading"/>
    <w:basedOn w:val="Normal"/>
    <w:next w:val="Normal"/>
    <w:uiPriority w:val="99"/>
    <w:semiHidden/>
    <w:rsid w:val="005513BF"/>
    <w:pPr>
      <w:spacing w:before="120"/>
    </w:pPr>
    <w:rPr>
      <w:b/>
      <w:bCs/>
      <w:sz w:val="24"/>
      <w:szCs w:val="24"/>
    </w:rPr>
  </w:style>
  <w:style w:type="paragraph" w:styleId="TOC9">
    <w:name w:val="toc 9"/>
    <w:basedOn w:val="Normal"/>
    <w:next w:val="Normal"/>
    <w:autoRedefine/>
    <w:uiPriority w:val="99"/>
    <w:semiHidden/>
    <w:rsid w:val="00325F65"/>
    <w:pPr>
      <w:numPr>
        <w:numId w:val="17"/>
      </w:numPr>
      <w:suppressLineNumbers/>
      <w:tabs>
        <w:tab w:val="left" w:pos="1440"/>
      </w:tabs>
      <w:suppressAutoHyphens/>
      <w:kinsoku w:val="0"/>
      <w:overflowPunct w:val="0"/>
      <w:autoSpaceDE w:val="0"/>
      <w:autoSpaceDN w:val="0"/>
      <w:adjustRightInd w:val="0"/>
      <w:snapToGrid w:val="0"/>
      <w:spacing w:before="120" w:after="120"/>
      <w:ind w:left="0" w:firstLine="900"/>
    </w:pPr>
  </w:style>
  <w:style w:type="paragraph" w:styleId="TOC1">
    <w:name w:val="toc 1"/>
    <w:basedOn w:val="Normal"/>
    <w:next w:val="Normal"/>
    <w:autoRedefine/>
    <w:uiPriority w:val="99"/>
    <w:semiHidden/>
    <w:rsid w:val="005513BF"/>
    <w:pPr>
      <w:ind w:left="720" w:hanging="720"/>
    </w:pPr>
    <w:rPr>
      <w:caps/>
    </w:rPr>
  </w:style>
  <w:style w:type="paragraph" w:styleId="TOC2">
    <w:name w:val="toc 2"/>
    <w:basedOn w:val="Normal"/>
    <w:next w:val="Normal"/>
    <w:autoRedefine/>
    <w:uiPriority w:val="99"/>
    <w:semiHidden/>
    <w:rsid w:val="005513BF"/>
    <w:pPr>
      <w:tabs>
        <w:tab w:val="right" w:leader="dot" w:pos="9356"/>
      </w:tabs>
      <w:ind w:left="1440" w:hanging="720"/>
    </w:pPr>
    <w:rPr>
      <w:noProof/>
    </w:rPr>
  </w:style>
  <w:style w:type="paragraph" w:styleId="TOC3">
    <w:name w:val="toc 3"/>
    <w:basedOn w:val="Normal"/>
    <w:next w:val="Normal"/>
    <w:autoRedefine/>
    <w:uiPriority w:val="99"/>
    <w:semiHidden/>
    <w:rsid w:val="005513BF"/>
    <w:pPr>
      <w:ind w:left="2160" w:hanging="720"/>
    </w:pPr>
  </w:style>
  <w:style w:type="paragraph" w:styleId="TOC4">
    <w:name w:val="toc 4"/>
    <w:basedOn w:val="Normal"/>
    <w:next w:val="Normal"/>
    <w:autoRedefine/>
    <w:uiPriority w:val="99"/>
    <w:semiHidden/>
    <w:rsid w:val="005513BF"/>
    <w:pPr>
      <w:spacing w:before="120" w:after="120"/>
      <w:ind w:left="660"/>
      <w:jc w:val="left"/>
    </w:pPr>
  </w:style>
  <w:style w:type="paragraph" w:styleId="TOC5">
    <w:name w:val="toc 5"/>
    <w:basedOn w:val="Normal"/>
    <w:next w:val="Normal"/>
    <w:autoRedefine/>
    <w:uiPriority w:val="99"/>
    <w:semiHidden/>
    <w:rsid w:val="005513BF"/>
    <w:pPr>
      <w:spacing w:before="120" w:after="120"/>
      <w:ind w:left="880"/>
      <w:jc w:val="left"/>
    </w:pPr>
  </w:style>
  <w:style w:type="paragraph" w:styleId="TOC6">
    <w:name w:val="toc 6"/>
    <w:basedOn w:val="Normal"/>
    <w:next w:val="Normal"/>
    <w:autoRedefine/>
    <w:uiPriority w:val="99"/>
    <w:semiHidden/>
    <w:rsid w:val="005513BF"/>
    <w:pPr>
      <w:spacing w:before="120" w:after="120"/>
      <w:ind w:left="1100"/>
      <w:jc w:val="left"/>
    </w:pPr>
  </w:style>
  <w:style w:type="paragraph" w:styleId="TOC7">
    <w:name w:val="toc 7"/>
    <w:basedOn w:val="Normal"/>
    <w:next w:val="Normal"/>
    <w:autoRedefine/>
    <w:uiPriority w:val="99"/>
    <w:semiHidden/>
    <w:rsid w:val="005513BF"/>
    <w:pPr>
      <w:spacing w:before="120" w:after="120"/>
      <w:ind w:left="1320"/>
      <w:jc w:val="left"/>
    </w:pPr>
  </w:style>
  <w:style w:type="paragraph" w:styleId="TOC8">
    <w:name w:val="toc 8"/>
    <w:basedOn w:val="Normal"/>
    <w:next w:val="Normal"/>
    <w:autoRedefine/>
    <w:uiPriority w:val="99"/>
    <w:semiHidden/>
    <w:rsid w:val="005513BF"/>
    <w:pPr>
      <w:spacing w:before="120" w:after="120"/>
      <w:ind w:left="1540"/>
      <w:jc w:val="left"/>
    </w:pPr>
  </w:style>
  <w:style w:type="paragraph" w:customStyle="1" w:styleId="reference">
    <w:name w:val="reference"/>
    <w:basedOn w:val="Heading9"/>
    <w:uiPriority w:val="99"/>
    <w:rsid w:val="000F63AB"/>
    <w:rPr>
      <w:i w:val="0"/>
      <w:iCs w:val="0"/>
      <w:sz w:val="18"/>
      <w:szCs w:val="18"/>
    </w:rPr>
  </w:style>
  <w:style w:type="character" w:styleId="FollowedHyperlink">
    <w:name w:val="FollowedHyperlink"/>
    <w:basedOn w:val="DefaultParagraphFont"/>
    <w:uiPriority w:val="99"/>
    <w:rsid w:val="005513BF"/>
    <w:rPr>
      <w:color w:val="800080"/>
      <w:u w:val="single"/>
    </w:rPr>
  </w:style>
  <w:style w:type="paragraph" w:customStyle="1" w:styleId="Style1">
    <w:name w:val="Style1"/>
    <w:basedOn w:val="Heading2"/>
    <w:uiPriority w:val="99"/>
    <w:rsid w:val="00CA6B87"/>
    <w:rPr>
      <w:i/>
      <w:iCs/>
    </w:rPr>
  </w:style>
  <w:style w:type="paragraph" w:customStyle="1" w:styleId="Para2">
    <w:name w:val="Para2"/>
    <w:basedOn w:val="Para1"/>
    <w:uiPriority w:val="99"/>
    <w:rsid w:val="005513BF"/>
    <w:pPr>
      <w:numPr>
        <w:numId w:val="3"/>
      </w:numPr>
      <w:tabs>
        <w:tab w:val="clear" w:pos="1080"/>
      </w:tabs>
      <w:autoSpaceDE w:val="0"/>
      <w:autoSpaceDN w:val="0"/>
      <w:ind w:left="0" w:firstLine="720"/>
    </w:pPr>
  </w:style>
  <w:style w:type="paragraph" w:customStyle="1" w:styleId="Para-decision">
    <w:name w:val="Para-decision"/>
    <w:basedOn w:val="Normal"/>
    <w:uiPriority w:val="99"/>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basedOn w:val="DefaultParagraphFont"/>
    <w:uiPriority w:val="99"/>
    <w:rsid w:val="00406BC6"/>
    <w:rPr>
      <w:color w:val="0000FF"/>
      <w:u w:val="single"/>
    </w:rPr>
  </w:style>
  <w:style w:type="character" w:styleId="EndnoteReference">
    <w:name w:val="endnote reference"/>
    <w:basedOn w:val="DefaultParagraphFont"/>
    <w:uiPriority w:val="99"/>
    <w:semiHidden/>
    <w:rsid w:val="005513BF"/>
    <w:rPr>
      <w:vertAlign w:val="superscript"/>
    </w:rPr>
  </w:style>
  <w:style w:type="paragraph" w:styleId="EndnoteText">
    <w:name w:val="endnote text"/>
    <w:basedOn w:val="Normal"/>
    <w:link w:val="EndnoteTextChar"/>
    <w:uiPriority w:val="99"/>
    <w:semiHidden/>
    <w:rsid w:val="005513BF"/>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0A2DE8"/>
    <w:rPr>
      <w:sz w:val="20"/>
      <w:szCs w:val="20"/>
      <w:lang w:val="en-GB" w:eastAsia="en-US"/>
    </w:rPr>
  </w:style>
  <w:style w:type="paragraph" w:customStyle="1" w:styleId="Heading1longmultiline">
    <w:name w:val="Heading 1 (long multiline)"/>
    <w:basedOn w:val="Heading1"/>
    <w:uiPriority w:val="99"/>
    <w:rsid w:val="005513BF"/>
    <w:pPr>
      <w:ind w:left="1843" w:hanging="1134"/>
      <w:jc w:val="left"/>
    </w:pPr>
  </w:style>
  <w:style w:type="paragraph" w:customStyle="1" w:styleId="Heading1multiline">
    <w:name w:val="Heading 1 (multiline)"/>
    <w:basedOn w:val="Heading1"/>
    <w:uiPriority w:val="99"/>
    <w:rsid w:val="005513BF"/>
    <w:pPr>
      <w:ind w:left="1843" w:right="996" w:hanging="567"/>
      <w:jc w:val="left"/>
    </w:pPr>
  </w:style>
  <w:style w:type="paragraph" w:customStyle="1" w:styleId="Heading2multiline">
    <w:name w:val="Heading 2 (multiline)"/>
    <w:basedOn w:val="Heading1"/>
    <w:next w:val="Para1"/>
    <w:uiPriority w:val="99"/>
    <w:rsid w:val="005513BF"/>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E55B3B"/>
    <w:pPr>
      <w:ind w:left="2127" w:hanging="1276"/>
    </w:pPr>
    <w:rPr>
      <w:i w:val="0"/>
      <w:iCs w:val="0"/>
    </w:rPr>
  </w:style>
  <w:style w:type="paragraph" w:customStyle="1" w:styleId="Heading3multiline">
    <w:name w:val="Heading 3 (multiline)"/>
    <w:basedOn w:val="Heading3"/>
    <w:next w:val="Para1"/>
    <w:uiPriority w:val="99"/>
    <w:rsid w:val="005513BF"/>
    <w:pPr>
      <w:ind w:left="1418" w:hanging="425"/>
      <w:jc w:val="left"/>
    </w:pPr>
  </w:style>
  <w:style w:type="paragraph" w:customStyle="1" w:styleId="heading2notforTOC">
    <w:name w:val="heading 2 not for TOC"/>
    <w:basedOn w:val="Heading3"/>
    <w:uiPriority w:val="99"/>
    <w:rsid w:val="00D14DB8"/>
  </w:style>
  <w:style w:type="paragraph" w:customStyle="1" w:styleId="HEADINGNOTFORTOC">
    <w:name w:val="HEADING (NOT FOR TOC)"/>
    <w:basedOn w:val="Heading1"/>
    <w:next w:val="Heading2"/>
    <w:uiPriority w:val="99"/>
    <w:rsid w:val="00D14DB8"/>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link w:val="FootnoteText"/>
    <w:uiPriority w:val="99"/>
    <w:locked/>
    <w:rsid w:val="00406BC6"/>
    <w:rPr>
      <w:sz w:val="24"/>
      <w:szCs w:val="24"/>
      <w:lang w:val="en-GB" w:eastAsia="en-US"/>
    </w:rPr>
  </w:style>
  <w:style w:type="paragraph" w:customStyle="1" w:styleId="decision">
    <w:name w:val="decision"/>
    <w:basedOn w:val="Normal"/>
    <w:uiPriority w:val="99"/>
    <w:rsid w:val="00406BC6"/>
    <w:pPr>
      <w:keepNext/>
      <w:spacing w:before="240" w:after="120"/>
      <w:ind w:hanging="11"/>
      <w:jc w:val="center"/>
    </w:pPr>
    <w:rPr>
      <w:b/>
      <w:bCs/>
      <w:kern w:val="22"/>
    </w:rPr>
  </w:style>
  <w:style w:type="paragraph" w:styleId="BalloonText">
    <w:name w:val="Balloon Text"/>
    <w:basedOn w:val="Normal"/>
    <w:link w:val="BalloonTextChar1"/>
    <w:uiPriority w:val="99"/>
    <w:semiHidden/>
    <w:rsid w:val="00406BC6"/>
    <w:rPr>
      <w:rFonts w:ascii="Tahoma" w:hAnsi="Tahoma" w:cs="Tahoma"/>
      <w:sz w:val="16"/>
      <w:szCs w:val="16"/>
    </w:rPr>
  </w:style>
  <w:style w:type="character" w:customStyle="1" w:styleId="BalloonTextChar">
    <w:name w:val="Balloon Text Char"/>
    <w:basedOn w:val="DefaultParagraphFont"/>
    <w:uiPriority w:val="99"/>
    <w:semiHidden/>
    <w:locked/>
    <w:rsid w:val="000A2DE8"/>
    <w:rPr>
      <w:sz w:val="2"/>
      <w:szCs w:val="2"/>
      <w:lang w:val="en-GB" w:eastAsia="en-US"/>
    </w:rPr>
  </w:style>
  <w:style w:type="character" w:customStyle="1" w:styleId="BalloonTextChar1">
    <w:name w:val="Balloon Text Char1"/>
    <w:link w:val="BalloonText"/>
    <w:uiPriority w:val="99"/>
    <w:semiHidden/>
    <w:locked/>
    <w:rsid w:val="00406BC6"/>
    <w:rPr>
      <w:rFonts w:ascii="Tahoma" w:hAnsi="Tahoma" w:cs="Tahoma"/>
      <w:sz w:val="16"/>
      <w:szCs w:val="16"/>
      <w:lang w:val="en-GB" w:eastAsia="en-US"/>
    </w:rPr>
  </w:style>
  <w:style w:type="character" w:customStyle="1" w:styleId="apple-converted-space">
    <w:name w:val="apple-converted-space"/>
    <w:uiPriority w:val="99"/>
    <w:rsid w:val="00CF4F69"/>
  </w:style>
  <w:style w:type="paragraph" w:styleId="CommentSubject">
    <w:name w:val="annotation subject"/>
    <w:basedOn w:val="CommentText"/>
    <w:next w:val="CommentText"/>
    <w:link w:val="CommentSubjectChar1"/>
    <w:uiPriority w:val="99"/>
    <w:semiHidden/>
    <w:rsid w:val="00D9537D"/>
    <w:pPr>
      <w:spacing w:after="0" w:line="240" w:lineRule="auto"/>
    </w:pPr>
    <w:rPr>
      <w:b/>
      <w:bCs/>
    </w:rPr>
  </w:style>
  <w:style w:type="character" w:customStyle="1" w:styleId="CommentSubjectChar">
    <w:name w:val="Comment Subject Char"/>
    <w:basedOn w:val="CommentTextChar"/>
    <w:uiPriority w:val="99"/>
    <w:semiHidden/>
    <w:locked/>
    <w:rsid w:val="000A2DE8"/>
    <w:rPr>
      <w:b/>
      <w:bCs/>
      <w:sz w:val="20"/>
      <w:szCs w:val="20"/>
      <w:lang w:val="en-GB" w:eastAsia="en-US"/>
    </w:rPr>
  </w:style>
  <w:style w:type="character" w:customStyle="1" w:styleId="CommentTextChar1">
    <w:name w:val="Comment Text Char1"/>
    <w:link w:val="CommentText"/>
    <w:uiPriority w:val="99"/>
    <w:semiHidden/>
    <w:locked/>
    <w:rsid w:val="00D9537D"/>
    <w:rPr>
      <w:sz w:val="24"/>
      <w:szCs w:val="24"/>
      <w:lang w:val="en-GB"/>
    </w:rPr>
  </w:style>
  <w:style w:type="character" w:customStyle="1" w:styleId="CommentSubjectChar1">
    <w:name w:val="Comment Subject Char1"/>
    <w:link w:val="CommentSubject"/>
    <w:uiPriority w:val="99"/>
    <w:semiHidden/>
    <w:locked/>
    <w:rsid w:val="00D9537D"/>
    <w:rPr>
      <w:b/>
      <w:bCs/>
      <w:sz w:val="24"/>
      <w:szCs w:val="24"/>
      <w:lang w:val="en-GB"/>
    </w:rPr>
  </w:style>
  <w:style w:type="paragraph" w:styleId="Revision">
    <w:name w:val="Revision"/>
    <w:hidden/>
    <w:uiPriority w:val="99"/>
    <w:semiHidden/>
    <w:rsid w:val="00D9537D"/>
    <w:rPr>
      <w:lang w:val="en-GB" w:eastAsia="en-US"/>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99"/>
    <w:qFormat/>
    <w:rsid w:val="00F16F02"/>
    <w:pPr>
      <w:ind w:left="720"/>
    </w:pPr>
  </w:style>
  <w:style w:type="paragraph" w:customStyle="1" w:styleId="meetingname">
    <w:name w:val="meeting name"/>
    <w:basedOn w:val="Cornernotation"/>
    <w:uiPriority w:val="99"/>
    <w:rsid w:val="00F13DC0"/>
    <w:rPr>
      <w:rFonts w:eastAsia="Malgun Gothic"/>
      <w:caps/>
    </w:rPr>
  </w:style>
  <w:style w:type="table" w:styleId="TableGrid">
    <w:name w:val="Table Grid"/>
    <w:basedOn w:val="TableNormal"/>
    <w:uiPriority w:val="99"/>
    <w:rsid w:val="00207A6E"/>
    <w:rPr>
      <w:rFonts w:ascii="Cambria" w:eastAsia="SimSun" w:hAnsi="Cambria" w:cs="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ink w:val="Heading1"/>
    <w:uiPriority w:val="99"/>
    <w:locked/>
    <w:rsid w:val="00292F67"/>
    <w:rPr>
      <w:b/>
      <w:bCs/>
      <w:caps/>
      <w:sz w:val="24"/>
      <w:szCs w:val="24"/>
      <w:lang w:val="en-GB"/>
    </w:rPr>
  </w:style>
  <w:style w:type="character" w:customStyle="1" w:styleId="HEADINGChar">
    <w:name w:val="HEADING Char"/>
    <w:link w:val="HEADING"/>
    <w:uiPriority w:val="99"/>
    <w:locked/>
    <w:rsid w:val="00EC1942"/>
    <w:rPr>
      <w:b/>
      <w:bCs/>
      <w:caps/>
      <w:sz w:val="24"/>
      <w:szCs w:val="24"/>
      <w:lang w:val="en-GB"/>
    </w:rPr>
  </w:style>
  <w:style w:type="character" w:customStyle="1" w:styleId="Para1Char">
    <w:name w:val="Para1 Char"/>
    <w:link w:val="Para1"/>
    <w:uiPriority w:val="99"/>
    <w:locked/>
    <w:rsid w:val="00EC1942"/>
    <w:rPr>
      <w:sz w:val="18"/>
      <w:szCs w:val="18"/>
      <w:lang w:val="en-GB"/>
    </w:rPr>
  </w:style>
  <w:style w:type="character" w:customStyle="1" w:styleId="UnresolvedMention1">
    <w:name w:val="Unresolved Mention1"/>
    <w:uiPriority w:val="99"/>
    <w:semiHidden/>
    <w:rsid w:val="001D4B85"/>
    <w:rPr>
      <w:color w:val="808080"/>
      <w:shd w:val="clear" w:color="auto" w:fill="auto"/>
    </w:rPr>
  </w:style>
  <w:style w:type="character" w:customStyle="1" w:styleId="HeaderChar1">
    <w:name w:val="Header Char1"/>
    <w:link w:val="Header"/>
    <w:uiPriority w:val="99"/>
    <w:locked/>
    <w:rsid w:val="00261973"/>
    <w:rPr>
      <w:sz w:val="24"/>
      <w:szCs w:val="24"/>
      <w:lang w:val="en-GB"/>
    </w:rPr>
  </w:style>
  <w:style w:type="paragraph" w:customStyle="1" w:styleId="Default">
    <w:name w:val="Default"/>
    <w:uiPriority w:val="99"/>
    <w:rsid w:val="0007615F"/>
    <w:pPr>
      <w:autoSpaceDE w:val="0"/>
      <w:autoSpaceDN w:val="0"/>
      <w:adjustRightInd w:val="0"/>
    </w:pPr>
    <w:rPr>
      <w:color w:val="000000"/>
      <w:sz w:val="24"/>
      <w:szCs w:val="24"/>
      <w:lang w:val="fr-CA" w:eastAsia="en-US"/>
    </w:rPr>
  </w:style>
  <w:style w:type="character" w:styleId="Emphasis">
    <w:name w:val="Emphasis"/>
    <w:basedOn w:val="DefaultParagraphFont"/>
    <w:uiPriority w:val="99"/>
    <w:qFormat/>
    <w:rsid w:val="004C25E6"/>
    <w:rPr>
      <w:i/>
      <w:iCs/>
    </w:rPr>
  </w:style>
  <w:style w:type="table" w:customStyle="1" w:styleId="TableGrid1">
    <w:name w:val="Table Grid1"/>
    <w:uiPriority w:val="99"/>
    <w:rsid w:val="00764925"/>
    <w:rPr>
      <w:rFonts w:ascii="Cambria" w:eastAsia="SimSun" w:hAnsi="Cambria" w:cs="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uiPriority w:val="99"/>
    <w:semiHidden/>
    <w:rsid w:val="00001DA9"/>
    <w:rPr>
      <w:color w:val="auto"/>
      <w:shd w:val="clear" w:color="auto" w:fill="auto"/>
    </w:rPr>
  </w:style>
  <w:style w:type="paragraph" w:styleId="BodyTextIndent3">
    <w:name w:val="Body Text Indent 3"/>
    <w:basedOn w:val="Normal"/>
    <w:link w:val="BodyTextIndent3Char1"/>
    <w:uiPriority w:val="99"/>
    <w:semiHidden/>
    <w:rsid w:val="005D2C02"/>
    <w:pPr>
      <w:spacing w:after="120"/>
      <w:ind w:left="283"/>
    </w:pPr>
    <w:rPr>
      <w:sz w:val="16"/>
      <w:szCs w:val="16"/>
      <w:lang w:eastAsia="ru-RU"/>
    </w:rPr>
  </w:style>
  <w:style w:type="character" w:customStyle="1" w:styleId="BodyTextIndent3Char">
    <w:name w:val="Body Text Indent 3 Char"/>
    <w:basedOn w:val="DefaultParagraphFont"/>
    <w:uiPriority w:val="99"/>
    <w:semiHidden/>
    <w:locked/>
    <w:rsid w:val="000A2DE8"/>
    <w:rPr>
      <w:sz w:val="16"/>
      <w:szCs w:val="16"/>
      <w:lang w:val="en-GB" w:eastAsia="en-US"/>
    </w:rPr>
  </w:style>
  <w:style w:type="character" w:customStyle="1" w:styleId="BodyTextIndent3Char1">
    <w:name w:val="Body Text Indent 3 Char1"/>
    <w:link w:val="BodyTextIndent3"/>
    <w:uiPriority w:val="99"/>
    <w:semiHidden/>
    <w:locked/>
    <w:rsid w:val="005D2C02"/>
    <w:rPr>
      <w:sz w:val="16"/>
      <w:szCs w:val="16"/>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A857AE"/>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108386">
      <w:marLeft w:val="0"/>
      <w:marRight w:val="0"/>
      <w:marTop w:val="0"/>
      <w:marBottom w:val="0"/>
      <w:divBdr>
        <w:top w:val="none" w:sz="0" w:space="0" w:color="auto"/>
        <w:left w:val="none" w:sz="0" w:space="0" w:color="auto"/>
        <w:bottom w:val="none" w:sz="0" w:space="0" w:color="auto"/>
        <w:right w:val="none" w:sz="0" w:space="0" w:color="auto"/>
      </w:divBdr>
    </w:div>
    <w:div w:id="1045108387">
      <w:marLeft w:val="0"/>
      <w:marRight w:val="0"/>
      <w:marTop w:val="0"/>
      <w:marBottom w:val="0"/>
      <w:divBdr>
        <w:top w:val="none" w:sz="0" w:space="0" w:color="auto"/>
        <w:left w:val="none" w:sz="0" w:space="0" w:color="auto"/>
        <w:bottom w:val="none" w:sz="0" w:space="0" w:color="auto"/>
        <w:right w:val="none" w:sz="0" w:space="0" w:color="auto"/>
      </w:divBdr>
    </w:div>
    <w:div w:id="1045108394">
      <w:marLeft w:val="0"/>
      <w:marRight w:val="0"/>
      <w:marTop w:val="0"/>
      <w:marBottom w:val="0"/>
      <w:divBdr>
        <w:top w:val="none" w:sz="0" w:space="0" w:color="auto"/>
        <w:left w:val="none" w:sz="0" w:space="0" w:color="auto"/>
        <w:bottom w:val="none" w:sz="0" w:space="0" w:color="auto"/>
        <w:right w:val="none" w:sz="0" w:space="0" w:color="auto"/>
      </w:divBdr>
    </w:div>
    <w:div w:id="1045108398">
      <w:marLeft w:val="0"/>
      <w:marRight w:val="0"/>
      <w:marTop w:val="0"/>
      <w:marBottom w:val="0"/>
      <w:divBdr>
        <w:top w:val="none" w:sz="0" w:space="0" w:color="auto"/>
        <w:left w:val="none" w:sz="0" w:space="0" w:color="auto"/>
        <w:bottom w:val="none" w:sz="0" w:space="0" w:color="auto"/>
        <w:right w:val="none" w:sz="0" w:space="0" w:color="auto"/>
      </w:divBdr>
    </w:div>
    <w:div w:id="1045108403">
      <w:marLeft w:val="0"/>
      <w:marRight w:val="0"/>
      <w:marTop w:val="0"/>
      <w:marBottom w:val="0"/>
      <w:divBdr>
        <w:top w:val="none" w:sz="0" w:space="0" w:color="auto"/>
        <w:left w:val="none" w:sz="0" w:space="0" w:color="auto"/>
        <w:bottom w:val="none" w:sz="0" w:space="0" w:color="auto"/>
        <w:right w:val="none" w:sz="0" w:space="0" w:color="auto"/>
      </w:divBdr>
    </w:div>
    <w:div w:id="1045108405">
      <w:marLeft w:val="0"/>
      <w:marRight w:val="0"/>
      <w:marTop w:val="0"/>
      <w:marBottom w:val="0"/>
      <w:divBdr>
        <w:top w:val="none" w:sz="0" w:space="0" w:color="auto"/>
        <w:left w:val="none" w:sz="0" w:space="0" w:color="auto"/>
        <w:bottom w:val="none" w:sz="0" w:space="0" w:color="auto"/>
        <w:right w:val="none" w:sz="0" w:space="0" w:color="auto"/>
      </w:divBdr>
    </w:div>
    <w:div w:id="1045108407">
      <w:marLeft w:val="0"/>
      <w:marRight w:val="0"/>
      <w:marTop w:val="0"/>
      <w:marBottom w:val="0"/>
      <w:divBdr>
        <w:top w:val="none" w:sz="0" w:space="0" w:color="auto"/>
        <w:left w:val="none" w:sz="0" w:space="0" w:color="auto"/>
        <w:bottom w:val="none" w:sz="0" w:space="0" w:color="auto"/>
        <w:right w:val="none" w:sz="0" w:space="0" w:color="auto"/>
      </w:divBdr>
    </w:div>
    <w:div w:id="1045108408">
      <w:marLeft w:val="0"/>
      <w:marRight w:val="0"/>
      <w:marTop w:val="0"/>
      <w:marBottom w:val="0"/>
      <w:divBdr>
        <w:top w:val="none" w:sz="0" w:space="0" w:color="auto"/>
        <w:left w:val="none" w:sz="0" w:space="0" w:color="auto"/>
        <w:bottom w:val="none" w:sz="0" w:space="0" w:color="auto"/>
        <w:right w:val="none" w:sz="0" w:space="0" w:color="auto"/>
      </w:divBdr>
      <w:divsChild>
        <w:div w:id="1045108391">
          <w:marLeft w:val="0"/>
          <w:marRight w:val="0"/>
          <w:marTop w:val="0"/>
          <w:marBottom w:val="0"/>
          <w:divBdr>
            <w:top w:val="none" w:sz="0" w:space="0" w:color="auto"/>
            <w:left w:val="none" w:sz="0" w:space="0" w:color="auto"/>
            <w:bottom w:val="none" w:sz="0" w:space="0" w:color="auto"/>
            <w:right w:val="none" w:sz="0" w:space="0" w:color="auto"/>
          </w:divBdr>
          <w:divsChild>
            <w:div w:id="1045108380">
              <w:marLeft w:val="0"/>
              <w:marRight w:val="0"/>
              <w:marTop w:val="0"/>
              <w:marBottom w:val="0"/>
              <w:divBdr>
                <w:top w:val="none" w:sz="0" w:space="0" w:color="auto"/>
                <w:left w:val="none" w:sz="0" w:space="0" w:color="auto"/>
                <w:bottom w:val="none" w:sz="0" w:space="0" w:color="auto"/>
                <w:right w:val="none" w:sz="0" w:space="0" w:color="auto"/>
              </w:divBdr>
            </w:div>
            <w:div w:id="1045108381">
              <w:marLeft w:val="0"/>
              <w:marRight w:val="0"/>
              <w:marTop w:val="0"/>
              <w:marBottom w:val="0"/>
              <w:divBdr>
                <w:top w:val="none" w:sz="0" w:space="0" w:color="auto"/>
                <w:left w:val="none" w:sz="0" w:space="0" w:color="auto"/>
                <w:bottom w:val="none" w:sz="0" w:space="0" w:color="auto"/>
                <w:right w:val="none" w:sz="0" w:space="0" w:color="auto"/>
              </w:divBdr>
            </w:div>
            <w:div w:id="1045108388">
              <w:marLeft w:val="0"/>
              <w:marRight w:val="0"/>
              <w:marTop w:val="0"/>
              <w:marBottom w:val="0"/>
              <w:divBdr>
                <w:top w:val="none" w:sz="0" w:space="0" w:color="auto"/>
                <w:left w:val="none" w:sz="0" w:space="0" w:color="auto"/>
                <w:bottom w:val="none" w:sz="0" w:space="0" w:color="auto"/>
                <w:right w:val="none" w:sz="0" w:space="0" w:color="auto"/>
              </w:divBdr>
            </w:div>
            <w:div w:id="1045108392">
              <w:marLeft w:val="0"/>
              <w:marRight w:val="0"/>
              <w:marTop w:val="0"/>
              <w:marBottom w:val="0"/>
              <w:divBdr>
                <w:top w:val="none" w:sz="0" w:space="0" w:color="auto"/>
                <w:left w:val="none" w:sz="0" w:space="0" w:color="auto"/>
                <w:bottom w:val="none" w:sz="0" w:space="0" w:color="auto"/>
                <w:right w:val="none" w:sz="0" w:space="0" w:color="auto"/>
              </w:divBdr>
            </w:div>
            <w:div w:id="1045108397">
              <w:marLeft w:val="0"/>
              <w:marRight w:val="0"/>
              <w:marTop w:val="0"/>
              <w:marBottom w:val="0"/>
              <w:divBdr>
                <w:top w:val="none" w:sz="0" w:space="0" w:color="auto"/>
                <w:left w:val="none" w:sz="0" w:space="0" w:color="auto"/>
                <w:bottom w:val="none" w:sz="0" w:space="0" w:color="auto"/>
                <w:right w:val="none" w:sz="0" w:space="0" w:color="auto"/>
              </w:divBdr>
            </w:div>
            <w:div w:id="1045108402">
              <w:marLeft w:val="0"/>
              <w:marRight w:val="0"/>
              <w:marTop w:val="0"/>
              <w:marBottom w:val="0"/>
              <w:divBdr>
                <w:top w:val="none" w:sz="0" w:space="0" w:color="auto"/>
                <w:left w:val="none" w:sz="0" w:space="0" w:color="auto"/>
                <w:bottom w:val="none" w:sz="0" w:space="0" w:color="auto"/>
                <w:right w:val="none" w:sz="0" w:space="0" w:color="auto"/>
              </w:divBdr>
            </w:div>
            <w:div w:id="1045108404">
              <w:marLeft w:val="0"/>
              <w:marRight w:val="0"/>
              <w:marTop w:val="0"/>
              <w:marBottom w:val="0"/>
              <w:divBdr>
                <w:top w:val="none" w:sz="0" w:space="0" w:color="auto"/>
                <w:left w:val="none" w:sz="0" w:space="0" w:color="auto"/>
                <w:bottom w:val="none" w:sz="0" w:space="0" w:color="auto"/>
                <w:right w:val="none" w:sz="0" w:space="0" w:color="auto"/>
              </w:divBdr>
            </w:div>
            <w:div w:id="1045108419">
              <w:marLeft w:val="0"/>
              <w:marRight w:val="0"/>
              <w:marTop w:val="0"/>
              <w:marBottom w:val="0"/>
              <w:divBdr>
                <w:top w:val="none" w:sz="0" w:space="0" w:color="auto"/>
                <w:left w:val="none" w:sz="0" w:space="0" w:color="auto"/>
                <w:bottom w:val="none" w:sz="0" w:space="0" w:color="auto"/>
                <w:right w:val="none" w:sz="0" w:space="0" w:color="auto"/>
              </w:divBdr>
            </w:div>
            <w:div w:id="1045108432">
              <w:marLeft w:val="0"/>
              <w:marRight w:val="0"/>
              <w:marTop w:val="0"/>
              <w:marBottom w:val="0"/>
              <w:divBdr>
                <w:top w:val="none" w:sz="0" w:space="0" w:color="auto"/>
                <w:left w:val="none" w:sz="0" w:space="0" w:color="auto"/>
                <w:bottom w:val="none" w:sz="0" w:space="0" w:color="auto"/>
                <w:right w:val="none" w:sz="0" w:space="0" w:color="auto"/>
              </w:divBdr>
            </w:div>
            <w:div w:id="1045108434">
              <w:marLeft w:val="0"/>
              <w:marRight w:val="0"/>
              <w:marTop w:val="0"/>
              <w:marBottom w:val="0"/>
              <w:divBdr>
                <w:top w:val="none" w:sz="0" w:space="0" w:color="auto"/>
                <w:left w:val="none" w:sz="0" w:space="0" w:color="auto"/>
                <w:bottom w:val="none" w:sz="0" w:space="0" w:color="auto"/>
                <w:right w:val="none" w:sz="0" w:space="0" w:color="auto"/>
              </w:divBdr>
            </w:div>
            <w:div w:id="1045108435">
              <w:marLeft w:val="0"/>
              <w:marRight w:val="0"/>
              <w:marTop w:val="0"/>
              <w:marBottom w:val="0"/>
              <w:divBdr>
                <w:top w:val="none" w:sz="0" w:space="0" w:color="auto"/>
                <w:left w:val="none" w:sz="0" w:space="0" w:color="auto"/>
                <w:bottom w:val="none" w:sz="0" w:space="0" w:color="auto"/>
                <w:right w:val="none" w:sz="0" w:space="0" w:color="auto"/>
              </w:divBdr>
            </w:div>
            <w:div w:id="1045108436">
              <w:marLeft w:val="0"/>
              <w:marRight w:val="0"/>
              <w:marTop w:val="0"/>
              <w:marBottom w:val="0"/>
              <w:divBdr>
                <w:top w:val="none" w:sz="0" w:space="0" w:color="auto"/>
                <w:left w:val="none" w:sz="0" w:space="0" w:color="auto"/>
                <w:bottom w:val="none" w:sz="0" w:space="0" w:color="auto"/>
                <w:right w:val="none" w:sz="0" w:space="0" w:color="auto"/>
              </w:divBdr>
            </w:div>
            <w:div w:id="1045108437">
              <w:marLeft w:val="0"/>
              <w:marRight w:val="0"/>
              <w:marTop w:val="0"/>
              <w:marBottom w:val="0"/>
              <w:divBdr>
                <w:top w:val="none" w:sz="0" w:space="0" w:color="auto"/>
                <w:left w:val="none" w:sz="0" w:space="0" w:color="auto"/>
                <w:bottom w:val="none" w:sz="0" w:space="0" w:color="auto"/>
                <w:right w:val="none" w:sz="0" w:space="0" w:color="auto"/>
              </w:divBdr>
            </w:div>
            <w:div w:id="10451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08409">
      <w:marLeft w:val="0"/>
      <w:marRight w:val="0"/>
      <w:marTop w:val="0"/>
      <w:marBottom w:val="0"/>
      <w:divBdr>
        <w:top w:val="none" w:sz="0" w:space="0" w:color="auto"/>
        <w:left w:val="none" w:sz="0" w:space="0" w:color="auto"/>
        <w:bottom w:val="none" w:sz="0" w:space="0" w:color="auto"/>
        <w:right w:val="none" w:sz="0" w:space="0" w:color="auto"/>
      </w:divBdr>
      <w:divsChild>
        <w:div w:id="1045108406">
          <w:marLeft w:val="0"/>
          <w:marRight w:val="0"/>
          <w:marTop w:val="0"/>
          <w:marBottom w:val="0"/>
          <w:divBdr>
            <w:top w:val="none" w:sz="0" w:space="0" w:color="auto"/>
            <w:left w:val="none" w:sz="0" w:space="0" w:color="auto"/>
            <w:bottom w:val="none" w:sz="0" w:space="0" w:color="auto"/>
            <w:right w:val="none" w:sz="0" w:space="0" w:color="auto"/>
          </w:divBdr>
          <w:divsChild>
            <w:div w:id="1045108383">
              <w:marLeft w:val="0"/>
              <w:marRight w:val="0"/>
              <w:marTop w:val="0"/>
              <w:marBottom w:val="0"/>
              <w:divBdr>
                <w:top w:val="none" w:sz="0" w:space="0" w:color="auto"/>
                <w:left w:val="none" w:sz="0" w:space="0" w:color="auto"/>
                <w:bottom w:val="none" w:sz="0" w:space="0" w:color="auto"/>
                <w:right w:val="none" w:sz="0" w:space="0" w:color="auto"/>
              </w:divBdr>
            </w:div>
            <w:div w:id="1045108385">
              <w:marLeft w:val="0"/>
              <w:marRight w:val="0"/>
              <w:marTop w:val="0"/>
              <w:marBottom w:val="0"/>
              <w:divBdr>
                <w:top w:val="none" w:sz="0" w:space="0" w:color="auto"/>
                <w:left w:val="none" w:sz="0" w:space="0" w:color="auto"/>
                <w:bottom w:val="none" w:sz="0" w:space="0" w:color="auto"/>
                <w:right w:val="none" w:sz="0" w:space="0" w:color="auto"/>
              </w:divBdr>
            </w:div>
            <w:div w:id="1045108389">
              <w:marLeft w:val="0"/>
              <w:marRight w:val="0"/>
              <w:marTop w:val="0"/>
              <w:marBottom w:val="0"/>
              <w:divBdr>
                <w:top w:val="none" w:sz="0" w:space="0" w:color="auto"/>
                <w:left w:val="none" w:sz="0" w:space="0" w:color="auto"/>
                <w:bottom w:val="none" w:sz="0" w:space="0" w:color="auto"/>
                <w:right w:val="none" w:sz="0" w:space="0" w:color="auto"/>
              </w:divBdr>
            </w:div>
            <w:div w:id="1045108390">
              <w:marLeft w:val="0"/>
              <w:marRight w:val="0"/>
              <w:marTop w:val="0"/>
              <w:marBottom w:val="0"/>
              <w:divBdr>
                <w:top w:val="none" w:sz="0" w:space="0" w:color="auto"/>
                <w:left w:val="none" w:sz="0" w:space="0" w:color="auto"/>
                <w:bottom w:val="none" w:sz="0" w:space="0" w:color="auto"/>
                <w:right w:val="none" w:sz="0" w:space="0" w:color="auto"/>
              </w:divBdr>
            </w:div>
            <w:div w:id="1045108393">
              <w:marLeft w:val="0"/>
              <w:marRight w:val="0"/>
              <w:marTop w:val="0"/>
              <w:marBottom w:val="0"/>
              <w:divBdr>
                <w:top w:val="none" w:sz="0" w:space="0" w:color="auto"/>
                <w:left w:val="none" w:sz="0" w:space="0" w:color="auto"/>
                <w:bottom w:val="none" w:sz="0" w:space="0" w:color="auto"/>
                <w:right w:val="none" w:sz="0" w:space="0" w:color="auto"/>
              </w:divBdr>
            </w:div>
            <w:div w:id="1045108400">
              <w:marLeft w:val="0"/>
              <w:marRight w:val="0"/>
              <w:marTop w:val="0"/>
              <w:marBottom w:val="0"/>
              <w:divBdr>
                <w:top w:val="none" w:sz="0" w:space="0" w:color="auto"/>
                <w:left w:val="none" w:sz="0" w:space="0" w:color="auto"/>
                <w:bottom w:val="none" w:sz="0" w:space="0" w:color="auto"/>
                <w:right w:val="none" w:sz="0" w:space="0" w:color="auto"/>
              </w:divBdr>
            </w:div>
            <w:div w:id="1045108401">
              <w:marLeft w:val="0"/>
              <w:marRight w:val="0"/>
              <w:marTop w:val="0"/>
              <w:marBottom w:val="0"/>
              <w:divBdr>
                <w:top w:val="none" w:sz="0" w:space="0" w:color="auto"/>
                <w:left w:val="none" w:sz="0" w:space="0" w:color="auto"/>
                <w:bottom w:val="none" w:sz="0" w:space="0" w:color="auto"/>
                <w:right w:val="none" w:sz="0" w:space="0" w:color="auto"/>
              </w:divBdr>
            </w:div>
            <w:div w:id="1045108410">
              <w:marLeft w:val="0"/>
              <w:marRight w:val="0"/>
              <w:marTop w:val="0"/>
              <w:marBottom w:val="0"/>
              <w:divBdr>
                <w:top w:val="none" w:sz="0" w:space="0" w:color="auto"/>
                <w:left w:val="none" w:sz="0" w:space="0" w:color="auto"/>
                <w:bottom w:val="none" w:sz="0" w:space="0" w:color="auto"/>
                <w:right w:val="none" w:sz="0" w:space="0" w:color="auto"/>
              </w:divBdr>
            </w:div>
            <w:div w:id="1045108411">
              <w:marLeft w:val="0"/>
              <w:marRight w:val="0"/>
              <w:marTop w:val="0"/>
              <w:marBottom w:val="0"/>
              <w:divBdr>
                <w:top w:val="none" w:sz="0" w:space="0" w:color="auto"/>
                <w:left w:val="none" w:sz="0" w:space="0" w:color="auto"/>
                <w:bottom w:val="none" w:sz="0" w:space="0" w:color="auto"/>
                <w:right w:val="none" w:sz="0" w:space="0" w:color="auto"/>
              </w:divBdr>
            </w:div>
            <w:div w:id="1045108412">
              <w:marLeft w:val="0"/>
              <w:marRight w:val="0"/>
              <w:marTop w:val="0"/>
              <w:marBottom w:val="0"/>
              <w:divBdr>
                <w:top w:val="none" w:sz="0" w:space="0" w:color="auto"/>
                <w:left w:val="none" w:sz="0" w:space="0" w:color="auto"/>
                <w:bottom w:val="none" w:sz="0" w:space="0" w:color="auto"/>
                <w:right w:val="none" w:sz="0" w:space="0" w:color="auto"/>
              </w:divBdr>
            </w:div>
            <w:div w:id="1045108413">
              <w:marLeft w:val="0"/>
              <w:marRight w:val="0"/>
              <w:marTop w:val="0"/>
              <w:marBottom w:val="0"/>
              <w:divBdr>
                <w:top w:val="none" w:sz="0" w:space="0" w:color="auto"/>
                <w:left w:val="none" w:sz="0" w:space="0" w:color="auto"/>
                <w:bottom w:val="none" w:sz="0" w:space="0" w:color="auto"/>
                <w:right w:val="none" w:sz="0" w:space="0" w:color="auto"/>
              </w:divBdr>
            </w:div>
            <w:div w:id="1045108426">
              <w:marLeft w:val="0"/>
              <w:marRight w:val="0"/>
              <w:marTop w:val="0"/>
              <w:marBottom w:val="0"/>
              <w:divBdr>
                <w:top w:val="none" w:sz="0" w:space="0" w:color="auto"/>
                <w:left w:val="none" w:sz="0" w:space="0" w:color="auto"/>
                <w:bottom w:val="none" w:sz="0" w:space="0" w:color="auto"/>
                <w:right w:val="none" w:sz="0" w:space="0" w:color="auto"/>
              </w:divBdr>
            </w:div>
            <w:div w:id="1045108430">
              <w:marLeft w:val="0"/>
              <w:marRight w:val="0"/>
              <w:marTop w:val="0"/>
              <w:marBottom w:val="0"/>
              <w:divBdr>
                <w:top w:val="none" w:sz="0" w:space="0" w:color="auto"/>
                <w:left w:val="none" w:sz="0" w:space="0" w:color="auto"/>
                <w:bottom w:val="none" w:sz="0" w:space="0" w:color="auto"/>
                <w:right w:val="none" w:sz="0" w:space="0" w:color="auto"/>
              </w:divBdr>
            </w:div>
            <w:div w:id="10451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08414">
      <w:marLeft w:val="0"/>
      <w:marRight w:val="0"/>
      <w:marTop w:val="0"/>
      <w:marBottom w:val="0"/>
      <w:divBdr>
        <w:top w:val="none" w:sz="0" w:space="0" w:color="auto"/>
        <w:left w:val="none" w:sz="0" w:space="0" w:color="auto"/>
        <w:bottom w:val="none" w:sz="0" w:space="0" w:color="auto"/>
        <w:right w:val="none" w:sz="0" w:space="0" w:color="auto"/>
      </w:divBdr>
    </w:div>
    <w:div w:id="1045108415">
      <w:marLeft w:val="0"/>
      <w:marRight w:val="0"/>
      <w:marTop w:val="0"/>
      <w:marBottom w:val="0"/>
      <w:divBdr>
        <w:top w:val="none" w:sz="0" w:space="0" w:color="auto"/>
        <w:left w:val="none" w:sz="0" w:space="0" w:color="auto"/>
        <w:bottom w:val="none" w:sz="0" w:space="0" w:color="auto"/>
        <w:right w:val="none" w:sz="0" w:space="0" w:color="auto"/>
      </w:divBdr>
    </w:div>
    <w:div w:id="1045108416">
      <w:marLeft w:val="0"/>
      <w:marRight w:val="0"/>
      <w:marTop w:val="0"/>
      <w:marBottom w:val="0"/>
      <w:divBdr>
        <w:top w:val="none" w:sz="0" w:space="0" w:color="auto"/>
        <w:left w:val="none" w:sz="0" w:space="0" w:color="auto"/>
        <w:bottom w:val="none" w:sz="0" w:space="0" w:color="auto"/>
        <w:right w:val="none" w:sz="0" w:space="0" w:color="auto"/>
      </w:divBdr>
    </w:div>
    <w:div w:id="1045108417">
      <w:marLeft w:val="0"/>
      <w:marRight w:val="0"/>
      <w:marTop w:val="0"/>
      <w:marBottom w:val="0"/>
      <w:divBdr>
        <w:top w:val="none" w:sz="0" w:space="0" w:color="auto"/>
        <w:left w:val="none" w:sz="0" w:space="0" w:color="auto"/>
        <w:bottom w:val="none" w:sz="0" w:space="0" w:color="auto"/>
        <w:right w:val="none" w:sz="0" w:space="0" w:color="auto"/>
      </w:divBdr>
    </w:div>
    <w:div w:id="1045108421">
      <w:marLeft w:val="0"/>
      <w:marRight w:val="0"/>
      <w:marTop w:val="0"/>
      <w:marBottom w:val="0"/>
      <w:divBdr>
        <w:top w:val="none" w:sz="0" w:space="0" w:color="auto"/>
        <w:left w:val="none" w:sz="0" w:space="0" w:color="auto"/>
        <w:bottom w:val="none" w:sz="0" w:space="0" w:color="auto"/>
        <w:right w:val="none" w:sz="0" w:space="0" w:color="auto"/>
      </w:divBdr>
    </w:div>
    <w:div w:id="1045108422">
      <w:marLeft w:val="0"/>
      <w:marRight w:val="0"/>
      <w:marTop w:val="0"/>
      <w:marBottom w:val="0"/>
      <w:divBdr>
        <w:top w:val="none" w:sz="0" w:space="0" w:color="auto"/>
        <w:left w:val="none" w:sz="0" w:space="0" w:color="auto"/>
        <w:bottom w:val="none" w:sz="0" w:space="0" w:color="auto"/>
        <w:right w:val="none" w:sz="0" w:space="0" w:color="auto"/>
      </w:divBdr>
    </w:div>
    <w:div w:id="1045108424">
      <w:marLeft w:val="0"/>
      <w:marRight w:val="0"/>
      <w:marTop w:val="0"/>
      <w:marBottom w:val="0"/>
      <w:divBdr>
        <w:top w:val="none" w:sz="0" w:space="0" w:color="auto"/>
        <w:left w:val="none" w:sz="0" w:space="0" w:color="auto"/>
        <w:bottom w:val="none" w:sz="0" w:space="0" w:color="auto"/>
        <w:right w:val="none" w:sz="0" w:space="0" w:color="auto"/>
      </w:divBdr>
      <w:divsChild>
        <w:div w:id="1045108395">
          <w:marLeft w:val="0"/>
          <w:marRight w:val="0"/>
          <w:marTop w:val="0"/>
          <w:marBottom w:val="0"/>
          <w:divBdr>
            <w:top w:val="none" w:sz="0" w:space="0" w:color="auto"/>
            <w:left w:val="none" w:sz="0" w:space="0" w:color="auto"/>
            <w:bottom w:val="none" w:sz="0" w:space="0" w:color="auto"/>
            <w:right w:val="none" w:sz="0" w:space="0" w:color="auto"/>
          </w:divBdr>
          <w:divsChild>
            <w:div w:id="1045108382">
              <w:marLeft w:val="0"/>
              <w:marRight w:val="0"/>
              <w:marTop w:val="0"/>
              <w:marBottom w:val="0"/>
              <w:divBdr>
                <w:top w:val="none" w:sz="0" w:space="0" w:color="auto"/>
                <w:left w:val="none" w:sz="0" w:space="0" w:color="auto"/>
                <w:bottom w:val="none" w:sz="0" w:space="0" w:color="auto"/>
                <w:right w:val="none" w:sz="0" w:space="0" w:color="auto"/>
              </w:divBdr>
            </w:div>
            <w:div w:id="1045108384">
              <w:marLeft w:val="0"/>
              <w:marRight w:val="0"/>
              <w:marTop w:val="0"/>
              <w:marBottom w:val="0"/>
              <w:divBdr>
                <w:top w:val="none" w:sz="0" w:space="0" w:color="auto"/>
                <w:left w:val="none" w:sz="0" w:space="0" w:color="auto"/>
                <w:bottom w:val="none" w:sz="0" w:space="0" w:color="auto"/>
                <w:right w:val="none" w:sz="0" w:space="0" w:color="auto"/>
              </w:divBdr>
            </w:div>
            <w:div w:id="1045108396">
              <w:marLeft w:val="0"/>
              <w:marRight w:val="0"/>
              <w:marTop w:val="0"/>
              <w:marBottom w:val="0"/>
              <w:divBdr>
                <w:top w:val="none" w:sz="0" w:space="0" w:color="auto"/>
                <w:left w:val="none" w:sz="0" w:space="0" w:color="auto"/>
                <w:bottom w:val="none" w:sz="0" w:space="0" w:color="auto"/>
                <w:right w:val="none" w:sz="0" w:space="0" w:color="auto"/>
              </w:divBdr>
            </w:div>
            <w:div w:id="1045108399">
              <w:marLeft w:val="0"/>
              <w:marRight w:val="0"/>
              <w:marTop w:val="0"/>
              <w:marBottom w:val="0"/>
              <w:divBdr>
                <w:top w:val="none" w:sz="0" w:space="0" w:color="auto"/>
                <w:left w:val="none" w:sz="0" w:space="0" w:color="auto"/>
                <w:bottom w:val="none" w:sz="0" w:space="0" w:color="auto"/>
                <w:right w:val="none" w:sz="0" w:space="0" w:color="auto"/>
              </w:divBdr>
            </w:div>
            <w:div w:id="1045108418">
              <w:marLeft w:val="0"/>
              <w:marRight w:val="0"/>
              <w:marTop w:val="0"/>
              <w:marBottom w:val="0"/>
              <w:divBdr>
                <w:top w:val="none" w:sz="0" w:space="0" w:color="auto"/>
                <w:left w:val="none" w:sz="0" w:space="0" w:color="auto"/>
                <w:bottom w:val="none" w:sz="0" w:space="0" w:color="auto"/>
                <w:right w:val="none" w:sz="0" w:space="0" w:color="auto"/>
              </w:divBdr>
            </w:div>
            <w:div w:id="1045108420">
              <w:marLeft w:val="0"/>
              <w:marRight w:val="0"/>
              <w:marTop w:val="0"/>
              <w:marBottom w:val="0"/>
              <w:divBdr>
                <w:top w:val="none" w:sz="0" w:space="0" w:color="auto"/>
                <w:left w:val="none" w:sz="0" w:space="0" w:color="auto"/>
                <w:bottom w:val="none" w:sz="0" w:space="0" w:color="auto"/>
                <w:right w:val="none" w:sz="0" w:space="0" w:color="auto"/>
              </w:divBdr>
            </w:div>
            <w:div w:id="1045108423">
              <w:marLeft w:val="0"/>
              <w:marRight w:val="0"/>
              <w:marTop w:val="0"/>
              <w:marBottom w:val="0"/>
              <w:divBdr>
                <w:top w:val="none" w:sz="0" w:space="0" w:color="auto"/>
                <w:left w:val="none" w:sz="0" w:space="0" w:color="auto"/>
                <w:bottom w:val="none" w:sz="0" w:space="0" w:color="auto"/>
                <w:right w:val="none" w:sz="0" w:space="0" w:color="auto"/>
              </w:divBdr>
            </w:div>
            <w:div w:id="1045108427">
              <w:marLeft w:val="0"/>
              <w:marRight w:val="0"/>
              <w:marTop w:val="0"/>
              <w:marBottom w:val="0"/>
              <w:divBdr>
                <w:top w:val="none" w:sz="0" w:space="0" w:color="auto"/>
                <w:left w:val="none" w:sz="0" w:space="0" w:color="auto"/>
                <w:bottom w:val="none" w:sz="0" w:space="0" w:color="auto"/>
                <w:right w:val="none" w:sz="0" w:space="0" w:color="auto"/>
              </w:divBdr>
            </w:div>
            <w:div w:id="1045108428">
              <w:marLeft w:val="0"/>
              <w:marRight w:val="0"/>
              <w:marTop w:val="0"/>
              <w:marBottom w:val="0"/>
              <w:divBdr>
                <w:top w:val="none" w:sz="0" w:space="0" w:color="auto"/>
                <w:left w:val="none" w:sz="0" w:space="0" w:color="auto"/>
                <w:bottom w:val="none" w:sz="0" w:space="0" w:color="auto"/>
                <w:right w:val="none" w:sz="0" w:space="0" w:color="auto"/>
              </w:divBdr>
            </w:div>
            <w:div w:id="1045108429">
              <w:marLeft w:val="0"/>
              <w:marRight w:val="0"/>
              <w:marTop w:val="0"/>
              <w:marBottom w:val="0"/>
              <w:divBdr>
                <w:top w:val="none" w:sz="0" w:space="0" w:color="auto"/>
                <w:left w:val="none" w:sz="0" w:space="0" w:color="auto"/>
                <w:bottom w:val="none" w:sz="0" w:space="0" w:color="auto"/>
                <w:right w:val="none" w:sz="0" w:space="0" w:color="auto"/>
              </w:divBdr>
            </w:div>
            <w:div w:id="1045108431">
              <w:marLeft w:val="0"/>
              <w:marRight w:val="0"/>
              <w:marTop w:val="0"/>
              <w:marBottom w:val="0"/>
              <w:divBdr>
                <w:top w:val="none" w:sz="0" w:space="0" w:color="auto"/>
                <w:left w:val="none" w:sz="0" w:space="0" w:color="auto"/>
                <w:bottom w:val="none" w:sz="0" w:space="0" w:color="auto"/>
                <w:right w:val="none" w:sz="0" w:space="0" w:color="auto"/>
              </w:divBdr>
            </w:div>
            <w:div w:id="1045108438">
              <w:marLeft w:val="0"/>
              <w:marRight w:val="0"/>
              <w:marTop w:val="0"/>
              <w:marBottom w:val="0"/>
              <w:divBdr>
                <w:top w:val="none" w:sz="0" w:space="0" w:color="auto"/>
                <w:left w:val="none" w:sz="0" w:space="0" w:color="auto"/>
                <w:bottom w:val="none" w:sz="0" w:space="0" w:color="auto"/>
                <w:right w:val="none" w:sz="0" w:space="0" w:color="auto"/>
              </w:divBdr>
            </w:div>
            <w:div w:id="1045108443">
              <w:marLeft w:val="0"/>
              <w:marRight w:val="0"/>
              <w:marTop w:val="0"/>
              <w:marBottom w:val="0"/>
              <w:divBdr>
                <w:top w:val="none" w:sz="0" w:space="0" w:color="auto"/>
                <w:left w:val="none" w:sz="0" w:space="0" w:color="auto"/>
                <w:bottom w:val="none" w:sz="0" w:space="0" w:color="auto"/>
                <w:right w:val="none" w:sz="0" w:space="0" w:color="auto"/>
              </w:divBdr>
            </w:div>
            <w:div w:id="104510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08425">
      <w:marLeft w:val="0"/>
      <w:marRight w:val="0"/>
      <w:marTop w:val="0"/>
      <w:marBottom w:val="0"/>
      <w:divBdr>
        <w:top w:val="none" w:sz="0" w:space="0" w:color="auto"/>
        <w:left w:val="none" w:sz="0" w:space="0" w:color="auto"/>
        <w:bottom w:val="none" w:sz="0" w:space="0" w:color="auto"/>
        <w:right w:val="none" w:sz="0" w:space="0" w:color="auto"/>
      </w:divBdr>
    </w:div>
    <w:div w:id="1045108433">
      <w:marLeft w:val="0"/>
      <w:marRight w:val="0"/>
      <w:marTop w:val="0"/>
      <w:marBottom w:val="0"/>
      <w:divBdr>
        <w:top w:val="none" w:sz="0" w:space="0" w:color="auto"/>
        <w:left w:val="none" w:sz="0" w:space="0" w:color="auto"/>
        <w:bottom w:val="none" w:sz="0" w:space="0" w:color="auto"/>
        <w:right w:val="none" w:sz="0" w:space="0" w:color="auto"/>
      </w:divBdr>
    </w:div>
    <w:div w:id="1045108441">
      <w:marLeft w:val="0"/>
      <w:marRight w:val="0"/>
      <w:marTop w:val="0"/>
      <w:marBottom w:val="0"/>
      <w:divBdr>
        <w:top w:val="none" w:sz="0" w:space="0" w:color="auto"/>
        <w:left w:val="none" w:sz="0" w:space="0" w:color="auto"/>
        <w:bottom w:val="none" w:sz="0" w:space="0" w:color="auto"/>
        <w:right w:val="none" w:sz="0" w:space="0" w:color="auto"/>
      </w:divBdr>
    </w:div>
    <w:div w:id="10451084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bd.int/nbsap/related-info/sbsap/default.shtml"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09/cop-09-dec-08-ru.pdf" TargetMode="External"/><Relationship Id="rId5" Type="http://schemas.openxmlformats.org/officeDocument/2006/relationships/footnotes" Target="footnotes.xml"/><Relationship Id="rId15" Type="http://schemas.openxmlformats.org/officeDocument/2006/relationships/hyperlink" Target="https://www.cbd.int/doc/decisions/cop-09/cop-09-dec-08-ru.pdf" TargetMode="External"/><Relationship Id="rId10" Type="http://schemas.openxmlformats.org/officeDocument/2006/relationships/hyperlink" Target="https://www.cbd.int/doc/decisions/cop-10/cop-10-dec-02-ru.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meetings/cop/cop-08/official/cop-08-31-ru.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24</Pages>
  <Words>7013</Words>
  <Characters>39977</Characters>
  <Application>Microsoft Office Word</Application>
  <DocSecurity>0</DocSecurity>
  <Lines>333</Lines>
  <Paragraphs>93</Paragraphs>
  <ScaleCrop>false</ScaleCrop>
  <Company>Biodiversity</Company>
  <LinksUpToDate>false</LinksUpToDate>
  <CharactersWithSpaces>46897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D/COP/14/5/</dc:subject>
  <dc:creator>SCBD</dc:creator>
  <cp:keywords>Subsidiary Body on Implementation, third meeting, Ottawa, 1-6 September 2020, Convention on Biological Diversity</cp:keywords>
  <dc:description/>
  <cp:lastModifiedBy>Xue He Yan</cp:lastModifiedBy>
  <cp:revision>5</cp:revision>
  <cp:lastPrinted>2018-03-06T14:45:00Z</cp:lastPrinted>
  <dcterms:created xsi:type="dcterms:W3CDTF">2022-11-01T15:23:00Z</dcterms:created>
  <dcterms:modified xsi:type="dcterms:W3CDTF">2022-11-01T23:32:00Z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