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66889" w14:paraId="6FBA1655" w14:textId="77777777" w:rsidTr="004D71DC">
        <w:trPr>
          <w:trHeight w:val="851"/>
        </w:trPr>
        <w:tc>
          <w:tcPr>
            <w:tcW w:w="465" w:type="pct"/>
            <w:tcBorders>
              <w:bottom w:val="single" w:sz="8" w:space="0" w:color="auto"/>
            </w:tcBorders>
            <w:vAlign w:val="bottom"/>
          </w:tcPr>
          <w:p w14:paraId="050F0FC7" w14:textId="77777777" w:rsidR="00A96B21" w:rsidRPr="00956148" w:rsidRDefault="00A96B21" w:rsidP="004D71DC">
            <w:pPr>
              <w:spacing w:after="120"/>
              <w:jc w:val="left"/>
              <w:rPr>
                <w:lang w:val="en-GB"/>
              </w:rPr>
            </w:pPr>
            <w:bookmarkStart w:id="0" w:name="_Hlk137651738"/>
            <w:r w:rsidRPr="00956148">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BAEDB36" w:rsidR="00A96B21" w:rsidRPr="00956148" w:rsidRDefault="00A16560" w:rsidP="004D71DC">
            <w:pPr>
              <w:spacing w:after="120"/>
              <w:jc w:val="left"/>
              <w:rPr>
                <w:lang w:val="en-GB"/>
              </w:rPr>
            </w:pPr>
            <w:r w:rsidRPr="00A16560">
              <w:rPr>
                <w:noProof/>
              </w:rPr>
              <w:drawing>
                <wp:inline distT="0" distB="0" distL="0" distR="0" wp14:anchorId="5E1C88B2" wp14:editId="07B50BF4">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6B33B2D" w:rsidR="00A96B21" w:rsidRPr="00956148" w:rsidRDefault="00A96B21" w:rsidP="00184909">
            <w:pPr>
              <w:spacing w:after="120"/>
              <w:ind w:left="2021"/>
              <w:jc w:val="right"/>
              <w:rPr>
                <w:szCs w:val="22"/>
                <w:lang w:val="en-GB"/>
              </w:rPr>
            </w:pPr>
            <w:r w:rsidRPr="00956148">
              <w:rPr>
                <w:sz w:val="40"/>
                <w:szCs w:val="40"/>
                <w:lang w:val="en-GB"/>
              </w:rPr>
              <w:t>CBD</w:t>
            </w:r>
            <w:r w:rsidR="00A00234" w:rsidRPr="00956148">
              <w:rPr>
                <w:szCs w:val="40"/>
                <w:lang w:val="en-GB"/>
              </w:rPr>
              <w:t>/COP/16/</w:t>
            </w:r>
            <w:r w:rsidR="001E4E16" w:rsidRPr="00956148">
              <w:rPr>
                <w:szCs w:val="40"/>
                <w:lang w:val="en-GB"/>
              </w:rPr>
              <w:t>WG.I</w:t>
            </w:r>
            <w:r w:rsidR="00083A87" w:rsidRPr="00956148">
              <w:rPr>
                <w:szCs w:val="40"/>
                <w:lang w:val="en-GB"/>
              </w:rPr>
              <w:t>I</w:t>
            </w:r>
            <w:r w:rsidR="001E4E16" w:rsidRPr="00956148">
              <w:rPr>
                <w:szCs w:val="40"/>
                <w:lang w:val="en-GB"/>
              </w:rPr>
              <w:t>/</w:t>
            </w:r>
            <w:r w:rsidR="00BB60F0" w:rsidRPr="00956148">
              <w:rPr>
                <w:szCs w:val="40"/>
                <w:lang w:val="en-GB"/>
              </w:rPr>
              <w:t>CRP.</w:t>
            </w:r>
            <w:r w:rsidR="0075214C" w:rsidRPr="00956148">
              <w:rPr>
                <w:szCs w:val="40"/>
                <w:lang w:val="en-GB"/>
              </w:rPr>
              <w:t>12</w:t>
            </w:r>
          </w:p>
        </w:tc>
      </w:tr>
      <w:tr w:rsidR="00A96B21" w:rsidRPr="00B0608E" w14:paraId="1CA08A60" w14:textId="77777777" w:rsidTr="004D71DC">
        <w:tc>
          <w:tcPr>
            <w:tcW w:w="2297" w:type="pct"/>
            <w:gridSpan w:val="2"/>
            <w:tcBorders>
              <w:top w:val="single" w:sz="8" w:space="0" w:color="auto"/>
              <w:bottom w:val="single" w:sz="12" w:space="0" w:color="auto"/>
            </w:tcBorders>
          </w:tcPr>
          <w:p w14:paraId="50F7B9CF" w14:textId="78783152" w:rsidR="00A96B21" w:rsidRPr="00956148" w:rsidRDefault="00A16560" w:rsidP="004D71DC">
            <w:pPr>
              <w:pStyle w:val="Cornernotation"/>
              <w:suppressLineNumbers/>
              <w:suppressAutoHyphens/>
              <w:spacing w:before="120" w:after="120"/>
              <w:ind w:left="0" w:right="0" w:firstLine="0"/>
              <w:rPr>
                <w:lang w:val="en-GB"/>
              </w:rPr>
            </w:pPr>
            <w:r w:rsidRPr="005B7FA7">
              <w:rPr>
                <w:noProof/>
                <w14:ligatures w14:val="standardContextual"/>
              </w:rPr>
              <w:drawing>
                <wp:inline distT="0" distB="0" distL="0" distR="0" wp14:anchorId="36091C76" wp14:editId="1695B682">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63A9EA0" w:rsidR="00A96B21" w:rsidRPr="0033744B" w:rsidRDefault="00A96B21" w:rsidP="003C6F10">
            <w:pPr>
              <w:ind w:left="2584"/>
              <w:rPr>
                <w:sz w:val="22"/>
                <w:szCs w:val="22"/>
                <w:lang w:val="fr-FR"/>
              </w:rPr>
            </w:pPr>
            <w:r w:rsidRPr="0033744B">
              <w:rPr>
                <w:lang w:val="fr-FR"/>
              </w:rPr>
              <w:t xml:space="preserve">Distr.: </w:t>
            </w:r>
            <w:r w:rsidR="0033744B" w:rsidRPr="0033744B">
              <w:rPr>
                <w:lang w:val="fr-FR"/>
              </w:rPr>
              <w:t>Limité</w:t>
            </w:r>
          </w:p>
          <w:p w14:paraId="7878A8F6" w14:textId="3610FB3E" w:rsidR="00A96B21" w:rsidRPr="0033744B" w:rsidRDefault="0033744B" w:rsidP="003C6F10">
            <w:pPr>
              <w:ind w:left="2584"/>
              <w:rPr>
                <w:sz w:val="22"/>
                <w:szCs w:val="22"/>
                <w:lang w:val="fr-FR"/>
              </w:rPr>
            </w:pPr>
            <w:r w:rsidRPr="0033744B">
              <w:rPr>
                <w:lang w:val="fr-FR"/>
              </w:rPr>
              <w:t>30 octobre</w:t>
            </w:r>
            <w:r w:rsidR="00A96B21" w:rsidRPr="0033744B">
              <w:rPr>
                <w:lang w:val="fr-FR"/>
              </w:rPr>
              <w:t xml:space="preserve"> 202</w:t>
            </w:r>
            <w:r w:rsidR="00A00234" w:rsidRPr="0033744B">
              <w:rPr>
                <w:lang w:val="fr-FR"/>
              </w:rPr>
              <w:t>4</w:t>
            </w:r>
          </w:p>
          <w:p w14:paraId="47F6CB58" w14:textId="77777777" w:rsidR="00A96B21" w:rsidRPr="0033744B" w:rsidRDefault="00A96B21" w:rsidP="003C6F10">
            <w:pPr>
              <w:ind w:left="2584"/>
              <w:rPr>
                <w:sz w:val="22"/>
                <w:szCs w:val="22"/>
                <w:lang w:val="fr-FR"/>
              </w:rPr>
            </w:pPr>
          </w:p>
          <w:p w14:paraId="2F174BE6" w14:textId="77777777" w:rsidR="0033744B" w:rsidRPr="0033744B" w:rsidRDefault="0033744B" w:rsidP="003C6F10">
            <w:pPr>
              <w:ind w:left="2584"/>
              <w:rPr>
                <w:lang w:val="fr-FR"/>
              </w:rPr>
            </w:pPr>
            <w:r w:rsidRPr="0033744B">
              <w:rPr>
                <w:lang w:val="fr-FR"/>
              </w:rPr>
              <w:t>Français</w:t>
            </w:r>
          </w:p>
          <w:p w14:paraId="61E3D10C" w14:textId="276B76F4" w:rsidR="00A96B21" w:rsidRPr="0033744B" w:rsidRDefault="0033744B" w:rsidP="003C6F10">
            <w:pPr>
              <w:ind w:left="2584"/>
              <w:rPr>
                <w:sz w:val="22"/>
                <w:szCs w:val="22"/>
                <w:lang w:val="fr-FR"/>
              </w:rPr>
            </w:pPr>
            <w:r w:rsidRPr="0033744B">
              <w:rPr>
                <w:lang w:val="fr-FR"/>
              </w:rPr>
              <w:t>Original :</w:t>
            </w:r>
            <w:r w:rsidR="00A96B21" w:rsidRPr="0033744B">
              <w:rPr>
                <w:lang w:val="fr-FR"/>
              </w:rPr>
              <w:t xml:space="preserve"> </w:t>
            </w:r>
            <w:r>
              <w:rPr>
                <w:lang w:val="fr-FR"/>
              </w:rPr>
              <w:t>Anglais</w:t>
            </w:r>
          </w:p>
          <w:p w14:paraId="7BD7B0A4" w14:textId="77777777" w:rsidR="00A96B21" w:rsidRPr="0033744B" w:rsidRDefault="00A96B21" w:rsidP="004D71DC">
            <w:pPr>
              <w:rPr>
                <w:lang w:val="fr-FR"/>
              </w:rPr>
            </w:pPr>
          </w:p>
        </w:tc>
      </w:tr>
    </w:tbl>
    <w:p w14:paraId="55E95605" w14:textId="65CF75F0" w:rsidR="00874541" w:rsidRPr="00767C49" w:rsidRDefault="00767C49" w:rsidP="00A00234">
      <w:pPr>
        <w:pStyle w:val="Cornernotation"/>
        <w:ind w:left="0" w:right="5249" w:firstLine="0"/>
        <w:rPr>
          <w:bCs/>
          <w:lang w:val="fr-FR"/>
        </w:rPr>
      </w:pPr>
      <w:r w:rsidRPr="00767C49">
        <w:rPr>
          <w:bCs/>
          <w:lang w:val="fr-FR"/>
        </w:rPr>
        <w:t>Conférence des Parties à l</w:t>
      </w:r>
      <w:r>
        <w:rPr>
          <w:bCs/>
          <w:lang w:val="fr-FR"/>
        </w:rPr>
        <w:t>a Convention sur la diversité biologique</w:t>
      </w:r>
    </w:p>
    <w:p w14:paraId="08560762" w14:textId="77777777" w:rsidR="00A16560" w:rsidRDefault="00A16560" w:rsidP="00A96B21">
      <w:pPr>
        <w:pStyle w:val="Venuedate"/>
        <w:rPr>
          <w:b/>
          <w:lang w:val="fr-FR"/>
        </w:rPr>
      </w:pPr>
      <w:r w:rsidRPr="00A16560">
        <w:rPr>
          <w:b/>
          <w:lang w:val="fr-FR"/>
        </w:rPr>
        <w:t xml:space="preserve">Seizième réunion </w:t>
      </w:r>
    </w:p>
    <w:p w14:paraId="5A9E0A3D" w14:textId="427B1EB6" w:rsidR="00A96B21" w:rsidRPr="0033744B" w:rsidRDefault="00A00234" w:rsidP="00A96B21">
      <w:pPr>
        <w:pStyle w:val="Venuedate"/>
        <w:rPr>
          <w:lang w:val="fr-FR"/>
        </w:rPr>
      </w:pPr>
      <w:r w:rsidRPr="0033744B">
        <w:rPr>
          <w:lang w:val="fr-FR"/>
        </w:rPr>
        <w:t>Cali, Colombi</w:t>
      </w:r>
      <w:r w:rsidR="0033744B" w:rsidRPr="0033744B">
        <w:rPr>
          <w:lang w:val="fr-FR"/>
        </w:rPr>
        <w:t>e</w:t>
      </w:r>
      <w:r w:rsidRPr="0033744B">
        <w:rPr>
          <w:lang w:val="fr-FR"/>
        </w:rPr>
        <w:t xml:space="preserve">, 21 </w:t>
      </w:r>
      <w:r w:rsidR="0033744B" w:rsidRPr="0033744B">
        <w:rPr>
          <w:lang w:val="fr-FR"/>
        </w:rPr>
        <w:t>octobre</w:t>
      </w:r>
      <w:r w:rsidRPr="0033744B">
        <w:rPr>
          <w:lang w:val="fr-FR"/>
        </w:rPr>
        <w:t>–</w:t>
      </w:r>
      <w:r w:rsidR="0033744B">
        <w:rPr>
          <w:lang w:val="fr-FR"/>
        </w:rPr>
        <w:t>1</w:t>
      </w:r>
      <w:r w:rsidR="0033744B" w:rsidRPr="0033744B">
        <w:rPr>
          <w:vertAlign w:val="superscript"/>
          <w:lang w:val="fr-FR"/>
        </w:rPr>
        <w:t>er</w:t>
      </w:r>
      <w:r w:rsidR="0033744B">
        <w:rPr>
          <w:lang w:val="fr-FR"/>
        </w:rPr>
        <w:t xml:space="preserve"> novembre</w:t>
      </w:r>
      <w:r w:rsidRPr="0033744B">
        <w:rPr>
          <w:lang w:val="fr-FR"/>
        </w:rPr>
        <w:t xml:space="preserve"> 2024</w:t>
      </w:r>
    </w:p>
    <w:p w14:paraId="7BFBB5BA" w14:textId="2D7B79E8" w:rsidR="00A96B21" w:rsidRPr="0033744B" w:rsidRDefault="0033744B" w:rsidP="00A96B21">
      <w:pPr>
        <w:pStyle w:val="Cornernotation-Item"/>
        <w:rPr>
          <w:b w:val="0"/>
          <w:bCs w:val="0"/>
          <w:lang w:val="fr-FR"/>
        </w:rPr>
      </w:pPr>
      <w:r w:rsidRPr="0033744B">
        <w:rPr>
          <w:b w:val="0"/>
          <w:bCs w:val="0"/>
          <w:lang w:val="fr-FR"/>
        </w:rPr>
        <w:t>Point 24 de l’ordre d</w:t>
      </w:r>
      <w:r>
        <w:rPr>
          <w:b w:val="0"/>
          <w:bCs w:val="0"/>
          <w:lang w:val="fr-FR"/>
        </w:rPr>
        <w:t>u jour</w:t>
      </w:r>
    </w:p>
    <w:p w14:paraId="6DDA9877" w14:textId="2B7B8A17" w:rsidR="00107FE8" w:rsidRPr="0033744B" w:rsidRDefault="0033744B" w:rsidP="00A96B21">
      <w:pPr>
        <w:pStyle w:val="Cornernotation-Item"/>
        <w:rPr>
          <w:lang w:val="fr-FR"/>
        </w:rPr>
      </w:pPr>
      <w:r>
        <w:rPr>
          <w:lang w:val="fr-FR"/>
        </w:rPr>
        <w:t>Biologie de synthèse</w:t>
      </w:r>
    </w:p>
    <w:p w14:paraId="02778C2C" w14:textId="1A7C7512" w:rsidR="00A96B21" w:rsidRPr="0033744B" w:rsidRDefault="0033744B" w:rsidP="00A96B21">
      <w:pPr>
        <w:pStyle w:val="Cornernotation-Item"/>
        <w:rPr>
          <w:b w:val="0"/>
          <w:bCs w:val="0"/>
          <w:lang w:val="fr-FR"/>
        </w:rPr>
      </w:pPr>
      <w:r w:rsidRPr="0033744B">
        <w:rPr>
          <w:b w:val="0"/>
          <w:bCs w:val="0"/>
          <w:lang w:val="fr-FR"/>
        </w:rPr>
        <w:t>Gr</w:t>
      </w:r>
      <w:r>
        <w:rPr>
          <w:b w:val="0"/>
          <w:bCs w:val="0"/>
          <w:lang w:val="fr-FR"/>
        </w:rPr>
        <w:t>oupe de travail II</w:t>
      </w:r>
    </w:p>
    <w:bookmarkEnd w:id="0"/>
    <w:p w14:paraId="3F49212B" w14:textId="68C34513" w:rsidR="00A96B21" w:rsidRPr="00B0608E" w:rsidRDefault="00B0608E" w:rsidP="001454DA">
      <w:pPr>
        <w:pStyle w:val="CBDTitle"/>
        <w:rPr>
          <w:lang w:val="fr-CA"/>
        </w:rPr>
      </w:pPr>
      <w:sdt>
        <w:sdtPr>
          <w:rPr>
            <w:szCs w:val="28"/>
            <w:lang w:val="fr-CA"/>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3744B" w:rsidRPr="00B0608E">
            <w:rPr>
              <w:szCs w:val="28"/>
              <w:lang w:val="fr-CA"/>
            </w:rPr>
            <w:t>Biologie de synthèse</w:t>
          </w:r>
        </w:sdtContent>
      </w:sdt>
    </w:p>
    <w:p w14:paraId="738A3667" w14:textId="62812E28" w:rsidR="00A96B21" w:rsidRPr="00BF5D0A" w:rsidRDefault="00BF5D0A" w:rsidP="001454DA">
      <w:pPr>
        <w:pStyle w:val="CBDSubTitle"/>
        <w:rPr>
          <w:lang w:val="fr-FR"/>
        </w:rPr>
      </w:pPr>
      <w:r w:rsidRPr="00BF5D0A">
        <w:rPr>
          <w:lang w:val="fr-FR"/>
        </w:rPr>
        <w:t xml:space="preserve">Projet de décision présenté par le </w:t>
      </w:r>
      <w:r>
        <w:rPr>
          <w:lang w:val="fr-FR"/>
        </w:rPr>
        <w:t>P</w:t>
      </w:r>
      <w:r w:rsidRPr="00BF5D0A">
        <w:rPr>
          <w:lang w:val="fr-FR"/>
        </w:rPr>
        <w:t xml:space="preserve">résident du </w:t>
      </w:r>
      <w:r>
        <w:rPr>
          <w:lang w:val="fr-FR"/>
        </w:rPr>
        <w:t>G</w:t>
      </w:r>
      <w:r w:rsidRPr="00BF5D0A">
        <w:rPr>
          <w:lang w:val="fr-FR"/>
        </w:rPr>
        <w:t>roupe de travail II</w:t>
      </w:r>
    </w:p>
    <w:p w14:paraId="7D12D873" w14:textId="77777777" w:rsidR="0033744B" w:rsidRDefault="0033744B" w:rsidP="0033744B">
      <w:pPr>
        <w:tabs>
          <w:tab w:val="clear" w:pos="567"/>
          <w:tab w:val="clear" w:pos="1134"/>
          <w:tab w:val="clear" w:pos="1701"/>
        </w:tabs>
        <w:snapToGrid w:val="0"/>
        <w:spacing w:before="120" w:after="120"/>
        <w:ind w:left="567" w:firstLine="567"/>
        <w:rPr>
          <w:i/>
          <w:iCs/>
          <w:lang w:val="fr-FR"/>
        </w:rPr>
      </w:pPr>
      <w:r w:rsidRPr="0033744B">
        <w:rPr>
          <w:i/>
          <w:iCs/>
          <w:lang w:val="fr-FR"/>
        </w:rPr>
        <w:t>La Conférence des Parties,</w:t>
      </w:r>
    </w:p>
    <w:p w14:paraId="5CCB81A0" w14:textId="7374BF81" w:rsidR="00BF5D0A" w:rsidRPr="00B0608E" w:rsidRDefault="00BF5D0A" w:rsidP="00BF5D0A">
      <w:pPr>
        <w:tabs>
          <w:tab w:val="clear" w:pos="567"/>
          <w:tab w:val="clear" w:pos="1134"/>
          <w:tab w:val="clear" w:pos="1701"/>
        </w:tabs>
        <w:snapToGrid w:val="0"/>
        <w:spacing w:before="120" w:after="120"/>
        <w:ind w:left="567" w:firstLine="567"/>
        <w:rPr>
          <w:rFonts w:eastAsia="Times New Roman"/>
          <w:b/>
          <w:bCs/>
          <w:kern w:val="2"/>
          <w:lang w:val="fr-CA"/>
          <w14:ligatures w14:val="standardContextual"/>
        </w:rPr>
      </w:pPr>
      <w:r w:rsidRPr="00B0608E">
        <w:rPr>
          <w:rFonts w:eastAsia="Times New Roman"/>
          <w:b/>
          <w:bCs/>
          <w:kern w:val="2"/>
          <w:lang w:val="fr-CA"/>
          <w14:ligatures w14:val="standardContextual"/>
        </w:rPr>
        <w:t>[</w:t>
      </w:r>
    </w:p>
    <w:p w14:paraId="5706C0CB" w14:textId="77777777" w:rsidR="0033744B" w:rsidRPr="0033744B" w:rsidRDefault="0033744B" w:rsidP="0033744B">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33744B">
        <w:rPr>
          <w:i/>
          <w:iCs/>
          <w:lang w:val="fr-FR"/>
        </w:rPr>
        <w:t>Rappelant</w:t>
      </w:r>
      <w:r w:rsidRPr="0033744B">
        <w:rPr>
          <w:lang w:val="fr-FR"/>
        </w:rPr>
        <w:t xml:space="preserve"> l’appel lancé par la Conférence des Parties siégeant en tant que réunion des Parties au Protocole de Cartagena sur la prévention des risques biotechnologiques</w:t>
      </w:r>
      <w:r w:rsidRPr="00DD7818">
        <w:rPr>
          <w:rFonts w:eastAsia="Times New Roman"/>
          <w:kern w:val="2"/>
          <w:vertAlign w:val="superscript"/>
        </w:rPr>
        <w:footnoteReference w:id="2"/>
      </w:r>
      <w:r w:rsidRPr="0033744B">
        <w:rPr>
          <w:lang w:val="fr-FR"/>
        </w:rPr>
        <w:t xml:space="preserve"> dans sa décision BSVII/12 du 3 octobre 2014 en faveur d’une approche coordonnée de la question de la biologie de synthèse, compte tenu du fait que les dispositions du Protocole peuvent également s’appliquer aux organismes vivants issus de la biologie de synthèse,</w:t>
      </w:r>
    </w:p>
    <w:p w14:paraId="14096ECB" w14:textId="736779BA" w:rsidR="0033744B" w:rsidRPr="0033744B" w:rsidRDefault="0033744B" w:rsidP="0033744B">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33744B">
        <w:rPr>
          <w:i/>
          <w:iCs/>
          <w:lang w:val="fr-FR"/>
        </w:rPr>
        <w:t>Rappelant également</w:t>
      </w:r>
      <w:r w:rsidRPr="0033744B">
        <w:rPr>
          <w:lang w:val="fr-FR"/>
        </w:rPr>
        <w:t xml:space="preserve"> les décisions</w:t>
      </w:r>
      <w:r>
        <w:rPr>
          <w:lang w:val="fr-FR"/>
        </w:rPr>
        <w:t xml:space="preserve"> </w:t>
      </w:r>
      <w:hyperlink r:id="rId14" w:history="1">
        <w:r w:rsidRPr="003E03DD">
          <w:rPr>
            <w:rStyle w:val="Hyperlink"/>
            <w:lang w:val="fr-FR"/>
          </w:rPr>
          <w:t>14/19</w:t>
        </w:r>
      </w:hyperlink>
      <w:r w:rsidRPr="0033744B">
        <w:rPr>
          <w:lang w:val="fr-FR"/>
        </w:rPr>
        <w:t xml:space="preserve"> du 29 novembre 2018</w:t>
      </w:r>
      <w:r>
        <w:rPr>
          <w:lang w:val="fr-FR"/>
        </w:rPr>
        <w:t xml:space="preserve"> </w:t>
      </w:r>
      <w:r w:rsidRPr="0033744B">
        <w:rPr>
          <w:lang w:val="fr-FR"/>
        </w:rPr>
        <w:t xml:space="preserve">et </w:t>
      </w:r>
      <w:hyperlink r:id="rId15" w:history="1">
        <w:r w:rsidRPr="003E03DD">
          <w:rPr>
            <w:rStyle w:val="Hyperlink"/>
            <w:lang w:val="fr-FR"/>
          </w:rPr>
          <w:t>15/31</w:t>
        </w:r>
      </w:hyperlink>
      <w:r w:rsidRPr="0033744B">
        <w:rPr>
          <w:lang w:val="fr-FR"/>
        </w:rPr>
        <w:t xml:space="preserve"> du 19 décembre 2022,</w:t>
      </w:r>
    </w:p>
    <w:p w14:paraId="514DA9E7" w14:textId="36FB7E81" w:rsidR="0033744B" w:rsidRPr="0033744B" w:rsidRDefault="0033744B" w:rsidP="0033744B">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33744B">
        <w:rPr>
          <w:rFonts w:eastAsia="Times New Roman"/>
          <w:i/>
          <w:iCs/>
          <w:kern w:val="2"/>
          <w:lang w:val="fr-FR"/>
          <w14:ligatures w14:val="standardContextual"/>
        </w:rPr>
        <w:t xml:space="preserve">Réaffirmant </w:t>
      </w:r>
      <w:r w:rsidRPr="0033744B">
        <w:rPr>
          <w:rFonts w:eastAsia="Times New Roman"/>
          <w:kern w:val="2"/>
          <w:lang w:val="fr-FR"/>
          <w14:ligatures w14:val="standardContextual"/>
        </w:rPr>
        <w:t xml:space="preserve">la décision </w:t>
      </w:r>
      <w:hyperlink r:id="rId16" w:history="1">
        <w:r w:rsidRPr="003E03DD">
          <w:rPr>
            <w:rStyle w:val="Hyperlink"/>
            <w:rFonts w:eastAsia="Times New Roman"/>
            <w:kern w:val="2"/>
            <w:lang w:val="fr-FR"/>
            <w14:ligatures w14:val="standardContextual"/>
          </w:rPr>
          <w:t>15/8</w:t>
        </w:r>
      </w:hyperlink>
      <w:r w:rsidRPr="0033744B">
        <w:rPr>
          <w:rFonts w:eastAsia="Times New Roman"/>
          <w:kern w:val="2"/>
          <w:lang w:val="fr-FR"/>
          <w14:ligatures w14:val="standardContextual"/>
        </w:rPr>
        <w:t xml:space="preserve"> du 19 décembre 2022 sur le renforcement des capacités et le développement et la coopération technique et scientifique, ainsi que les principes directeurs énoncés à l'annexe II de cette décision,</w:t>
      </w:r>
    </w:p>
    <w:p w14:paraId="2B7BE24E" w14:textId="13906CF1" w:rsidR="0033744B" w:rsidRPr="0033744B" w:rsidRDefault="0033744B" w:rsidP="0033744B">
      <w:pPr>
        <w:tabs>
          <w:tab w:val="clear" w:pos="567"/>
          <w:tab w:val="clear" w:pos="1134"/>
          <w:tab w:val="clear" w:pos="1701"/>
        </w:tabs>
        <w:snapToGrid w:val="0"/>
        <w:spacing w:before="120" w:after="120"/>
        <w:ind w:left="567" w:firstLine="567"/>
        <w:rPr>
          <w:rFonts w:eastAsia="Times New Roman"/>
          <w:i/>
          <w:iCs/>
          <w:kern w:val="2"/>
          <w:lang w:val="fr-FR"/>
          <w14:ligatures w14:val="standardContextual"/>
        </w:rPr>
      </w:pPr>
      <w:r w:rsidRPr="0033744B">
        <w:rPr>
          <w:rFonts w:eastAsia="Times New Roman"/>
          <w:i/>
          <w:iCs/>
          <w:kern w:val="2"/>
          <w:lang w:val="fr-FR"/>
          <w14:ligatures w14:val="standardContextual"/>
        </w:rPr>
        <w:t xml:space="preserve">Soulignant </w:t>
      </w:r>
      <w:r w:rsidRPr="0033744B">
        <w:rPr>
          <w:rFonts w:eastAsia="Times New Roman"/>
          <w:kern w:val="2"/>
          <w:lang w:val="fr-FR"/>
          <w14:ligatures w14:val="standardContextual"/>
        </w:rPr>
        <w:t>à nouveau l'application d'une approche de précaution, conformément aux objectifs de la Convention sur la diversité biologique</w:t>
      </w:r>
      <w:r w:rsidR="003E03DD">
        <w:rPr>
          <w:rStyle w:val="FootnoteReference"/>
          <w:rFonts w:eastAsia="Times New Roman"/>
          <w:kern w:val="2"/>
          <w:lang w:val="fr-FR"/>
          <w14:ligatures w14:val="standardContextual"/>
        </w:rPr>
        <w:footnoteReference w:id="3"/>
      </w:r>
      <w:r w:rsidRPr="0033744B">
        <w:rPr>
          <w:rFonts w:eastAsia="Times New Roman"/>
          <w:kern w:val="2"/>
          <w:lang w:val="fr-FR"/>
          <w14:ligatures w14:val="standardContextual"/>
        </w:rPr>
        <w:t xml:space="preserve">, pour les rejets dans l'environnement des applications de la biologie </w:t>
      </w:r>
      <w:r w:rsidR="009C3851">
        <w:rPr>
          <w:rFonts w:eastAsia="Times New Roman"/>
          <w:kern w:val="2"/>
          <w:lang w:val="fr-FR"/>
          <w14:ligatures w14:val="standardContextual"/>
        </w:rPr>
        <w:t>de synthèse ;</w:t>
      </w:r>
    </w:p>
    <w:p w14:paraId="724863A2" w14:textId="25DB60B6" w:rsidR="0033744B" w:rsidRDefault="0033744B" w:rsidP="0033744B">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33744B">
        <w:rPr>
          <w:rFonts w:eastAsia="Times New Roman"/>
          <w:i/>
          <w:iCs/>
          <w:kern w:val="2"/>
          <w:lang w:val="fr-FR"/>
          <w14:ligatures w14:val="standardContextual"/>
        </w:rPr>
        <w:t xml:space="preserve">Reconnaissant </w:t>
      </w:r>
      <w:r w:rsidRPr="0033744B">
        <w:rPr>
          <w:rFonts w:eastAsia="Times New Roman"/>
          <w:kern w:val="2"/>
          <w:lang w:val="fr-FR"/>
          <w14:ligatures w14:val="standardContextual"/>
        </w:rPr>
        <w:t xml:space="preserve">la relation entre le domaine de la biologie </w:t>
      </w:r>
      <w:r w:rsidR="009C3851">
        <w:rPr>
          <w:rFonts w:eastAsia="Times New Roman"/>
          <w:kern w:val="2"/>
          <w:lang w:val="fr-FR"/>
          <w14:ligatures w14:val="standardContextual"/>
        </w:rPr>
        <w:t>de synthèse</w:t>
      </w:r>
      <w:r w:rsidRPr="0033744B">
        <w:rPr>
          <w:rFonts w:eastAsia="Times New Roman"/>
          <w:kern w:val="2"/>
          <w:lang w:val="fr-FR"/>
          <w14:ligatures w14:val="standardContextual"/>
        </w:rPr>
        <w:t xml:space="preserve"> et la cible 17 du Cadre mondial pour la diversité biologique Kunming-Montréal établi dans la décision </w:t>
      </w:r>
      <w:hyperlink r:id="rId17" w:history="1">
        <w:r w:rsidRPr="0033744B">
          <w:rPr>
            <w:rStyle w:val="Hyperlink"/>
            <w:rFonts w:eastAsia="Times New Roman"/>
            <w:kern w:val="2"/>
            <w:lang w:val="fr-FR"/>
            <w14:ligatures w14:val="standardContextual"/>
          </w:rPr>
          <w:t>15/4</w:t>
        </w:r>
      </w:hyperlink>
      <w:r w:rsidRPr="0033744B">
        <w:rPr>
          <w:rFonts w:eastAsia="Times New Roman"/>
          <w:kern w:val="2"/>
          <w:lang w:val="fr-FR"/>
          <w14:ligatures w14:val="standardContextual"/>
        </w:rPr>
        <w:t xml:space="preserve"> du 19 décembre 2022,</w:t>
      </w:r>
    </w:p>
    <w:p w14:paraId="5E232F71" w14:textId="0FE49017" w:rsidR="0033744B" w:rsidRPr="0033744B" w:rsidRDefault="0033744B" w:rsidP="0033744B">
      <w:pPr>
        <w:tabs>
          <w:tab w:val="clear" w:pos="567"/>
          <w:tab w:val="clear" w:pos="1134"/>
          <w:tab w:val="clear" w:pos="1701"/>
        </w:tabs>
        <w:snapToGrid w:val="0"/>
        <w:spacing w:before="120" w:after="120"/>
        <w:ind w:left="567" w:firstLine="567"/>
        <w:rPr>
          <w:rFonts w:eastAsia="Times New Roman"/>
          <w:i/>
          <w:iCs/>
          <w:kern w:val="2"/>
          <w:lang w:val="fr-FR"/>
          <w14:ligatures w14:val="standardContextual"/>
        </w:rPr>
      </w:pPr>
      <w:r w:rsidRPr="0033744B">
        <w:rPr>
          <w:i/>
          <w:iCs/>
          <w:lang w:val="fr-FR"/>
        </w:rPr>
        <w:t>Notant</w:t>
      </w:r>
      <w:r w:rsidRPr="0033744B">
        <w:rPr>
          <w:lang w:val="fr-FR"/>
        </w:rPr>
        <w:t xml:space="preserve"> les </w:t>
      </w:r>
      <w:r>
        <w:rPr>
          <w:lang w:val="fr-FR"/>
        </w:rPr>
        <w:t>incidences</w:t>
      </w:r>
      <w:r w:rsidRPr="0033744B">
        <w:rPr>
          <w:lang w:val="fr-FR"/>
        </w:rPr>
        <w:t xml:space="preserve"> positives et négatives potentielles des applications de la biologie de synthèse par rapport aux objectifs de la Convention et aux objectifs et cibles du Cadre</w:t>
      </w:r>
      <w:r w:rsidRPr="00DD7818">
        <w:rPr>
          <w:rFonts w:eastAsia="Times New Roman"/>
          <w:kern w:val="2"/>
          <w:vertAlign w:val="superscript"/>
        </w:rPr>
        <w:footnoteReference w:id="4"/>
      </w:r>
      <w:r w:rsidRPr="0033744B">
        <w:rPr>
          <w:lang w:val="fr-FR"/>
        </w:rPr>
        <w:t>,</w:t>
      </w:r>
    </w:p>
    <w:p w14:paraId="7DD3C773" w14:textId="77777777" w:rsidR="009136BA" w:rsidRPr="009136BA" w:rsidRDefault="009136BA" w:rsidP="009136BA">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9136BA">
        <w:rPr>
          <w:i/>
          <w:iCs/>
          <w:lang w:val="fr-FR"/>
        </w:rPr>
        <w:t>Consciente</w:t>
      </w:r>
      <w:r w:rsidRPr="009136BA">
        <w:rPr>
          <w:lang w:val="fr-FR"/>
        </w:rPr>
        <w:t xml:space="preserve"> qu’une approche multidisciplinaire et pilotée par les Parties est essentielle pour évaluer les impacts potentiels de la biologie de synthèse sur les objectifs de la Convention et de ses Protocoles,</w:t>
      </w:r>
    </w:p>
    <w:p w14:paraId="409793DE" w14:textId="4A8FC64F" w:rsidR="009136BA" w:rsidRPr="009136BA" w:rsidRDefault="009136BA" w:rsidP="009136BA">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9136BA">
        <w:rPr>
          <w:i/>
          <w:iCs/>
          <w:lang w:val="fr-FR"/>
        </w:rPr>
        <w:lastRenderedPageBreak/>
        <w:t>Reconnaissant</w:t>
      </w:r>
      <w:r w:rsidRPr="009136BA">
        <w:rPr>
          <w:lang w:val="fr-FR"/>
        </w:rPr>
        <w:t xml:space="preserve"> l’inégalité de la participation des pays en développement à la recherche, au développement, à l’évaluation et à la réglementation </w:t>
      </w:r>
      <w:r>
        <w:rPr>
          <w:lang w:val="fr-FR"/>
        </w:rPr>
        <w:t xml:space="preserve">en matière </w:t>
      </w:r>
      <w:r w:rsidRPr="009136BA">
        <w:rPr>
          <w:lang w:val="fr-FR"/>
        </w:rPr>
        <w:t xml:space="preserve">de biologie de synthèse et l’importance de gérer les incidences, </w:t>
      </w:r>
    </w:p>
    <w:p w14:paraId="36A13809" w14:textId="0498C77C" w:rsidR="0033744B" w:rsidRPr="00C42BF2" w:rsidRDefault="009136BA" w:rsidP="0033744B">
      <w:pPr>
        <w:keepNext/>
        <w:tabs>
          <w:tab w:val="clear" w:pos="567"/>
          <w:tab w:val="clear" w:pos="1134"/>
          <w:tab w:val="clear" w:pos="1701"/>
        </w:tabs>
        <w:snapToGrid w:val="0"/>
        <w:spacing w:before="120" w:after="120"/>
        <w:ind w:left="567" w:firstLine="567"/>
        <w:rPr>
          <w:rFonts w:eastAsia="Times New Roman"/>
          <w:kern w:val="2"/>
          <w:lang w:val="fr-FR"/>
          <w14:ligatures w14:val="standardContextual"/>
        </w:rPr>
      </w:pPr>
      <w:r>
        <w:rPr>
          <w:i/>
          <w:iCs/>
          <w:lang w:val="fr-FR"/>
        </w:rPr>
        <w:t>Saluant</w:t>
      </w:r>
      <w:r w:rsidR="0033744B" w:rsidRPr="0033744B">
        <w:rPr>
          <w:lang w:val="fr-FR"/>
        </w:rPr>
        <w:t xml:space="preserve"> l</w:t>
      </w:r>
      <w:r>
        <w:rPr>
          <w:lang w:val="fr-FR"/>
        </w:rPr>
        <w:t>e</w:t>
      </w:r>
      <w:r w:rsidR="00C42BF2">
        <w:rPr>
          <w:lang w:val="fr-FR"/>
        </w:rPr>
        <w:t xml:space="preserve">s travaux </w:t>
      </w:r>
      <w:r>
        <w:rPr>
          <w:lang w:val="fr-FR"/>
        </w:rPr>
        <w:t>du</w:t>
      </w:r>
      <w:r w:rsidR="0033744B" w:rsidRPr="0033744B">
        <w:rPr>
          <w:lang w:val="fr-FR"/>
        </w:rPr>
        <w:t xml:space="preserve"> Groupe spécial d’experts techniques multidisciplinaire sur la biologie de synthèse,</w:t>
      </w:r>
      <w:r w:rsidR="00C42BF2">
        <w:rPr>
          <w:lang w:val="fr-FR"/>
        </w:rPr>
        <w:t xml:space="preserve"> </w:t>
      </w:r>
      <w:r w:rsidR="00C42BF2" w:rsidRPr="00C42BF2">
        <w:rPr>
          <w:lang w:val="fr-FR"/>
        </w:rPr>
        <w:t xml:space="preserve">ainsi que les conclusions d'une veille technologique large et régulière, de l'analyse d'horizon et des évaluations menées sur les développements les plus récents dans </w:t>
      </w:r>
      <w:r w:rsidR="00C42BF2">
        <w:rPr>
          <w:lang w:val="fr-FR"/>
        </w:rPr>
        <w:t>le domaine de la biologie de synthèse,</w:t>
      </w:r>
    </w:p>
    <w:p w14:paraId="3CF50BA3" w14:textId="759B12DA" w:rsidR="0033744B" w:rsidRPr="00C42BF2" w:rsidRDefault="0033744B" w:rsidP="00C42BF2">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33744B">
        <w:rPr>
          <w:lang w:val="fr-FR"/>
        </w:rPr>
        <w:t>]</w:t>
      </w:r>
    </w:p>
    <w:p w14:paraId="1FCC514C" w14:textId="77777777"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1.</w:t>
      </w:r>
      <w:r w:rsidRPr="0033744B">
        <w:rPr>
          <w:lang w:val="fr-FR"/>
        </w:rPr>
        <w:tab/>
      </w:r>
      <w:r w:rsidRPr="0033744B">
        <w:rPr>
          <w:i/>
          <w:iCs/>
          <w:lang w:val="fr-FR"/>
        </w:rPr>
        <w:t>Souligne</w:t>
      </w:r>
      <w:r w:rsidRPr="0033744B">
        <w:rPr>
          <w:lang w:val="fr-FR"/>
        </w:rPr>
        <w:t xml:space="preserve"> qu’il est urgent de renforcer et de créer des capacités, d’assurer l’accès aux technologies et leur transfert, et de partager les connaissances en matière de biologie de synthèse ;</w:t>
      </w:r>
    </w:p>
    <w:p w14:paraId="7C57855B" w14:textId="3FF2B8A8"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2.</w:t>
      </w:r>
      <w:r w:rsidRPr="0033744B">
        <w:rPr>
          <w:lang w:val="fr-FR"/>
        </w:rPr>
        <w:tab/>
      </w:r>
      <w:r w:rsidRPr="0033744B">
        <w:rPr>
          <w:i/>
          <w:iCs/>
          <w:lang w:val="fr-FR"/>
        </w:rPr>
        <w:t>Exhorte</w:t>
      </w:r>
      <w:r w:rsidRPr="0033744B">
        <w:rPr>
          <w:lang w:val="fr-FR"/>
        </w:rPr>
        <w:t xml:space="preserve"> les Parties et invite les organisations compétentes à fournir un appui financier et technique aux initiatives de renforcement et de création des capacités, et de transfert de technologies dans les pays en développement, </w:t>
      </w:r>
      <w:r w:rsidR="00440CBC" w:rsidRPr="00440CBC">
        <w:rPr>
          <w:lang w:val="fr-FR"/>
        </w:rPr>
        <w:t xml:space="preserve">en particulier les pays les moins avancés et les petits États insulaires en développement, ainsi que les pays à économie en transition, </w:t>
      </w:r>
      <w:r w:rsidRPr="0033744B">
        <w:rPr>
          <w:lang w:val="fr-FR"/>
        </w:rPr>
        <w:t>y compris pour la recherche, le développement et l’évaluation dans le domaine de la biologie de synthèse ;</w:t>
      </w:r>
    </w:p>
    <w:p w14:paraId="44A3EF77" w14:textId="77777777"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3.</w:t>
      </w:r>
      <w:r w:rsidRPr="0033744B">
        <w:rPr>
          <w:lang w:val="fr-FR"/>
        </w:rPr>
        <w:tab/>
      </w:r>
      <w:r w:rsidRPr="0033744B">
        <w:rPr>
          <w:i/>
          <w:iCs/>
          <w:lang w:val="fr-FR"/>
        </w:rPr>
        <w:t>Invite</w:t>
      </w:r>
      <w:r w:rsidRPr="0033744B">
        <w:rPr>
          <w:lang w:val="fr-FR"/>
        </w:rPr>
        <w:t xml:space="preserve"> les Parties et les autres parties prenantes à faciliter une coopération internationale à grande échelle, le transfert de technologies, le partage des connaissances, le renforcement et la création des capacités dans le domaine de la biologie de synthèse, en tenant compte des besoins des Parties, des peuples autochtones et des communautés locales, des femmes et des jeunes ;</w:t>
      </w:r>
    </w:p>
    <w:p w14:paraId="6026885D" w14:textId="51AA2A70" w:rsidR="0033744B" w:rsidRPr="0033744B" w:rsidRDefault="0033744B" w:rsidP="0033744B">
      <w:pPr>
        <w:tabs>
          <w:tab w:val="clear" w:pos="567"/>
          <w:tab w:val="clear" w:pos="1134"/>
        </w:tabs>
        <w:snapToGrid w:val="0"/>
        <w:spacing w:before="120" w:after="120"/>
        <w:ind w:left="567" w:firstLine="567"/>
        <w:rPr>
          <w:rFonts w:eastAsia="Times New Roman"/>
          <w:kern w:val="2"/>
          <w:lang w:val="fr-FR"/>
          <w14:ligatures w14:val="standardContextual"/>
        </w:rPr>
      </w:pPr>
      <w:r w:rsidRPr="0033744B">
        <w:rPr>
          <w:lang w:val="fr-FR"/>
        </w:rPr>
        <w:t>4.</w:t>
      </w:r>
      <w:r w:rsidR="005063F0">
        <w:rPr>
          <w:lang w:val="fr-FR"/>
        </w:rPr>
        <w:tab/>
      </w:r>
      <w:r w:rsidR="005063F0" w:rsidRPr="005063F0">
        <w:rPr>
          <w:i/>
          <w:iCs/>
          <w:lang w:val="fr-FR"/>
        </w:rPr>
        <w:t xml:space="preserve">Encourage </w:t>
      </w:r>
      <w:r w:rsidR="005063F0" w:rsidRPr="005063F0">
        <w:rPr>
          <w:lang w:val="fr-FR"/>
        </w:rPr>
        <w:t xml:space="preserve">les Parties à exprimer leurs besoins et priorités en matière de développement de la biologie de synthèse dans le </w:t>
      </w:r>
      <w:r w:rsidR="005063F0">
        <w:rPr>
          <w:lang w:val="fr-FR"/>
        </w:rPr>
        <w:t>C</w:t>
      </w:r>
      <w:r w:rsidR="005063F0" w:rsidRPr="005063F0">
        <w:rPr>
          <w:lang w:val="fr-FR"/>
        </w:rPr>
        <w:t xml:space="preserve">adre défini, notamment par le biais </w:t>
      </w:r>
      <w:r w:rsidR="005063F0" w:rsidRPr="00743A40">
        <w:rPr>
          <w:lang w:val="fr-FR"/>
        </w:rPr>
        <w:t>des centres</w:t>
      </w:r>
      <w:r w:rsidR="00743A40" w:rsidRPr="00743A40">
        <w:rPr>
          <w:lang w:val="fr-FR"/>
        </w:rPr>
        <w:t xml:space="preserve"> régionaux et infrarégionaux d</w:t>
      </w:r>
      <w:r w:rsidR="005063F0" w:rsidRPr="00743A40">
        <w:rPr>
          <w:lang w:val="fr-FR"/>
        </w:rPr>
        <w:t>’appui technique et scientifique</w:t>
      </w:r>
      <w:r w:rsidR="00743A40" w:rsidRPr="00743A40">
        <w:rPr>
          <w:lang w:val="fr-FR"/>
        </w:rPr>
        <w:t xml:space="preserve">, </w:t>
      </w:r>
      <w:r w:rsidR="005063F0" w:rsidRPr="00743A40">
        <w:rPr>
          <w:lang w:val="fr-FR"/>
        </w:rPr>
        <w:t xml:space="preserve">ainsi </w:t>
      </w:r>
      <w:r w:rsidR="005063F0" w:rsidRPr="005063F0">
        <w:rPr>
          <w:lang w:val="fr-FR"/>
        </w:rPr>
        <w:t>que conformément aux principes directeurs établis dans l'annexe II du mécanisme de décision</w:t>
      </w:r>
      <w:r w:rsidR="005063F0">
        <w:rPr>
          <w:lang w:val="fr-FR"/>
        </w:rPr>
        <w:t> ;</w:t>
      </w:r>
    </w:p>
    <w:p w14:paraId="2314711D" w14:textId="056E6B90" w:rsidR="00577816" w:rsidRDefault="0033744B" w:rsidP="00577816">
      <w:pPr>
        <w:tabs>
          <w:tab w:val="clear" w:pos="567"/>
          <w:tab w:val="clear" w:pos="1134"/>
        </w:tabs>
        <w:snapToGrid w:val="0"/>
        <w:spacing w:before="120" w:after="120"/>
        <w:ind w:left="567" w:firstLine="567"/>
        <w:rPr>
          <w:lang w:val="fr-FR"/>
        </w:rPr>
      </w:pPr>
      <w:r w:rsidRPr="0033744B">
        <w:rPr>
          <w:lang w:val="fr-FR"/>
        </w:rPr>
        <w:t>5.</w:t>
      </w:r>
      <w:r w:rsidRPr="0033744B">
        <w:rPr>
          <w:i/>
          <w:iCs/>
          <w:lang w:val="fr-FR"/>
        </w:rPr>
        <w:tab/>
        <w:t>Décide</w:t>
      </w:r>
      <w:r w:rsidRPr="0033744B">
        <w:rPr>
          <w:lang w:val="fr-FR"/>
        </w:rPr>
        <w:t xml:space="preserve"> d’élaborer un plan d’action thématique pour appuyer le renforcement et la création de capacités, l’accès aux technologies et le transfert de celles-ci ainsi que le partage des connaissances en matière de biologie de synthèse</w:t>
      </w:r>
      <w:r w:rsidR="00577816">
        <w:rPr>
          <w:lang w:val="fr-FR"/>
        </w:rPr>
        <w:t>.</w:t>
      </w:r>
      <w:r w:rsidR="00577816" w:rsidRPr="00577816">
        <w:rPr>
          <w:lang w:val="fr-FR"/>
        </w:rPr>
        <w:t xml:space="preserve"> Ce plan s’appuiera sur les besoins et priorités des Parties, en particulier des pays en développement, notamment les pays les moins avancés, les petits États insulaires en développement, ainsi que les pays à économie en transition, pour faciliter la réalisation des trois objectifs de la </w:t>
      </w:r>
      <w:r w:rsidR="00577816" w:rsidRPr="009842DA">
        <w:rPr>
          <w:lang w:val="fr-FR"/>
        </w:rPr>
        <w:t xml:space="preserve">Convention sur la diversité biologique </w:t>
      </w:r>
      <w:r w:rsidR="00577816" w:rsidRPr="00577816">
        <w:rPr>
          <w:lang w:val="fr-FR"/>
        </w:rPr>
        <w:t>et du Cadre. Il s’inscrira dans le cadre stratégique à long terme pour le renforcement des capacités et le développement, tout en évitant les duplications avec les plans et stratégies déjà en place au titre de la Convention et de ses Protocoles</w:t>
      </w:r>
      <w:r w:rsidR="003A2E4A">
        <w:rPr>
          <w:rStyle w:val="FootnoteReference"/>
          <w:lang w:val="fr-FR"/>
        </w:rPr>
        <w:footnoteReference w:id="5"/>
      </w:r>
      <w:r w:rsidR="00577816" w:rsidRPr="00577816">
        <w:rPr>
          <w:lang w:val="fr-FR"/>
        </w:rPr>
        <w:t>, et en tenant compte de</w:t>
      </w:r>
      <w:r w:rsidR="00577816">
        <w:rPr>
          <w:lang w:val="fr-FR"/>
        </w:rPr>
        <w:t> :</w:t>
      </w:r>
    </w:p>
    <w:p w14:paraId="0E02A4D9" w14:textId="0B53BA1A" w:rsidR="00577816" w:rsidRPr="006B3E85" w:rsidRDefault="00577816" w:rsidP="00577816">
      <w:pPr>
        <w:tabs>
          <w:tab w:val="clear" w:pos="567"/>
          <w:tab w:val="clear" w:pos="1134"/>
        </w:tabs>
        <w:snapToGrid w:val="0"/>
        <w:spacing w:before="120" w:after="120"/>
        <w:ind w:left="567" w:firstLine="567"/>
        <w:rPr>
          <w:lang w:val="fr-FR"/>
        </w:rPr>
      </w:pPr>
      <w:r w:rsidRPr="006B3E85">
        <w:rPr>
          <w:lang w:val="fr-FR"/>
        </w:rPr>
        <w:t>(a) Les besoins spécifiques des Parties, des peuples autochtones et des communautés locales qui complètent le plan d'action pour le renforcement des capacités prévu par le Protocole de Cartagena, tels qu’identifiés à partir des informations communiquées à la suite de la demande formulée au paragraphe 7 ;</w:t>
      </w:r>
    </w:p>
    <w:p w14:paraId="2949CCF3" w14:textId="6F441765" w:rsidR="00577816" w:rsidRPr="006B3E85" w:rsidRDefault="00577816" w:rsidP="00577816">
      <w:pPr>
        <w:tabs>
          <w:tab w:val="clear" w:pos="567"/>
          <w:tab w:val="clear" w:pos="1134"/>
        </w:tabs>
        <w:snapToGrid w:val="0"/>
        <w:spacing w:before="120" w:after="120"/>
        <w:ind w:left="567" w:firstLine="567"/>
        <w:rPr>
          <w:lang w:val="fr-FR"/>
        </w:rPr>
      </w:pPr>
      <w:r w:rsidRPr="006B3E85">
        <w:rPr>
          <w:lang w:val="fr-FR"/>
        </w:rPr>
        <w:t xml:space="preserve">(b) L'identification des domaines dans lesquels le renforcement et le développement des capacités, l'accès aux technologies et leur transfert ainsi que le partage des connaissances sont nécessaires pour la recherche-développement et l'évaluation dans le domaine de la biologie </w:t>
      </w:r>
      <w:r w:rsidR="00F9638B" w:rsidRPr="006B3E85">
        <w:rPr>
          <w:lang w:val="fr-FR"/>
        </w:rPr>
        <w:t>de synthèse ;</w:t>
      </w:r>
    </w:p>
    <w:p w14:paraId="12C8EB0F" w14:textId="68918DD3" w:rsidR="00577816" w:rsidRPr="006B3E85" w:rsidRDefault="00577816" w:rsidP="00577816">
      <w:pPr>
        <w:tabs>
          <w:tab w:val="clear" w:pos="567"/>
          <w:tab w:val="clear" w:pos="1134"/>
        </w:tabs>
        <w:snapToGrid w:val="0"/>
        <w:spacing w:before="120" w:after="120"/>
        <w:ind w:left="567" w:firstLine="567"/>
        <w:rPr>
          <w:lang w:val="fr-FR"/>
        </w:rPr>
      </w:pPr>
      <w:r w:rsidRPr="006B3E85">
        <w:rPr>
          <w:lang w:val="fr-FR"/>
        </w:rPr>
        <w:t xml:space="preserve">(c) Des stratégies visant à faciliter la participation équitable des pays en développement parties, des populations autochtones et des communautés locales, des femmes, des jeunes, </w:t>
      </w:r>
      <w:r w:rsidR="008F4F97">
        <w:rPr>
          <w:lang w:val="fr-FR"/>
        </w:rPr>
        <w:t>des universités</w:t>
      </w:r>
      <w:r w:rsidRPr="006B3E85">
        <w:rPr>
          <w:lang w:val="fr-FR"/>
        </w:rPr>
        <w:t xml:space="preserve">, du secteur </w:t>
      </w:r>
      <w:r w:rsidR="006B3E85" w:rsidRPr="006B3E85">
        <w:rPr>
          <w:lang w:val="fr-FR"/>
        </w:rPr>
        <w:t xml:space="preserve">privé </w:t>
      </w:r>
      <w:r w:rsidRPr="006B3E85">
        <w:rPr>
          <w:lang w:val="fr-FR"/>
        </w:rPr>
        <w:t xml:space="preserve">et des institutions compétentes à la recherche et au développement dans le domaine de la biologie </w:t>
      </w:r>
      <w:r w:rsidR="006B3E85" w:rsidRPr="006B3E85">
        <w:rPr>
          <w:lang w:val="fr-FR"/>
        </w:rPr>
        <w:t>de synthèse ;</w:t>
      </w:r>
    </w:p>
    <w:p w14:paraId="44B2DF99" w14:textId="3FB6779C" w:rsidR="00577816" w:rsidRPr="006B3E85" w:rsidRDefault="00577816" w:rsidP="00577816">
      <w:pPr>
        <w:tabs>
          <w:tab w:val="clear" w:pos="567"/>
          <w:tab w:val="clear" w:pos="1134"/>
        </w:tabs>
        <w:snapToGrid w:val="0"/>
        <w:spacing w:before="120" w:after="120"/>
        <w:ind w:left="567" w:firstLine="567"/>
        <w:rPr>
          <w:lang w:val="fr-FR"/>
        </w:rPr>
      </w:pPr>
      <w:r w:rsidRPr="006B3E85">
        <w:rPr>
          <w:lang w:val="fr-FR"/>
        </w:rPr>
        <w:lastRenderedPageBreak/>
        <w:t xml:space="preserve">(d) Des stratégies visant à promouvoir le partage juste et équitable des avantages découlant de la biologie </w:t>
      </w:r>
      <w:r w:rsidR="006B3E85" w:rsidRPr="006B3E85">
        <w:rPr>
          <w:lang w:val="fr-FR"/>
        </w:rPr>
        <w:t>de synthèse,</w:t>
      </w:r>
      <w:r w:rsidRPr="006B3E85">
        <w:rPr>
          <w:lang w:val="fr-FR"/>
        </w:rPr>
        <w:t xml:space="preserve"> conformément aux articles 16 et 19 de la </w:t>
      </w:r>
      <w:r w:rsidR="006B3E85" w:rsidRPr="006B3E85">
        <w:rPr>
          <w:lang w:val="fr-FR"/>
        </w:rPr>
        <w:t>Co</w:t>
      </w:r>
      <w:r w:rsidRPr="006B3E85">
        <w:rPr>
          <w:lang w:val="fr-FR"/>
        </w:rPr>
        <w:t xml:space="preserve">nvention et du </w:t>
      </w:r>
      <w:r w:rsidR="006B3E85" w:rsidRPr="006B3E85">
        <w:rPr>
          <w:lang w:val="fr-FR"/>
        </w:rPr>
        <w:t>C</w:t>
      </w:r>
      <w:r w:rsidRPr="006B3E85">
        <w:rPr>
          <w:lang w:val="fr-FR"/>
        </w:rPr>
        <w:t>adre ;</w:t>
      </w:r>
    </w:p>
    <w:p w14:paraId="6ED89C33" w14:textId="66CF2BC3" w:rsidR="00577816" w:rsidRPr="006B3E85" w:rsidRDefault="00577816" w:rsidP="00C7074B">
      <w:pPr>
        <w:tabs>
          <w:tab w:val="clear" w:pos="567"/>
          <w:tab w:val="clear" w:pos="1134"/>
        </w:tabs>
        <w:snapToGrid w:val="0"/>
        <w:spacing w:before="120" w:after="120"/>
        <w:ind w:left="567" w:firstLine="567"/>
        <w:rPr>
          <w:lang w:val="fr-FR"/>
        </w:rPr>
      </w:pPr>
      <w:r w:rsidRPr="006B3E85">
        <w:rPr>
          <w:lang w:val="fr-FR"/>
        </w:rPr>
        <w:t xml:space="preserve">(e) </w:t>
      </w:r>
      <w:r w:rsidR="006B3E85" w:rsidRPr="006B3E85">
        <w:rPr>
          <w:lang w:val="fr-FR"/>
        </w:rPr>
        <w:t>De</w:t>
      </w:r>
      <w:r w:rsidRPr="006B3E85">
        <w:rPr>
          <w:lang w:val="fr-FR"/>
        </w:rPr>
        <w:t xml:space="preserve">s mécanismes de transfert de technologie, de partage des connaissances et de coopération technique et scientifique internationale pour favoriser l'innovation, conformément aux articles 16 et 18 de la </w:t>
      </w:r>
      <w:r w:rsidR="006B3E85" w:rsidRPr="006B3E85">
        <w:rPr>
          <w:lang w:val="fr-FR"/>
        </w:rPr>
        <w:t>C</w:t>
      </w:r>
      <w:r w:rsidRPr="006B3E85">
        <w:rPr>
          <w:lang w:val="fr-FR"/>
        </w:rPr>
        <w:t xml:space="preserve">onvention et du </w:t>
      </w:r>
      <w:r w:rsidR="006B3E85" w:rsidRPr="006B3E85">
        <w:rPr>
          <w:lang w:val="fr-FR"/>
        </w:rPr>
        <w:t>C</w:t>
      </w:r>
      <w:r w:rsidRPr="006B3E85">
        <w:rPr>
          <w:lang w:val="fr-FR"/>
        </w:rPr>
        <w:t>adre ;</w:t>
      </w:r>
    </w:p>
    <w:p w14:paraId="00C90070" w14:textId="6DE23269" w:rsidR="00C7074B" w:rsidRPr="00C7074B" w:rsidRDefault="0033744B" w:rsidP="00C7074B">
      <w:pPr>
        <w:tabs>
          <w:tab w:val="clear" w:pos="567"/>
          <w:tab w:val="clear" w:pos="1134"/>
        </w:tabs>
        <w:snapToGrid w:val="0"/>
        <w:spacing w:before="120" w:after="120"/>
        <w:ind w:left="567" w:firstLine="567"/>
        <w:rPr>
          <w:lang w:val="fr-FR"/>
        </w:rPr>
      </w:pPr>
      <w:r w:rsidRPr="006B3E85">
        <w:rPr>
          <w:lang w:val="fr-FR"/>
        </w:rPr>
        <w:t>6.</w:t>
      </w:r>
      <w:r w:rsidRPr="006B3E85">
        <w:rPr>
          <w:lang w:val="fr-FR"/>
        </w:rPr>
        <w:tab/>
      </w:r>
      <w:r w:rsidR="00C7074B" w:rsidRPr="006B3E85">
        <w:rPr>
          <w:i/>
          <w:iCs/>
          <w:lang w:val="fr-FR"/>
        </w:rPr>
        <w:t>Établit</w:t>
      </w:r>
      <w:r w:rsidR="00C7074B" w:rsidRPr="006B3E85">
        <w:rPr>
          <w:lang w:val="fr-FR"/>
        </w:rPr>
        <w:t xml:space="preserve"> un nouveau </w:t>
      </w:r>
      <w:r w:rsidR="009842DA" w:rsidRPr="006B3E85">
        <w:rPr>
          <w:lang w:val="fr-FR"/>
        </w:rPr>
        <w:t xml:space="preserve">Groupé spécial d’experts </w:t>
      </w:r>
      <w:r w:rsidR="009842DA" w:rsidRPr="009842DA">
        <w:rPr>
          <w:lang w:val="fr-FR"/>
        </w:rPr>
        <w:t>techniques</w:t>
      </w:r>
      <w:r w:rsidR="00C7074B" w:rsidRPr="009842DA">
        <w:rPr>
          <w:lang w:val="fr-FR"/>
        </w:rPr>
        <w:t xml:space="preserve"> sur </w:t>
      </w:r>
      <w:r w:rsidR="00C7074B" w:rsidRPr="00C7074B">
        <w:rPr>
          <w:lang w:val="fr-FR"/>
        </w:rPr>
        <w:t>la biologie de synthèse, conformément au mandat défini dans l'annexe de la présente décision ;</w:t>
      </w:r>
    </w:p>
    <w:p w14:paraId="558754D0" w14:textId="7C2A577E" w:rsidR="000D6A10" w:rsidRDefault="00C7074B" w:rsidP="00C7074B">
      <w:pPr>
        <w:tabs>
          <w:tab w:val="clear" w:pos="567"/>
          <w:tab w:val="clear" w:pos="1134"/>
        </w:tabs>
        <w:snapToGrid w:val="0"/>
        <w:spacing w:before="120" w:after="120"/>
        <w:ind w:left="567" w:firstLine="567"/>
        <w:rPr>
          <w:lang w:val="fr-FR"/>
        </w:rPr>
      </w:pPr>
      <w:r>
        <w:rPr>
          <w:lang w:val="fr-FR"/>
        </w:rPr>
        <w:t xml:space="preserve">7. </w:t>
      </w:r>
      <w:r>
        <w:rPr>
          <w:lang w:val="fr-FR"/>
        </w:rPr>
        <w:tab/>
      </w:r>
      <w:r w:rsidR="0033744B" w:rsidRPr="0033744B">
        <w:rPr>
          <w:i/>
          <w:iCs/>
          <w:lang w:val="fr-FR"/>
        </w:rPr>
        <w:t>Invite</w:t>
      </w:r>
      <w:r w:rsidR="0033744B" w:rsidRPr="0033744B">
        <w:rPr>
          <w:lang w:val="fr-FR"/>
        </w:rPr>
        <w:t xml:space="preserve"> les Parties, les autres gouvernements</w:t>
      </w:r>
      <w:r>
        <w:rPr>
          <w:lang w:val="fr-FR"/>
        </w:rPr>
        <w:t xml:space="preserve">, </w:t>
      </w:r>
      <w:r w:rsidRPr="00C7074B">
        <w:rPr>
          <w:lang w:val="fr-FR"/>
        </w:rPr>
        <w:t xml:space="preserve">les peuples autochtones et les communautés locales, les femmes, les jeunes, les </w:t>
      </w:r>
      <w:r w:rsidR="008F4F97">
        <w:rPr>
          <w:lang w:val="fr-FR"/>
        </w:rPr>
        <w:t>universités</w:t>
      </w:r>
      <w:r w:rsidRPr="00C7074B">
        <w:rPr>
          <w:lang w:val="fr-FR"/>
        </w:rPr>
        <w:t>, les instituts de recherche, le secteur</w:t>
      </w:r>
      <w:r w:rsidR="000D6A10">
        <w:rPr>
          <w:lang w:val="fr-FR"/>
        </w:rPr>
        <w:t xml:space="preserve"> privé </w:t>
      </w:r>
      <w:r w:rsidRPr="00C7074B">
        <w:rPr>
          <w:lang w:val="fr-FR"/>
        </w:rPr>
        <w:t xml:space="preserve">et les </w:t>
      </w:r>
      <w:r w:rsidR="000D6A10">
        <w:rPr>
          <w:lang w:val="fr-FR"/>
        </w:rPr>
        <w:t xml:space="preserve">autres </w:t>
      </w:r>
      <w:r w:rsidRPr="00C7074B">
        <w:rPr>
          <w:lang w:val="fr-FR"/>
        </w:rPr>
        <w:t>organisations concernées</w:t>
      </w:r>
      <w:r>
        <w:rPr>
          <w:lang w:val="fr-FR"/>
        </w:rPr>
        <w:t>,</w:t>
      </w:r>
      <w:r w:rsidRPr="00C7074B">
        <w:rPr>
          <w:lang w:val="fr-FR"/>
        </w:rPr>
        <w:t xml:space="preserve"> </w:t>
      </w:r>
      <w:r w:rsidR="000D6A10">
        <w:rPr>
          <w:lang w:val="fr-FR"/>
        </w:rPr>
        <w:t>à transmettre des informations</w:t>
      </w:r>
      <w:r>
        <w:rPr>
          <w:lang w:val="fr-FR"/>
        </w:rPr>
        <w:t xml:space="preserve"> leurs expériences, leurs besoins et priorités dans le domaine de la biologie de synthèse, afin d’appuyer l’élaboration du plan thématique et d’autres processus et initiatives concernent le renforcement des capacités et </w:t>
      </w:r>
      <w:r w:rsidR="000D6A10">
        <w:rPr>
          <w:lang w:val="fr-FR"/>
        </w:rPr>
        <w:t>d</w:t>
      </w:r>
      <w:r>
        <w:rPr>
          <w:lang w:val="fr-FR"/>
        </w:rPr>
        <w:t xml:space="preserve">e développement, </w:t>
      </w:r>
      <w:r w:rsidR="000D6A10" w:rsidRPr="0033744B">
        <w:rPr>
          <w:lang w:val="fr-FR"/>
        </w:rPr>
        <w:t>de transfert de technologies et de partage des connaissances</w:t>
      </w:r>
      <w:r w:rsidR="000D6A10">
        <w:rPr>
          <w:lang w:val="fr-FR"/>
        </w:rPr>
        <w:t xml:space="preserve"> dans le domaine de la biologie de synthèse ;</w:t>
      </w:r>
    </w:p>
    <w:p w14:paraId="6EAEA204" w14:textId="083E27DB" w:rsidR="000D6A10" w:rsidRPr="000D6A10" w:rsidRDefault="000D6A10" w:rsidP="00C7074B">
      <w:pPr>
        <w:tabs>
          <w:tab w:val="clear" w:pos="567"/>
          <w:tab w:val="clear" w:pos="1134"/>
        </w:tabs>
        <w:snapToGrid w:val="0"/>
        <w:spacing w:before="120" w:after="120"/>
        <w:ind w:left="567" w:firstLine="567"/>
        <w:rPr>
          <w:lang w:val="fr-FR"/>
        </w:rPr>
      </w:pPr>
      <w:r>
        <w:rPr>
          <w:lang w:val="fr-FR"/>
        </w:rPr>
        <w:t xml:space="preserve">8. </w:t>
      </w:r>
      <w:r>
        <w:rPr>
          <w:lang w:val="fr-FR"/>
        </w:rPr>
        <w:tab/>
      </w:r>
      <w:r w:rsidRPr="000D6A10">
        <w:rPr>
          <w:i/>
          <w:iCs/>
          <w:lang w:val="fr-FR"/>
        </w:rPr>
        <w:t>Invite également</w:t>
      </w:r>
      <w:r>
        <w:rPr>
          <w:lang w:val="fr-FR"/>
        </w:rPr>
        <w:t xml:space="preserve"> les Parties, </w:t>
      </w:r>
      <w:r w:rsidRPr="0033744B">
        <w:rPr>
          <w:lang w:val="fr-FR"/>
        </w:rPr>
        <w:t>les autres gouvernements</w:t>
      </w:r>
      <w:r>
        <w:rPr>
          <w:lang w:val="fr-FR"/>
        </w:rPr>
        <w:t xml:space="preserve">, </w:t>
      </w:r>
      <w:r w:rsidRPr="00C7074B">
        <w:rPr>
          <w:lang w:val="fr-FR"/>
        </w:rPr>
        <w:t>les peuples autochtones et les communautés locales, les femmes, les jeunes, les universités, les instituts de recherche, le secteur</w:t>
      </w:r>
      <w:r>
        <w:rPr>
          <w:lang w:val="fr-FR"/>
        </w:rPr>
        <w:t xml:space="preserve"> privé </w:t>
      </w:r>
      <w:r w:rsidRPr="00C7074B">
        <w:rPr>
          <w:lang w:val="fr-FR"/>
        </w:rPr>
        <w:t xml:space="preserve">et les </w:t>
      </w:r>
      <w:r>
        <w:rPr>
          <w:lang w:val="fr-FR"/>
        </w:rPr>
        <w:t xml:space="preserve">autres </w:t>
      </w:r>
      <w:r w:rsidRPr="00C7074B">
        <w:rPr>
          <w:lang w:val="fr-FR"/>
        </w:rPr>
        <w:t>organisations concernées</w:t>
      </w:r>
      <w:r>
        <w:rPr>
          <w:lang w:val="fr-FR"/>
        </w:rPr>
        <w:t>,</w:t>
      </w:r>
      <w:r w:rsidRPr="00C7074B">
        <w:rPr>
          <w:lang w:val="fr-FR"/>
        </w:rPr>
        <w:t xml:space="preserve"> </w:t>
      </w:r>
      <w:r>
        <w:rPr>
          <w:lang w:val="fr-FR"/>
        </w:rPr>
        <w:t>à transmettre des informations s</w:t>
      </w:r>
      <w:r w:rsidRPr="000D6A10">
        <w:rPr>
          <w:lang w:val="fr-FR"/>
        </w:rPr>
        <w:t xml:space="preserve">ur leurs domaines prioritaires en biologie de synthèse, y compris les avancées technologiques récentes, en lien avec les trois objectifs de la Convention et du Cadre, afin d'éclairer les </w:t>
      </w:r>
      <w:r w:rsidRPr="008F4F97">
        <w:rPr>
          <w:lang w:val="fr-FR"/>
        </w:rPr>
        <w:t xml:space="preserve">travaux du Groupe spécial d'experts techniques </w:t>
      </w:r>
      <w:r w:rsidRPr="000D6A10">
        <w:rPr>
          <w:lang w:val="fr-FR"/>
        </w:rPr>
        <w:t xml:space="preserve">sur la biologie de synthèse, tels que décrits au paragraphe 3 de l'annexe de la présente décision. </w:t>
      </w:r>
    </w:p>
    <w:p w14:paraId="6E6C26FB" w14:textId="77777777" w:rsidR="0033744B" w:rsidRPr="000D6A10" w:rsidRDefault="0033744B" w:rsidP="0033744B">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0D6A10">
        <w:rPr>
          <w:lang w:val="fr-FR"/>
        </w:rPr>
        <w:t>[</w:t>
      </w:r>
    </w:p>
    <w:p w14:paraId="46206864" w14:textId="05E3C5F1" w:rsidR="0033744B" w:rsidRPr="0033744B" w:rsidRDefault="0033033F" w:rsidP="0033744B">
      <w:pPr>
        <w:tabs>
          <w:tab w:val="clear" w:pos="567"/>
          <w:tab w:val="clear" w:pos="1134"/>
        </w:tabs>
        <w:snapToGrid w:val="0"/>
        <w:spacing w:before="120" w:after="120"/>
        <w:ind w:left="567" w:firstLine="567"/>
        <w:rPr>
          <w:rFonts w:eastAsia="Times New Roman"/>
          <w:kern w:val="2"/>
          <w:lang w:val="fr-FR"/>
          <w14:ligatures w14:val="standardContextual"/>
        </w:rPr>
      </w:pPr>
      <w:r>
        <w:rPr>
          <w:lang w:val="fr-FR"/>
        </w:rPr>
        <w:t>9</w:t>
      </w:r>
      <w:r w:rsidR="0033744B" w:rsidRPr="0033744B">
        <w:rPr>
          <w:lang w:val="fr-FR"/>
        </w:rPr>
        <w:t>.</w:t>
      </w:r>
      <w:r w:rsidR="0033744B" w:rsidRPr="0033744B">
        <w:rPr>
          <w:lang w:val="fr-FR"/>
        </w:rPr>
        <w:tab/>
      </w:r>
      <w:r w:rsidR="0033744B" w:rsidRPr="0033744B">
        <w:rPr>
          <w:i/>
          <w:iCs/>
          <w:lang w:val="fr-FR"/>
        </w:rPr>
        <w:t>Prie</w:t>
      </w:r>
      <w:r w:rsidR="0033744B" w:rsidRPr="0033744B">
        <w:rPr>
          <w:lang w:val="fr-FR"/>
        </w:rPr>
        <w:t xml:space="preserve"> le Secrétaire exécutif, sous réserve de la disponibilité des ressources</w:t>
      </w:r>
      <w:r>
        <w:rPr>
          <w:lang w:val="fr-FR"/>
        </w:rPr>
        <w:t> :</w:t>
      </w:r>
      <w:r w:rsidR="0033744B" w:rsidRPr="0033744B">
        <w:rPr>
          <w:lang w:val="fr-FR"/>
        </w:rPr>
        <w:t xml:space="preserve"> </w:t>
      </w:r>
    </w:p>
    <w:p w14:paraId="64F3BB53" w14:textId="3D91B4D1" w:rsidR="0033744B" w:rsidRPr="0033744B"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a)</w:t>
      </w:r>
      <w:r w:rsidRPr="0033744B">
        <w:rPr>
          <w:lang w:val="fr-FR"/>
        </w:rPr>
        <w:tab/>
      </w:r>
      <w:r w:rsidR="0033033F" w:rsidRPr="0033033F">
        <w:rPr>
          <w:lang w:val="fr-FR"/>
        </w:rPr>
        <w:t>Élaborer un plan d’action thématique pour soutenir le renforcement et le développement des capacités, faciliter l’accès aux technologies et leur transfert, ainsi que promouvoir le partage des connaissances dans le domaine de la biologie de synthèse, comme mentionné au paragraphe 5</w:t>
      </w:r>
      <w:r w:rsidR="00EF1FC1">
        <w:rPr>
          <w:lang w:val="fr-FR"/>
        </w:rPr>
        <w:t> ;</w:t>
      </w:r>
    </w:p>
    <w:p w14:paraId="1E61579B" w14:textId="796821BA" w:rsidR="00C246F4" w:rsidRPr="00EF1FC1" w:rsidRDefault="00B0608E" w:rsidP="0033744B">
      <w:pPr>
        <w:tabs>
          <w:tab w:val="clear" w:pos="567"/>
          <w:tab w:val="clear" w:pos="1134"/>
          <w:tab w:val="clear" w:pos="2268"/>
        </w:tabs>
        <w:spacing w:before="120" w:after="120"/>
        <w:ind w:left="567" w:firstLine="567"/>
        <w:rPr>
          <w:lang w:val="fr-FR"/>
        </w:rPr>
      </w:pPr>
      <w:r>
        <w:rPr>
          <w:rFonts w:eastAsia="Yu Mincho" w:hint="eastAsia"/>
          <w:lang w:val="fr-FR" w:eastAsia="ja-JP"/>
        </w:rPr>
        <w:t>[</w:t>
      </w:r>
      <w:r w:rsidR="0033744B" w:rsidRPr="0033744B">
        <w:rPr>
          <w:lang w:val="fr-FR"/>
        </w:rPr>
        <w:t>b)</w:t>
      </w:r>
      <w:r w:rsidR="0033744B" w:rsidRPr="0033744B">
        <w:rPr>
          <w:lang w:val="fr-FR"/>
        </w:rPr>
        <w:tab/>
      </w:r>
      <w:r w:rsidR="00C246F4">
        <w:rPr>
          <w:lang w:val="fr-FR"/>
        </w:rPr>
        <w:t xml:space="preserve">Commander une étude </w:t>
      </w:r>
      <w:r w:rsidR="00C246F4" w:rsidRPr="00C246F4">
        <w:rPr>
          <w:lang w:val="fr-FR"/>
        </w:rPr>
        <w:t xml:space="preserve">scientifique indépendante visant à compiler et synthétiser les recherches existantes, les besoins et priorités en matière de financement public pour la recherche et le développement, ainsi que les feuilles de route pour les applications de la biologie de synthèse pertinentes à la réalisation du </w:t>
      </w:r>
      <w:r w:rsidR="00C246F4">
        <w:rPr>
          <w:lang w:val="fr-FR"/>
        </w:rPr>
        <w:t>C</w:t>
      </w:r>
      <w:r w:rsidR="00C246F4" w:rsidRPr="00C246F4">
        <w:rPr>
          <w:lang w:val="fr-FR"/>
        </w:rPr>
        <w:t>adre, notamment ses cibles 4, 6, 7, 8, 10[, 13] et 17</w:t>
      </w:r>
      <w:r w:rsidR="00EF1FC1">
        <w:rPr>
          <w:lang w:val="fr-FR"/>
        </w:rPr>
        <w:t> ;</w:t>
      </w:r>
      <w:r w:rsidR="00EF1FC1" w:rsidRPr="00EF1FC1">
        <w:rPr>
          <w:rFonts w:eastAsia="Times New Roman"/>
          <w:kern w:val="2"/>
          <w:lang w:val="fr-FR"/>
          <w14:ligatures w14:val="standardContextual"/>
        </w:rPr>
        <w:t xml:space="preserve"> ]</w:t>
      </w:r>
    </w:p>
    <w:p w14:paraId="710C32C2" w14:textId="5A59DB15" w:rsidR="0033744B" w:rsidRPr="0033744B"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c)</w:t>
      </w:r>
      <w:r w:rsidRPr="0033744B">
        <w:rPr>
          <w:lang w:val="fr-FR"/>
        </w:rPr>
        <w:tab/>
      </w:r>
      <w:r w:rsidR="00473868">
        <w:rPr>
          <w:lang w:val="fr-FR"/>
        </w:rPr>
        <w:t>Synthétiser les informations fournies en vertu des paragraphes 7, 8 et 9 (f) ;</w:t>
      </w:r>
    </w:p>
    <w:p w14:paraId="7C04273F" w14:textId="4B5AAE6E" w:rsidR="0033744B" w:rsidRPr="00473868" w:rsidRDefault="0033744B" w:rsidP="0033744B">
      <w:pPr>
        <w:tabs>
          <w:tab w:val="clear" w:pos="567"/>
          <w:tab w:val="clear" w:pos="1134"/>
          <w:tab w:val="clear" w:pos="2268"/>
        </w:tabs>
        <w:spacing w:before="120" w:after="120"/>
        <w:ind w:left="567" w:firstLine="567"/>
        <w:rPr>
          <w:rFonts w:eastAsia="Times New Roman"/>
          <w:lang w:val="fr-FR"/>
        </w:rPr>
      </w:pPr>
      <w:r w:rsidRPr="0033744B">
        <w:rPr>
          <w:lang w:val="fr-FR"/>
        </w:rPr>
        <w:t>d)</w:t>
      </w:r>
      <w:r w:rsidRPr="0033744B">
        <w:rPr>
          <w:lang w:val="fr-FR"/>
        </w:rPr>
        <w:tab/>
      </w:r>
      <w:r w:rsidR="00473868" w:rsidRPr="00473868">
        <w:rPr>
          <w:lang w:val="fr-FR"/>
        </w:rPr>
        <w:t>Présenter un projet de plan d’action thématique pour un examen par les pairs avant la vingt-huitième réunion de l’</w:t>
      </w:r>
      <w:r w:rsidR="008C5308">
        <w:rPr>
          <w:lang w:val="fr-FR"/>
        </w:rPr>
        <w:t>O</w:t>
      </w:r>
      <w:r w:rsidR="00473868" w:rsidRPr="00473868">
        <w:rPr>
          <w:lang w:val="fr-FR"/>
        </w:rPr>
        <w:t xml:space="preserve">rgane subsidiaire chargé </w:t>
      </w:r>
      <w:r w:rsidR="002D6B1D">
        <w:rPr>
          <w:lang w:val="fr-FR"/>
        </w:rPr>
        <w:t xml:space="preserve">de fournir </w:t>
      </w:r>
      <w:r w:rsidR="00473868" w:rsidRPr="00473868">
        <w:rPr>
          <w:lang w:val="fr-FR"/>
        </w:rPr>
        <w:t>des avis scientifiques, techniques et technologiques</w:t>
      </w:r>
      <w:r w:rsidR="00473868">
        <w:rPr>
          <w:lang w:val="fr-FR"/>
        </w:rPr>
        <w:t> ;</w:t>
      </w:r>
    </w:p>
    <w:p w14:paraId="466295F2" w14:textId="6BF3727F" w:rsidR="0033744B" w:rsidRPr="0033744B" w:rsidRDefault="0033744B" w:rsidP="00704608">
      <w:pPr>
        <w:tabs>
          <w:tab w:val="clear" w:pos="567"/>
          <w:tab w:val="clear" w:pos="1134"/>
          <w:tab w:val="clear" w:pos="2268"/>
        </w:tabs>
        <w:spacing w:before="120" w:after="120"/>
        <w:ind w:left="567" w:firstLine="567"/>
        <w:rPr>
          <w:rFonts w:eastAsia="Times New Roman"/>
          <w:lang w:val="fr-FR"/>
        </w:rPr>
      </w:pPr>
      <w:r w:rsidRPr="0033744B">
        <w:rPr>
          <w:lang w:val="fr-FR"/>
        </w:rPr>
        <w:t>e)</w:t>
      </w:r>
      <w:r w:rsidRPr="0033744B">
        <w:rPr>
          <w:lang w:val="fr-FR"/>
        </w:rPr>
        <w:tab/>
      </w:r>
      <w:r w:rsidR="00704608">
        <w:rPr>
          <w:lang w:val="fr-FR"/>
        </w:rPr>
        <w:t>Mettre en place une page W</w:t>
      </w:r>
      <w:r w:rsidR="00704608" w:rsidRPr="00704608">
        <w:rPr>
          <w:lang w:val="fr-FR"/>
        </w:rPr>
        <w:t>eb dédiée pour promouvoir le plan d'action thématique et</w:t>
      </w:r>
      <w:r w:rsidR="001B50EA">
        <w:rPr>
          <w:lang w:val="fr-FR"/>
        </w:rPr>
        <w:t xml:space="preserve"> </w:t>
      </w:r>
      <w:r w:rsidR="001B50EA" w:rsidRPr="001B50EA">
        <w:rPr>
          <w:lang w:val="fr-FR"/>
        </w:rPr>
        <w:t xml:space="preserve">faciliter le partage des connaissances dans le contexte de la biologie </w:t>
      </w:r>
      <w:r w:rsidR="001B50EA">
        <w:rPr>
          <w:lang w:val="fr-FR"/>
        </w:rPr>
        <w:t>de synthèse ;</w:t>
      </w:r>
    </w:p>
    <w:p w14:paraId="4F1F3AB5" w14:textId="34E28AC6" w:rsidR="0033744B" w:rsidRDefault="0033744B" w:rsidP="0033744B">
      <w:pPr>
        <w:tabs>
          <w:tab w:val="clear" w:pos="567"/>
          <w:tab w:val="clear" w:pos="1134"/>
          <w:tab w:val="clear" w:pos="2268"/>
        </w:tabs>
        <w:spacing w:before="120" w:after="120"/>
        <w:ind w:left="567" w:firstLine="567"/>
        <w:rPr>
          <w:lang w:val="fr-FR"/>
        </w:rPr>
      </w:pPr>
      <w:r w:rsidRPr="0033744B">
        <w:rPr>
          <w:lang w:val="fr-FR"/>
        </w:rPr>
        <w:t>f)</w:t>
      </w:r>
      <w:r w:rsidRPr="0033744B">
        <w:rPr>
          <w:lang w:val="fr-FR"/>
        </w:rPr>
        <w:tab/>
      </w:r>
      <w:r w:rsidR="00704608" w:rsidRPr="0033744B">
        <w:rPr>
          <w:lang w:val="fr-FR"/>
        </w:rPr>
        <w:t>Organiser des discussions en ligne dans le cadre du Forum en ligne à composition non limitée sur la biologie de synthèse afin de soutenir les travaux du Groupe spécial d’experts techniques</w:t>
      </w:r>
      <w:r w:rsidR="00704608">
        <w:rPr>
          <w:lang w:val="fr-FR"/>
        </w:rPr>
        <w:t> sur la biologie de synthèse ;</w:t>
      </w:r>
    </w:p>
    <w:p w14:paraId="00DC7321" w14:textId="211C6879" w:rsidR="00704608" w:rsidRDefault="00704608" w:rsidP="0033744B">
      <w:pPr>
        <w:tabs>
          <w:tab w:val="clear" w:pos="567"/>
          <w:tab w:val="clear" w:pos="1134"/>
          <w:tab w:val="clear" w:pos="2268"/>
        </w:tabs>
        <w:spacing w:before="120" w:after="120"/>
        <w:ind w:left="567" w:firstLine="567"/>
        <w:rPr>
          <w:lang w:val="fr-FR"/>
        </w:rPr>
      </w:pPr>
      <w:r>
        <w:rPr>
          <w:lang w:val="fr-FR"/>
        </w:rPr>
        <w:t>g)</w:t>
      </w:r>
      <w:r>
        <w:rPr>
          <w:lang w:val="fr-FR"/>
        </w:rPr>
        <w:tab/>
      </w:r>
      <w:r w:rsidRPr="0033744B">
        <w:rPr>
          <w:lang w:val="fr-FR"/>
        </w:rPr>
        <w:t xml:space="preserve">Convoquer au moins une réunion en présentiel du Groupe spécial d’experts techniques </w:t>
      </w:r>
      <w:r>
        <w:rPr>
          <w:lang w:val="fr-FR"/>
        </w:rPr>
        <w:t>sur la biologie de synthèse ;</w:t>
      </w:r>
    </w:p>
    <w:p w14:paraId="2CF8865E" w14:textId="0069413B" w:rsidR="00704608" w:rsidRDefault="00704608" w:rsidP="0033744B">
      <w:pPr>
        <w:tabs>
          <w:tab w:val="clear" w:pos="567"/>
          <w:tab w:val="clear" w:pos="1134"/>
          <w:tab w:val="clear" w:pos="2268"/>
        </w:tabs>
        <w:spacing w:before="120" w:after="120"/>
        <w:ind w:left="567" w:firstLine="567"/>
        <w:rPr>
          <w:lang w:val="fr-FR"/>
        </w:rPr>
      </w:pPr>
      <w:r>
        <w:rPr>
          <w:lang w:val="fr-FR"/>
        </w:rPr>
        <w:t>h)</w:t>
      </w:r>
      <w:r>
        <w:rPr>
          <w:lang w:val="fr-FR"/>
        </w:rPr>
        <w:tab/>
      </w:r>
      <w:r w:rsidRPr="0033744B">
        <w:rPr>
          <w:lang w:val="fr-FR"/>
        </w:rPr>
        <w:t>Soutenir</w:t>
      </w:r>
      <w:r>
        <w:rPr>
          <w:lang w:val="fr-FR"/>
        </w:rPr>
        <w:t xml:space="preserve"> </w:t>
      </w:r>
      <w:r w:rsidRPr="0033744B">
        <w:rPr>
          <w:lang w:val="fr-FR"/>
        </w:rPr>
        <w:t>la participation pleine et entière des peuples autochtones et des communautés locales aux travaux relatifs à la biologie de synthèse entrepris dans le cadre de la Convention, conformément à la décision </w:t>
      </w:r>
      <w:hyperlink r:id="rId18" w:history="1">
        <w:r w:rsidRPr="00F00996">
          <w:rPr>
            <w:rStyle w:val="Hyperlink"/>
            <w:lang w:val="fr-FR"/>
          </w:rPr>
          <w:t>X/40</w:t>
        </w:r>
      </w:hyperlink>
      <w:r w:rsidRPr="0033744B">
        <w:rPr>
          <w:lang w:val="fr-FR"/>
        </w:rPr>
        <w:t xml:space="preserve"> du 29 octobre 2010 ;</w:t>
      </w:r>
    </w:p>
    <w:p w14:paraId="170DC584" w14:textId="46853DB9" w:rsidR="00704608" w:rsidRDefault="00704608" w:rsidP="0033744B">
      <w:pPr>
        <w:tabs>
          <w:tab w:val="clear" w:pos="567"/>
          <w:tab w:val="clear" w:pos="1134"/>
          <w:tab w:val="clear" w:pos="2268"/>
        </w:tabs>
        <w:spacing w:before="120" w:after="120"/>
        <w:ind w:left="567" w:firstLine="567"/>
        <w:rPr>
          <w:lang w:val="fr-FR"/>
        </w:rPr>
      </w:pPr>
      <w:r>
        <w:rPr>
          <w:lang w:val="fr-FR"/>
        </w:rPr>
        <w:t>i)</w:t>
      </w:r>
      <w:r>
        <w:rPr>
          <w:lang w:val="fr-FR"/>
        </w:rPr>
        <w:tab/>
      </w:r>
      <w:r w:rsidRPr="0033744B">
        <w:rPr>
          <w:lang w:val="fr-FR"/>
        </w:rPr>
        <w:t>Soutenir</w:t>
      </w:r>
      <w:r>
        <w:rPr>
          <w:lang w:val="fr-FR"/>
        </w:rPr>
        <w:t xml:space="preserve"> davantage</w:t>
      </w:r>
      <w:r w:rsidRPr="0033744B">
        <w:rPr>
          <w:lang w:val="fr-FR"/>
        </w:rPr>
        <w:t xml:space="preserve"> la participation des femmes</w:t>
      </w:r>
      <w:r>
        <w:rPr>
          <w:lang w:val="fr-FR"/>
        </w:rPr>
        <w:t>, de</w:t>
      </w:r>
      <w:r w:rsidRPr="0033744B">
        <w:rPr>
          <w:lang w:val="fr-FR"/>
        </w:rPr>
        <w:t>s jeunes</w:t>
      </w:r>
      <w:r>
        <w:rPr>
          <w:lang w:val="fr-FR"/>
        </w:rPr>
        <w:t xml:space="preserve"> et </w:t>
      </w:r>
      <w:r w:rsidR="008F4F97">
        <w:rPr>
          <w:lang w:val="fr-FR"/>
        </w:rPr>
        <w:t>université</w:t>
      </w:r>
      <w:r>
        <w:rPr>
          <w:lang w:val="fr-FR"/>
        </w:rPr>
        <w:t>s</w:t>
      </w:r>
      <w:r w:rsidRPr="0033744B">
        <w:rPr>
          <w:lang w:val="fr-FR"/>
        </w:rPr>
        <w:t xml:space="preserve"> aux travaux relatifs à la biologie de synthèse entrepris dans le cadre de la Convention ;</w:t>
      </w:r>
    </w:p>
    <w:p w14:paraId="5133F660" w14:textId="42342732" w:rsidR="00704608" w:rsidRDefault="00704608" w:rsidP="00704608">
      <w:pPr>
        <w:tabs>
          <w:tab w:val="clear" w:pos="567"/>
          <w:tab w:val="clear" w:pos="1134"/>
          <w:tab w:val="clear" w:pos="2268"/>
        </w:tabs>
        <w:spacing w:before="120" w:after="120"/>
        <w:ind w:left="567" w:firstLine="567"/>
        <w:rPr>
          <w:lang w:val="fr-FR"/>
        </w:rPr>
      </w:pPr>
      <w:r>
        <w:rPr>
          <w:lang w:val="fr-FR"/>
        </w:rPr>
        <w:lastRenderedPageBreak/>
        <w:t>j)</w:t>
      </w:r>
      <w:r>
        <w:rPr>
          <w:lang w:val="fr-FR"/>
        </w:rPr>
        <w:tab/>
      </w:r>
      <w:r w:rsidRPr="00704608">
        <w:rPr>
          <w:lang w:val="fr-FR"/>
        </w:rPr>
        <w:t xml:space="preserve">Faciliter le renforcement des capacités en matière d'analyse prospective, de suivi et d'évaluation des </w:t>
      </w:r>
      <w:r>
        <w:rPr>
          <w:lang w:val="fr-FR"/>
        </w:rPr>
        <w:t xml:space="preserve">avancées </w:t>
      </w:r>
      <w:r w:rsidRPr="00704608">
        <w:rPr>
          <w:lang w:val="fr-FR"/>
        </w:rPr>
        <w:t>technologiques les plus récent</w:t>
      </w:r>
      <w:r>
        <w:rPr>
          <w:lang w:val="fr-FR"/>
        </w:rPr>
        <w:t>e</w:t>
      </w:r>
      <w:r w:rsidRPr="00704608">
        <w:rPr>
          <w:lang w:val="fr-FR"/>
        </w:rPr>
        <w:t xml:space="preserve">s dans le domaine de la biologie </w:t>
      </w:r>
      <w:r>
        <w:rPr>
          <w:lang w:val="fr-FR"/>
        </w:rPr>
        <w:t xml:space="preserve">de synthèse </w:t>
      </w:r>
      <w:r w:rsidRPr="00704608">
        <w:rPr>
          <w:lang w:val="fr-FR"/>
        </w:rPr>
        <w:t>;</w:t>
      </w:r>
    </w:p>
    <w:p w14:paraId="0D947424" w14:textId="13382EEC" w:rsidR="00704608" w:rsidRDefault="00704608" w:rsidP="00704608">
      <w:pPr>
        <w:tabs>
          <w:tab w:val="clear" w:pos="567"/>
          <w:tab w:val="clear" w:pos="1134"/>
          <w:tab w:val="clear" w:pos="2268"/>
        </w:tabs>
        <w:spacing w:before="120" w:after="120"/>
        <w:ind w:left="567" w:firstLine="567"/>
        <w:rPr>
          <w:lang w:val="fr-FR"/>
        </w:rPr>
      </w:pPr>
      <w:r w:rsidRPr="0033744B">
        <w:rPr>
          <w:lang w:val="fr-FR"/>
        </w:rPr>
        <w:t>]</w:t>
      </w:r>
    </w:p>
    <w:p w14:paraId="7C1C0AC4" w14:textId="1A95332D" w:rsidR="0033744B" w:rsidRPr="00704608" w:rsidRDefault="00704608" w:rsidP="00704608">
      <w:pPr>
        <w:tabs>
          <w:tab w:val="clear" w:pos="567"/>
          <w:tab w:val="clear" w:pos="1134"/>
          <w:tab w:val="clear" w:pos="1701"/>
        </w:tabs>
        <w:snapToGrid w:val="0"/>
        <w:spacing w:before="120" w:after="120"/>
        <w:ind w:left="567" w:firstLine="567"/>
        <w:rPr>
          <w:lang w:val="fr-FR"/>
        </w:rPr>
      </w:pPr>
      <w:r w:rsidRPr="000D6A10">
        <w:rPr>
          <w:lang w:val="fr-FR"/>
        </w:rPr>
        <w:t>[</w:t>
      </w:r>
      <w:r w:rsidR="0033744B" w:rsidRPr="0033744B">
        <w:rPr>
          <w:lang w:val="fr-FR"/>
        </w:rPr>
        <w:t xml:space="preserve"> </w:t>
      </w:r>
    </w:p>
    <w:p w14:paraId="1EC62B50" w14:textId="77777777" w:rsidR="00B304E5" w:rsidRDefault="00704608" w:rsidP="0033744B">
      <w:pPr>
        <w:tabs>
          <w:tab w:val="clear" w:pos="567"/>
          <w:tab w:val="clear" w:pos="1134"/>
        </w:tabs>
        <w:snapToGrid w:val="0"/>
        <w:spacing w:before="120" w:after="120"/>
        <w:ind w:left="567" w:firstLine="567"/>
        <w:rPr>
          <w:lang w:val="fr-FR"/>
        </w:rPr>
      </w:pPr>
      <w:r>
        <w:rPr>
          <w:lang w:val="fr-FR"/>
        </w:rPr>
        <w:t>10</w:t>
      </w:r>
      <w:r w:rsidR="0033744B" w:rsidRPr="0033744B">
        <w:rPr>
          <w:lang w:val="fr-FR"/>
        </w:rPr>
        <w:t>.</w:t>
      </w:r>
      <w:r w:rsidR="0033744B" w:rsidRPr="0033744B">
        <w:rPr>
          <w:lang w:val="fr-FR"/>
        </w:rPr>
        <w:tab/>
      </w:r>
      <w:r w:rsidR="0033744B" w:rsidRPr="0033744B">
        <w:rPr>
          <w:i/>
          <w:iCs/>
          <w:lang w:val="fr-FR"/>
        </w:rPr>
        <w:t>Prie</w:t>
      </w:r>
      <w:r w:rsidR="0033744B" w:rsidRPr="0033744B">
        <w:rPr>
          <w:lang w:val="fr-FR"/>
        </w:rPr>
        <w:t xml:space="preserve"> l’Organe subsidiaire chargé de fournir des avis scientifiques, techniques et technologiques d’examiner</w:t>
      </w:r>
      <w:r w:rsidR="00B304E5">
        <w:rPr>
          <w:lang w:val="fr-FR"/>
        </w:rPr>
        <w:t xml:space="preserve">, à sa vingt-huitième réunion, les résultats des travaux du Groupe spécial d’experts techniques sur la biologie de synthèse et de formuler </w:t>
      </w:r>
      <w:r w:rsidR="0033744B" w:rsidRPr="0033744B">
        <w:rPr>
          <w:lang w:val="fr-FR"/>
        </w:rPr>
        <w:t xml:space="preserve">des recommandations à la Conférence des </w:t>
      </w:r>
      <w:r w:rsidR="00B304E5">
        <w:rPr>
          <w:lang w:val="fr-FR"/>
        </w:rPr>
        <w:t>P</w:t>
      </w:r>
      <w:r w:rsidR="0033744B" w:rsidRPr="0033744B">
        <w:rPr>
          <w:lang w:val="fr-FR"/>
        </w:rPr>
        <w:t>arties à sa dix-septième réunion ;</w:t>
      </w:r>
    </w:p>
    <w:p w14:paraId="55D1AEBB" w14:textId="1AFE602B" w:rsidR="0033744B" w:rsidRPr="0033744B" w:rsidRDefault="00B304E5" w:rsidP="00C923D7">
      <w:pPr>
        <w:tabs>
          <w:tab w:val="clear" w:pos="567"/>
          <w:tab w:val="clear" w:pos="1134"/>
        </w:tabs>
        <w:snapToGrid w:val="0"/>
        <w:spacing w:before="120" w:after="120"/>
        <w:ind w:left="567" w:firstLine="567"/>
        <w:rPr>
          <w:rFonts w:eastAsia="Times New Roman"/>
          <w:kern w:val="2"/>
          <w:lang w:val="fr-FR"/>
          <w14:ligatures w14:val="standardContextual"/>
        </w:rPr>
      </w:pPr>
      <w:r>
        <w:rPr>
          <w:lang w:val="fr-FR"/>
        </w:rPr>
        <w:t xml:space="preserve">11. </w:t>
      </w:r>
      <w:r>
        <w:rPr>
          <w:lang w:val="fr-FR"/>
        </w:rPr>
        <w:tab/>
      </w:r>
      <w:r w:rsidRPr="00DE0D20">
        <w:rPr>
          <w:i/>
          <w:iCs/>
          <w:lang w:val="fr-FR"/>
        </w:rPr>
        <w:t>Prie</w:t>
      </w:r>
      <w:r>
        <w:rPr>
          <w:lang w:val="fr-FR"/>
        </w:rPr>
        <w:t xml:space="preserve"> l’Organe subsidiaire </w:t>
      </w:r>
      <w:r w:rsidR="001068A0">
        <w:rPr>
          <w:lang w:val="fr-FR"/>
        </w:rPr>
        <w:t>chargé de l’application, a sa sixième ou septième réunion, d’examiner le plan d’action thématique et de formuler des recommandations à la Conférence des Parties lors de sa dix-septième réunion ;</w:t>
      </w:r>
    </w:p>
    <w:p w14:paraId="13F9F070" w14:textId="7E54CDB1" w:rsidR="0033744B" w:rsidRPr="00C923D7" w:rsidRDefault="00C923D7" w:rsidP="00C923D7">
      <w:pPr>
        <w:tabs>
          <w:tab w:val="clear" w:pos="567"/>
          <w:tab w:val="clear" w:pos="1134"/>
          <w:tab w:val="clear" w:pos="2268"/>
        </w:tabs>
        <w:spacing w:before="120" w:after="120"/>
        <w:ind w:left="567" w:firstLine="567"/>
        <w:rPr>
          <w:lang w:val="fr-FR"/>
        </w:rPr>
      </w:pPr>
      <w:r w:rsidRPr="0033744B">
        <w:rPr>
          <w:lang w:val="fr-FR"/>
        </w:rPr>
        <w:t>]</w:t>
      </w:r>
    </w:p>
    <w:p w14:paraId="7689A3D8" w14:textId="412B2A02" w:rsidR="0033744B" w:rsidRPr="0033744B" w:rsidRDefault="0033744B" w:rsidP="0033744B">
      <w:pPr>
        <w:tabs>
          <w:tab w:val="clear" w:pos="567"/>
          <w:tab w:val="clear" w:pos="1134"/>
          <w:tab w:val="clear" w:pos="2268"/>
        </w:tabs>
        <w:snapToGrid w:val="0"/>
        <w:spacing w:before="120" w:after="120"/>
        <w:ind w:left="567"/>
        <w:jc w:val="left"/>
        <w:rPr>
          <w:rFonts w:eastAsia="Times New Roman"/>
          <w:b/>
          <w:bCs/>
          <w:kern w:val="2"/>
          <w:sz w:val="24"/>
          <w:szCs w:val="24"/>
          <w:lang w:val="fr-FR"/>
          <w14:ligatures w14:val="standardContextual"/>
        </w:rPr>
      </w:pPr>
      <w:r w:rsidRPr="0033744B">
        <w:rPr>
          <w:b/>
          <w:bCs/>
          <w:sz w:val="24"/>
          <w:szCs w:val="24"/>
          <w:lang w:val="fr-FR"/>
        </w:rPr>
        <w:t>Annexe</w:t>
      </w:r>
      <w:r w:rsidRPr="0033744B">
        <w:rPr>
          <w:b/>
          <w:bCs/>
          <w:sz w:val="24"/>
          <w:szCs w:val="24"/>
          <w:lang w:val="fr-FR"/>
        </w:rPr>
        <w:br/>
        <w:t>Mandat du Groupe spécial d’experts techniques</w:t>
      </w:r>
      <w:r w:rsidR="00C923D7">
        <w:rPr>
          <w:b/>
          <w:bCs/>
          <w:sz w:val="24"/>
          <w:szCs w:val="24"/>
          <w:lang w:val="fr-FR"/>
        </w:rPr>
        <w:t xml:space="preserve"> </w:t>
      </w:r>
      <w:r w:rsidRPr="0033744B">
        <w:rPr>
          <w:b/>
          <w:bCs/>
          <w:sz w:val="24"/>
          <w:szCs w:val="24"/>
          <w:lang w:val="fr-FR"/>
        </w:rPr>
        <w:t xml:space="preserve">sur la biologie de synthèse </w:t>
      </w:r>
    </w:p>
    <w:p w14:paraId="195F874A" w14:textId="2668D712" w:rsidR="0033744B" w:rsidRPr="0033744B" w:rsidRDefault="0033744B" w:rsidP="0033744B">
      <w:pPr>
        <w:tabs>
          <w:tab w:val="clear" w:pos="567"/>
          <w:tab w:val="clear" w:pos="1701"/>
          <w:tab w:val="clear" w:pos="2268"/>
        </w:tabs>
        <w:snapToGrid w:val="0"/>
        <w:spacing w:before="120" w:after="120"/>
        <w:ind w:left="567"/>
        <w:rPr>
          <w:rFonts w:eastAsia="Times New Roman"/>
          <w:kern w:val="2"/>
          <w:lang w:val="fr-FR"/>
          <w14:ligatures w14:val="standardContextual"/>
        </w:rPr>
      </w:pPr>
      <w:r w:rsidRPr="0033744B">
        <w:rPr>
          <w:lang w:val="fr-FR"/>
        </w:rPr>
        <w:t>1.</w:t>
      </w:r>
      <w:r w:rsidRPr="0033744B">
        <w:rPr>
          <w:lang w:val="fr-FR"/>
        </w:rPr>
        <w:tab/>
        <w:t>Le Groupe spécial d’experts techniques</w:t>
      </w:r>
      <w:r w:rsidR="00C923D7">
        <w:rPr>
          <w:lang w:val="fr-FR"/>
        </w:rPr>
        <w:t xml:space="preserve"> </w:t>
      </w:r>
      <w:r w:rsidRPr="0033744B">
        <w:rPr>
          <w:lang w:val="fr-FR"/>
        </w:rPr>
        <w:t>sur la biologie de synthèse sera convoqué conformément à la section H du mode de fonctionnement consolidé de l’Organe subsidiaire chargé de fournir des avis scientifiques, techniques et technologiques</w:t>
      </w:r>
      <w:r w:rsidRPr="00DD7818">
        <w:rPr>
          <w:rFonts w:eastAsia="Times New Roman"/>
          <w:kern w:val="2"/>
          <w:vertAlign w:val="superscript"/>
        </w:rPr>
        <w:footnoteReference w:id="6"/>
      </w:r>
      <w:r w:rsidR="00C923D7">
        <w:rPr>
          <w:lang w:val="fr-FR"/>
        </w:rPr>
        <w:t>.</w:t>
      </w:r>
    </w:p>
    <w:p w14:paraId="00D5D211" w14:textId="2601201B" w:rsidR="0033744B" w:rsidRPr="0033744B" w:rsidRDefault="0033744B" w:rsidP="0033744B">
      <w:pPr>
        <w:tabs>
          <w:tab w:val="clear" w:pos="567"/>
          <w:tab w:val="clear" w:pos="1701"/>
          <w:tab w:val="clear" w:pos="2268"/>
        </w:tabs>
        <w:snapToGrid w:val="0"/>
        <w:spacing w:before="120" w:after="120"/>
        <w:ind w:left="567"/>
        <w:rPr>
          <w:rFonts w:eastAsia="Times New Roman"/>
          <w:kern w:val="2"/>
          <w:lang w:val="fr-FR"/>
          <w14:ligatures w14:val="standardContextual"/>
        </w:rPr>
      </w:pPr>
      <w:r w:rsidRPr="0033744B">
        <w:rPr>
          <w:lang w:val="fr-FR"/>
        </w:rPr>
        <w:t>2.</w:t>
      </w:r>
      <w:r w:rsidRPr="0033744B">
        <w:rPr>
          <w:lang w:val="fr-FR"/>
        </w:rPr>
        <w:tab/>
        <w:t xml:space="preserve">La procédure visant à éviter ou à gérer les conflits d’intérêts dans les </w:t>
      </w:r>
      <w:r w:rsidR="00E27A11">
        <w:rPr>
          <w:lang w:val="fr-FR"/>
        </w:rPr>
        <w:t>g</w:t>
      </w:r>
      <w:r w:rsidRPr="0033744B">
        <w:rPr>
          <w:lang w:val="fr-FR"/>
        </w:rPr>
        <w:t xml:space="preserve">roupes d’experts énoncée à l’annexe de la décision </w:t>
      </w:r>
      <w:hyperlink r:id="rId19" w:history="1">
        <w:r w:rsidRPr="00B02DAD">
          <w:rPr>
            <w:rStyle w:val="Hyperlink"/>
            <w:lang w:val="fr-FR"/>
          </w:rPr>
          <w:t>14/33</w:t>
        </w:r>
      </w:hyperlink>
      <w:r w:rsidRPr="0033744B">
        <w:rPr>
          <w:lang w:val="fr-FR"/>
        </w:rPr>
        <w:t xml:space="preserve"> du 29 novembre 2018 s’applique au Groupe spécial d’experts techniques sur la biologie de synthèse.</w:t>
      </w:r>
    </w:p>
    <w:p w14:paraId="25E881C9" w14:textId="2DAEDA1F" w:rsidR="0033744B" w:rsidRPr="0033744B" w:rsidRDefault="0033744B" w:rsidP="0033744B">
      <w:pPr>
        <w:tabs>
          <w:tab w:val="clear" w:pos="567"/>
          <w:tab w:val="clear" w:pos="1701"/>
          <w:tab w:val="clear" w:pos="2268"/>
        </w:tabs>
        <w:snapToGrid w:val="0"/>
        <w:spacing w:before="120" w:after="120"/>
        <w:ind w:left="567"/>
        <w:rPr>
          <w:rFonts w:asciiTheme="majorBidi" w:eastAsia="Times New Roman" w:hAnsiTheme="majorBidi" w:cstheme="majorBidi"/>
          <w:kern w:val="2"/>
          <w:lang w:val="fr-FR"/>
          <w14:ligatures w14:val="standardContextual"/>
        </w:rPr>
      </w:pPr>
      <w:r w:rsidRPr="0033744B">
        <w:rPr>
          <w:lang w:val="fr-FR"/>
        </w:rPr>
        <w:t>3.</w:t>
      </w:r>
      <w:r w:rsidRPr="0033744B">
        <w:rPr>
          <w:lang w:val="fr-FR"/>
        </w:rPr>
        <w:tab/>
        <w:t>Le Groupe spécial d’experts techniques sur la biologie de synthès</w:t>
      </w:r>
      <w:r w:rsidR="00C923D7">
        <w:rPr>
          <w:lang w:val="fr-FR"/>
        </w:rPr>
        <w:t xml:space="preserve">e : </w:t>
      </w:r>
    </w:p>
    <w:p w14:paraId="63C7CAEB" w14:textId="17F86002" w:rsidR="0033744B" w:rsidRPr="00C923D7" w:rsidRDefault="0033744B" w:rsidP="0033744B">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33744B">
        <w:rPr>
          <w:rFonts w:asciiTheme="majorBidi" w:hAnsiTheme="majorBidi"/>
          <w:lang w:val="fr-FR"/>
        </w:rPr>
        <w:t>a)</w:t>
      </w:r>
      <w:r w:rsidRPr="0033744B">
        <w:rPr>
          <w:rFonts w:asciiTheme="majorBidi" w:hAnsiTheme="majorBidi"/>
          <w:lang w:val="fr-FR"/>
        </w:rPr>
        <w:tab/>
      </w:r>
      <w:r w:rsidR="00C923D7" w:rsidRPr="00C923D7">
        <w:rPr>
          <w:rFonts w:asciiTheme="majorBidi" w:hAnsiTheme="majorBidi"/>
          <w:lang w:val="fr-FR"/>
        </w:rPr>
        <w:t xml:space="preserve">[Examiner] [Synthétiser] les contributions compilées et le résumé du </w:t>
      </w:r>
      <w:r w:rsidR="00E27A11">
        <w:rPr>
          <w:rFonts w:asciiTheme="majorBidi" w:hAnsiTheme="majorBidi"/>
          <w:lang w:val="fr-FR"/>
        </w:rPr>
        <w:t>F</w:t>
      </w:r>
      <w:r w:rsidR="00C923D7" w:rsidRPr="00C923D7">
        <w:rPr>
          <w:rFonts w:asciiTheme="majorBidi" w:hAnsiTheme="majorBidi"/>
          <w:lang w:val="fr-FR"/>
        </w:rPr>
        <w:t>orum en ligne à composition non limitée sur la biologie de synthèse, mentionné au paragraphe 9 c) de la présente décision, ainsi que l’étude scientifique indiquée au paragraphe 9 b), en prenant en compte le projet de plan d’action thématique et les autres informations techniques pertinentes disponible</w:t>
      </w:r>
      <w:r w:rsidR="00C923D7">
        <w:rPr>
          <w:rFonts w:asciiTheme="majorBidi" w:hAnsiTheme="majorBidi"/>
          <w:lang w:val="fr-FR"/>
        </w:rPr>
        <w:t>s ;</w:t>
      </w:r>
    </w:p>
    <w:p w14:paraId="698C35ED" w14:textId="36D8B41A" w:rsidR="002E26E6" w:rsidRPr="00BF7DB6" w:rsidRDefault="0033744B" w:rsidP="0033744B">
      <w:pPr>
        <w:tabs>
          <w:tab w:val="clear" w:pos="567"/>
          <w:tab w:val="clear" w:pos="1134"/>
          <w:tab w:val="clear" w:pos="2268"/>
        </w:tabs>
        <w:snapToGrid w:val="0"/>
        <w:spacing w:before="120" w:after="120"/>
        <w:ind w:left="567" w:firstLine="567"/>
        <w:rPr>
          <w:rFonts w:asciiTheme="majorBidi" w:hAnsiTheme="majorBidi"/>
          <w:lang w:val="fr-FR"/>
        </w:rPr>
      </w:pPr>
      <w:r w:rsidRPr="00BF7DB6">
        <w:rPr>
          <w:rFonts w:asciiTheme="majorBidi" w:hAnsiTheme="majorBidi"/>
          <w:lang w:val="fr-FR"/>
        </w:rPr>
        <w:t xml:space="preserve">b) </w:t>
      </w:r>
      <w:r w:rsidRPr="00BF7DB6">
        <w:rPr>
          <w:rFonts w:asciiTheme="majorBidi" w:hAnsiTheme="majorBidi"/>
          <w:lang w:val="fr-FR"/>
        </w:rPr>
        <w:tab/>
      </w:r>
      <w:r w:rsidR="002E26E6" w:rsidRPr="00BF7DB6">
        <w:rPr>
          <w:rFonts w:asciiTheme="majorBidi" w:hAnsiTheme="majorBidi"/>
          <w:lang w:val="fr-FR"/>
        </w:rPr>
        <w:t>S’appuyer sur les travaux pertinents précédemment réalisés dans le cadre de la Convention sur la diversité biologique</w:t>
      </w:r>
      <w:r w:rsidR="00404599">
        <w:rPr>
          <w:rStyle w:val="FootnoteReference"/>
          <w:rFonts w:asciiTheme="majorBidi" w:hAnsiTheme="majorBidi"/>
          <w:lang w:val="fr-FR"/>
        </w:rPr>
        <w:footnoteReference w:id="7"/>
      </w:r>
      <w:r w:rsidR="002E26E6" w:rsidRPr="00BF7DB6">
        <w:rPr>
          <w:rFonts w:asciiTheme="majorBidi" w:hAnsiTheme="majorBidi"/>
          <w:lang w:val="fr-FR"/>
        </w:rPr>
        <w:t xml:space="preserve"> et de ses </w:t>
      </w:r>
      <w:r w:rsidR="00404599">
        <w:rPr>
          <w:rFonts w:asciiTheme="majorBidi" w:hAnsiTheme="majorBidi"/>
          <w:lang w:val="fr-FR"/>
        </w:rPr>
        <w:t>P</w:t>
      </w:r>
      <w:r w:rsidR="002E26E6" w:rsidRPr="00BF7DB6">
        <w:rPr>
          <w:rFonts w:asciiTheme="majorBidi" w:hAnsiTheme="majorBidi"/>
          <w:lang w:val="fr-FR"/>
        </w:rPr>
        <w:t xml:space="preserve">rotocoles ; </w:t>
      </w:r>
    </w:p>
    <w:p w14:paraId="1811BFFD" w14:textId="6116AF07" w:rsidR="002E26E6" w:rsidRPr="00BF7DB6" w:rsidRDefault="002E26E6" w:rsidP="0033744B">
      <w:pPr>
        <w:tabs>
          <w:tab w:val="clear" w:pos="567"/>
          <w:tab w:val="clear" w:pos="1134"/>
          <w:tab w:val="clear" w:pos="2268"/>
        </w:tabs>
        <w:snapToGrid w:val="0"/>
        <w:spacing w:before="120" w:after="120"/>
        <w:ind w:left="567" w:firstLine="567"/>
        <w:rPr>
          <w:rFonts w:asciiTheme="majorBidi" w:hAnsiTheme="majorBidi"/>
          <w:lang w:val="fr-FR"/>
        </w:rPr>
      </w:pPr>
      <w:r w:rsidRPr="00BF7DB6">
        <w:rPr>
          <w:rFonts w:asciiTheme="majorBidi" w:hAnsiTheme="majorBidi"/>
          <w:lang w:val="fr-FR"/>
        </w:rPr>
        <w:t>c)</w:t>
      </w:r>
      <w:r w:rsidRPr="00BF7DB6">
        <w:rPr>
          <w:rFonts w:asciiTheme="majorBidi" w:hAnsiTheme="majorBidi"/>
          <w:lang w:val="fr-FR"/>
        </w:rPr>
        <w:tab/>
        <w:t xml:space="preserve">Identifier les avantages [[actuels] et [potentiels]] de la biologie de synthèse par rapport aux trois objectifs de la </w:t>
      </w:r>
      <w:r w:rsidR="00E27A11" w:rsidRPr="00BF7DB6">
        <w:rPr>
          <w:rFonts w:asciiTheme="majorBidi" w:hAnsiTheme="majorBidi"/>
          <w:lang w:val="fr-FR"/>
        </w:rPr>
        <w:t>C</w:t>
      </w:r>
      <w:r w:rsidRPr="00BF7DB6">
        <w:rPr>
          <w:rFonts w:asciiTheme="majorBidi" w:hAnsiTheme="majorBidi"/>
          <w:lang w:val="fr-FR"/>
        </w:rPr>
        <w:t xml:space="preserve">onvention et à la mise en œuvre du Cadre mondial </w:t>
      </w:r>
      <w:r w:rsidR="00E27A11" w:rsidRPr="00BF7DB6">
        <w:rPr>
          <w:rFonts w:asciiTheme="majorBidi" w:hAnsiTheme="majorBidi"/>
          <w:lang w:val="fr-FR"/>
        </w:rPr>
        <w:t>de l</w:t>
      </w:r>
      <w:r w:rsidRPr="00BF7DB6">
        <w:rPr>
          <w:rFonts w:asciiTheme="majorBidi" w:hAnsiTheme="majorBidi"/>
          <w:lang w:val="fr-FR"/>
        </w:rPr>
        <w:t>a biodiversité de Kunming-Montréal ;</w:t>
      </w:r>
    </w:p>
    <w:p w14:paraId="20C7A57E" w14:textId="155E63E8" w:rsidR="009D1C16" w:rsidRPr="009D1C16" w:rsidRDefault="009D1C16" w:rsidP="009D1C16">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BF7DB6">
        <w:rPr>
          <w:rFonts w:asciiTheme="majorBidi" w:hAnsiTheme="majorBidi"/>
          <w:lang w:val="fr-FR"/>
        </w:rPr>
        <w:t>d)</w:t>
      </w:r>
      <w:r w:rsidRPr="00BF7DB6">
        <w:rPr>
          <w:rFonts w:asciiTheme="majorBidi" w:hAnsiTheme="majorBidi"/>
          <w:lang w:val="fr-FR"/>
        </w:rPr>
        <w:tab/>
        <w:t xml:space="preserve">Identifier les impacts positifs </w:t>
      </w:r>
      <w:r w:rsidRPr="009D1C16">
        <w:rPr>
          <w:rFonts w:asciiTheme="majorBidi" w:hAnsiTheme="majorBidi"/>
          <w:lang w:val="fr-FR"/>
        </w:rPr>
        <w:t xml:space="preserve">potentiels des avancées technologiques récentes dans le domaine de la biologie de synthèse en lien avec les trois objectifs de la Convention et la mise en œuvre du Cadre ; </w:t>
      </w:r>
    </w:p>
    <w:p w14:paraId="57C5DB4D" w14:textId="39E1FC16" w:rsidR="009D1C16" w:rsidRDefault="009D1C16" w:rsidP="0033744B">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e)</w:t>
      </w:r>
      <w:r>
        <w:rPr>
          <w:rFonts w:asciiTheme="majorBidi" w:hAnsiTheme="majorBidi"/>
          <w:lang w:val="fr-FR"/>
        </w:rPr>
        <w:tab/>
      </w:r>
      <w:r w:rsidRPr="009D1C16">
        <w:rPr>
          <w:rFonts w:asciiTheme="majorBidi" w:hAnsiTheme="majorBidi"/>
          <w:lang w:val="fr-FR"/>
        </w:rPr>
        <w:t xml:space="preserve">Identifier les impacts négatifs potentiels des récentes avancées technologiques dans le domaine de la biologie de synthèse </w:t>
      </w:r>
      <w:r w:rsidR="002D2E2A">
        <w:rPr>
          <w:rFonts w:asciiTheme="majorBidi" w:hAnsiTheme="majorBidi"/>
          <w:lang w:val="fr-FR"/>
        </w:rPr>
        <w:t>au</w:t>
      </w:r>
      <w:r w:rsidRPr="009D1C16">
        <w:rPr>
          <w:rFonts w:asciiTheme="majorBidi" w:hAnsiTheme="majorBidi"/>
          <w:lang w:val="fr-FR"/>
        </w:rPr>
        <w:t xml:space="preserve"> regard des trois objectifs de la Convention et de la mise en œuvre du Cadre</w:t>
      </w:r>
      <w:r>
        <w:rPr>
          <w:rFonts w:asciiTheme="majorBidi" w:hAnsiTheme="majorBidi"/>
          <w:lang w:val="fr-FR"/>
        </w:rPr>
        <w:t> ;</w:t>
      </w:r>
    </w:p>
    <w:p w14:paraId="63FD97FB" w14:textId="447403C6" w:rsidR="009D1C16" w:rsidRDefault="009D1C16" w:rsidP="0033744B">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t>f)</w:t>
      </w:r>
      <w:r>
        <w:rPr>
          <w:rFonts w:asciiTheme="majorBidi" w:hAnsiTheme="majorBidi"/>
          <w:lang w:val="fr-FR"/>
        </w:rPr>
        <w:tab/>
        <w:t xml:space="preserve">Fournir </w:t>
      </w:r>
      <w:r w:rsidRPr="009D1C16">
        <w:rPr>
          <w:rFonts w:asciiTheme="majorBidi" w:hAnsiTheme="majorBidi"/>
          <w:lang w:val="fr-FR"/>
        </w:rPr>
        <w:t xml:space="preserve">des orientations sur l’intégration du renforcement des capacités, du développement, de l’accès aux technologies, de leur transfert et du partage des connaissances en biologie de synthèse dans le projet de plan d’action thématique, en tenant compte des évolutions futures de la biologie de synthèse et de la mise en œuvre des objectifs des </w:t>
      </w:r>
      <w:r w:rsidR="002D6B1D">
        <w:rPr>
          <w:rFonts w:asciiTheme="majorBidi" w:hAnsiTheme="majorBidi"/>
          <w:lang w:val="fr-FR"/>
        </w:rPr>
        <w:t>C</w:t>
      </w:r>
      <w:r w:rsidRPr="009D1C16">
        <w:rPr>
          <w:rFonts w:asciiTheme="majorBidi" w:hAnsiTheme="majorBidi"/>
          <w:lang w:val="fr-FR"/>
        </w:rPr>
        <w:t xml:space="preserve">onventions et du </w:t>
      </w:r>
      <w:r>
        <w:rPr>
          <w:rFonts w:asciiTheme="majorBidi" w:hAnsiTheme="majorBidi"/>
          <w:lang w:val="fr-FR"/>
        </w:rPr>
        <w:t>Cadre ;</w:t>
      </w:r>
    </w:p>
    <w:p w14:paraId="0807D263" w14:textId="0EEDE23C" w:rsidR="0033744B" w:rsidRPr="009D1C16" w:rsidRDefault="009D1C16" w:rsidP="009D1C16">
      <w:pPr>
        <w:tabs>
          <w:tab w:val="clear" w:pos="567"/>
          <w:tab w:val="clear" w:pos="1134"/>
          <w:tab w:val="clear" w:pos="2268"/>
        </w:tabs>
        <w:snapToGrid w:val="0"/>
        <w:spacing w:before="120" w:after="120"/>
        <w:ind w:left="567" w:firstLine="567"/>
        <w:rPr>
          <w:rFonts w:asciiTheme="majorBidi" w:hAnsiTheme="majorBidi"/>
          <w:lang w:val="fr-FR"/>
        </w:rPr>
      </w:pPr>
      <w:r>
        <w:rPr>
          <w:rFonts w:asciiTheme="majorBidi" w:hAnsiTheme="majorBidi"/>
          <w:lang w:val="fr-FR"/>
        </w:rPr>
        <w:lastRenderedPageBreak/>
        <w:t>g)</w:t>
      </w:r>
      <w:r>
        <w:rPr>
          <w:rFonts w:asciiTheme="majorBidi" w:hAnsiTheme="majorBidi"/>
          <w:lang w:val="fr-FR"/>
        </w:rPr>
        <w:tab/>
      </w:r>
      <w:r w:rsidRPr="009D1C16">
        <w:rPr>
          <w:rFonts w:asciiTheme="majorBidi" w:hAnsiTheme="majorBidi"/>
          <w:lang w:val="fr-FR"/>
        </w:rPr>
        <w:t>Rédiger un rapport sur ses travaux à soumettre pour examen à l’</w:t>
      </w:r>
      <w:r>
        <w:rPr>
          <w:rFonts w:asciiTheme="majorBidi" w:hAnsiTheme="majorBidi"/>
          <w:lang w:val="fr-FR"/>
        </w:rPr>
        <w:t>O</w:t>
      </w:r>
      <w:r w:rsidRPr="009D1C16">
        <w:rPr>
          <w:rFonts w:asciiTheme="majorBidi" w:hAnsiTheme="majorBidi"/>
          <w:lang w:val="fr-FR"/>
        </w:rPr>
        <w:t>rgane subsidiaire chargé de</w:t>
      </w:r>
      <w:r w:rsidR="002D6B1D">
        <w:rPr>
          <w:rFonts w:asciiTheme="majorBidi" w:hAnsiTheme="majorBidi"/>
          <w:lang w:val="fr-FR"/>
        </w:rPr>
        <w:t xml:space="preserve"> fournir de</w:t>
      </w:r>
      <w:r w:rsidRPr="009D1C16">
        <w:rPr>
          <w:rFonts w:asciiTheme="majorBidi" w:hAnsiTheme="majorBidi"/>
          <w:lang w:val="fr-FR"/>
        </w:rPr>
        <w:t>s avis scientifiques, techniques et technologiques.</w:t>
      </w:r>
      <w:r w:rsidR="00663E2D">
        <w:rPr>
          <w:rFonts w:asciiTheme="majorBidi" w:hAnsiTheme="majorBidi"/>
          <w:lang w:val="fr-FR"/>
        </w:rPr>
        <w:t xml:space="preserve"> </w:t>
      </w:r>
    </w:p>
    <w:p w14:paraId="2F1ED7CA" w14:textId="77777777" w:rsidR="0033744B" w:rsidRPr="002D6B1D" w:rsidRDefault="0033744B" w:rsidP="0033744B">
      <w:pPr>
        <w:pStyle w:val="CBDNormalNoNumber"/>
        <w:rPr>
          <w:lang w:val="fr-FR"/>
        </w:rPr>
      </w:pPr>
    </w:p>
    <w:p w14:paraId="61D564E2" w14:textId="619FC69A" w:rsidR="002B559C" w:rsidRPr="00956148" w:rsidRDefault="00ED3849" w:rsidP="00283805">
      <w:pPr>
        <w:pStyle w:val="Para1"/>
        <w:numPr>
          <w:ilvl w:val="0"/>
          <w:numId w:val="0"/>
        </w:numPr>
        <w:ind w:left="567"/>
        <w:jc w:val="center"/>
        <w:rPr>
          <w:lang w:val="en-GB"/>
        </w:rPr>
      </w:pPr>
      <w:r w:rsidRPr="00956148">
        <w:rPr>
          <w:lang w:val="en-GB"/>
        </w:rPr>
        <w:t>__________</w:t>
      </w:r>
    </w:p>
    <w:sectPr w:rsidR="002B559C" w:rsidRPr="00956148"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39A9E" w14:textId="77777777" w:rsidR="009734EA" w:rsidRDefault="009734EA" w:rsidP="00A96B21">
      <w:r>
        <w:separator/>
      </w:r>
    </w:p>
  </w:endnote>
  <w:endnote w:type="continuationSeparator" w:id="0">
    <w:p w14:paraId="7AD3697C" w14:textId="77777777" w:rsidR="009734EA" w:rsidRDefault="009734EA" w:rsidP="00A96B21">
      <w:r>
        <w:continuationSeparator/>
      </w:r>
    </w:p>
  </w:endnote>
  <w:endnote w:type="continuationNotice" w:id="1">
    <w:p w14:paraId="7E7B3A3C" w14:textId="77777777" w:rsidR="009734EA" w:rsidRDefault="009734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B338D" w14:textId="77777777" w:rsidR="009734EA" w:rsidRDefault="009734EA" w:rsidP="00A96B21">
      <w:r>
        <w:separator/>
      </w:r>
    </w:p>
  </w:footnote>
  <w:footnote w:type="continuationSeparator" w:id="0">
    <w:p w14:paraId="4034C363" w14:textId="77777777" w:rsidR="009734EA" w:rsidRDefault="009734EA" w:rsidP="00A96B21">
      <w:r>
        <w:continuationSeparator/>
      </w:r>
    </w:p>
  </w:footnote>
  <w:footnote w:type="continuationNotice" w:id="1">
    <w:p w14:paraId="6C336C03" w14:textId="77777777" w:rsidR="009734EA" w:rsidRDefault="009734EA"/>
  </w:footnote>
  <w:footnote w:id="2">
    <w:p w14:paraId="391EFFE4" w14:textId="3A37CA25" w:rsidR="0033744B" w:rsidRPr="0033744B" w:rsidRDefault="0033744B" w:rsidP="0033744B">
      <w:pPr>
        <w:pStyle w:val="FootnoteText"/>
        <w:rPr>
          <w:szCs w:val="18"/>
          <w:lang w:val="fr-FR"/>
        </w:rPr>
      </w:pPr>
      <w:r>
        <w:rPr>
          <w:rStyle w:val="FootnoteReference"/>
          <w:szCs w:val="18"/>
        </w:rPr>
        <w:footnoteRef/>
      </w:r>
      <w:r w:rsidRPr="0033744B">
        <w:rPr>
          <w:lang w:val="fr-FR"/>
        </w:rPr>
        <w:t xml:space="preserve"> Nations Unies, </w:t>
      </w:r>
      <w:r w:rsidRPr="0033744B">
        <w:rPr>
          <w:i/>
          <w:lang w:val="fr-FR"/>
        </w:rPr>
        <w:t>Recueil des Traités</w:t>
      </w:r>
      <w:r w:rsidRPr="0033744B">
        <w:rPr>
          <w:lang w:val="fr-FR"/>
        </w:rPr>
        <w:t>, vol. 2226, n</w:t>
      </w:r>
      <w:r w:rsidRPr="0033744B">
        <w:rPr>
          <w:vertAlign w:val="superscript"/>
          <w:lang w:val="fr-FR"/>
        </w:rPr>
        <w:t>o</w:t>
      </w:r>
      <w:r w:rsidRPr="0033744B">
        <w:rPr>
          <w:lang w:val="fr-FR"/>
        </w:rPr>
        <w:t> 30619.</w:t>
      </w:r>
    </w:p>
  </w:footnote>
  <w:footnote w:id="3">
    <w:p w14:paraId="26B00576" w14:textId="03207C30" w:rsidR="003E03DD" w:rsidRPr="003E03DD" w:rsidRDefault="003E03DD">
      <w:pPr>
        <w:pStyle w:val="FootnoteText"/>
        <w:rPr>
          <w:lang w:val="fr-FR"/>
        </w:rPr>
      </w:pPr>
      <w:r>
        <w:rPr>
          <w:rStyle w:val="FootnoteReference"/>
        </w:rPr>
        <w:footnoteRef/>
      </w:r>
      <w:r w:rsidRPr="003E03DD">
        <w:rPr>
          <w:lang w:val="fr-FR"/>
        </w:rPr>
        <w:t xml:space="preserve"> Nations Unies, </w:t>
      </w:r>
      <w:r w:rsidRPr="003E03DD">
        <w:rPr>
          <w:i/>
          <w:iCs/>
          <w:lang w:val="fr-FR"/>
        </w:rPr>
        <w:t>Recueil des Traités</w:t>
      </w:r>
      <w:r>
        <w:rPr>
          <w:lang w:val="fr-FR"/>
        </w:rPr>
        <w:t xml:space="preserve">, vol. 1760, </w:t>
      </w:r>
      <w:r w:rsidRPr="0033744B">
        <w:rPr>
          <w:lang w:val="fr-FR"/>
        </w:rPr>
        <w:t>n</w:t>
      </w:r>
      <w:r w:rsidRPr="0033744B">
        <w:rPr>
          <w:vertAlign w:val="superscript"/>
          <w:lang w:val="fr-FR"/>
        </w:rPr>
        <w:t>o</w:t>
      </w:r>
      <w:r w:rsidRPr="0033744B">
        <w:rPr>
          <w:lang w:val="fr-FR"/>
        </w:rPr>
        <w:t> 30619.</w:t>
      </w:r>
    </w:p>
  </w:footnote>
  <w:footnote w:id="4">
    <w:p w14:paraId="06DFE9FB" w14:textId="598FFFCA" w:rsidR="0033744B" w:rsidRPr="0033744B" w:rsidRDefault="0033744B" w:rsidP="0033744B">
      <w:pPr>
        <w:pStyle w:val="FootnoteText"/>
        <w:rPr>
          <w:szCs w:val="18"/>
          <w:lang w:val="fr-FR"/>
        </w:rPr>
      </w:pPr>
      <w:r>
        <w:rPr>
          <w:rStyle w:val="FootnoteReference"/>
          <w:szCs w:val="18"/>
        </w:rPr>
        <w:footnoteRef/>
      </w:r>
      <w:r w:rsidRPr="0033744B">
        <w:rPr>
          <w:lang w:val="fr-FR"/>
        </w:rPr>
        <w:t xml:space="preserve"> Décision </w:t>
      </w:r>
      <w:hyperlink r:id="rId1" w:history="1">
        <w:r w:rsidRPr="009D62A5">
          <w:rPr>
            <w:rStyle w:val="Hyperlink"/>
            <w:lang w:val="fr-FR"/>
          </w:rPr>
          <w:t>15/</w:t>
        </w:r>
        <w:r w:rsidR="005A1905">
          <w:rPr>
            <w:rStyle w:val="Hyperlink"/>
            <w:lang w:val="fr-FR"/>
          </w:rPr>
          <w:t>8</w:t>
        </w:r>
        <w:r w:rsidRPr="009D62A5">
          <w:rPr>
            <w:rStyle w:val="Hyperlink"/>
            <w:lang w:val="fr-FR"/>
          </w:rPr>
          <w:t>, annexe</w:t>
        </w:r>
        <w:r w:rsidR="009D62A5" w:rsidRPr="009D62A5">
          <w:rPr>
            <w:rStyle w:val="Hyperlink"/>
            <w:lang w:val="fr-FR"/>
          </w:rPr>
          <w:t xml:space="preserve"> I</w:t>
        </w:r>
      </w:hyperlink>
      <w:r w:rsidRPr="0033744B">
        <w:rPr>
          <w:lang w:val="fr-FR"/>
        </w:rPr>
        <w:t>.</w:t>
      </w:r>
    </w:p>
  </w:footnote>
  <w:footnote w:id="5">
    <w:p w14:paraId="503CECE7" w14:textId="0D20949F" w:rsidR="003A2E4A" w:rsidRPr="003A2E4A" w:rsidRDefault="003A2E4A" w:rsidP="003A2E4A">
      <w:pPr>
        <w:pStyle w:val="FootnoteText"/>
        <w:rPr>
          <w:lang w:val="fr-FR"/>
        </w:rPr>
      </w:pPr>
      <w:r>
        <w:rPr>
          <w:rStyle w:val="FootnoteReference"/>
        </w:rPr>
        <w:footnoteRef/>
      </w:r>
      <w:r w:rsidRPr="003A2E4A">
        <w:rPr>
          <w:lang w:val="fr-FR"/>
        </w:rPr>
        <w:t xml:space="preserve"> </w:t>
      </w:r>
      <w:r>
        <w:rPr>
          <w:lang w:val="fr-FR"/>
        </w:rPr>
        <w:t>E</w:t>
      </w:r>
      <w:r w:rsidRPr="003A2E4A">
        <w:rPr>
          <w:lang w:val="fr-FR"/>
        </w:rPr>
        <w:t xml:space="preserve">n particulier </w:t>
      </w:r>
      <w:r>
        <w:rPr>
          <w:lang w:val="fr-FR"/>
        </w:rPr>
        <w:t xml:space="preserve">le </w:t>
      </w:r>
      <w:r w:rsidRPr="003A2E4A">
        <w:rPr>
          <w:lang w:val="fr-FR"/>
        </w:rPr>
        <w:t>Plan d’action pour le renforcement des capacités du Protocole de Cartagena sur la prévention des risques</w:t>
      </w:r>
      <w:r>
        <w:rPr>
          <w:lang w:val="fr-FR"/>
        </w:rPr>
        <w:t xml:space="preserve"> </w:t>
      </w:r>
      <w:r w:rsidRPr="003A2E4A">
        <w:rPr>
          <w:lang w:val="fr-FR"/>
        </w:rPr>
        <w:t xml:space="preserve">biotechnologiques (décision </w:t>
      </w:r>
      <w:hyperlink r:id="rId2" w:history="1">
        <w:r w:rsidRPr="003A2E4A">
          <w:rPr>
            <w:rStyle w:val="Hyperlink"/>
            <w:lang w:val="fr-FR"/>
          </w:rPr>
          <w:t>CP-10/4</w:t>
        </w:r>
      </w:hyperlink>
      <w:r w:rsidRPr="003A2E4A">
        <w:rPr>
          <w:lang w:val="fr-FR"/>
        </w:rPr>
        <w:t>, annexe).</w:t>
      </w:r>
    </w:p>
    <w:p w14:paraId="782125A9" w14:textId="4C5936C1" w:rsidR="003A2E4A" w:rsidRPr="003A2E4A" w:rsidRDefault="003A2E4A">
      <w:pPr>
        <w:pStyle w:val="FootnoteText"/>
        <w:rPr>
          <w:lang w:val="fr-FR"/>
        </w:rPr>
      </w:pPr>
    </w:p>
  </w:footnote>
  <w:footnote w:id="6">
    <w:p w14:paraId="4D492039" w14:textId="57008B18" w:rsidR="0033744B" w:rsidRPr="0033744B" w:rsidRDefault="0033744B" w:rsidP="0033744B">
      <w:pPr>
        <w:pStyle w:val="FootnoteText"/>
        <w:rPr>
          <w:szCs w:val="18"/>
          <w:lang w:val="fr-FR"/>
        </w:rPr>
      </w:pPr>
      <w:r>
        <w:rPr>
          <w:rStyle w:val="FootnoteReference"/>
          <w:szCs w:val="18"/>
        </w:rPr>
        <w:footnoteRef/>
      </w:r>
      <w:r w:rsidRPr="0033744B">
        <w:rPr>
          <w:lang w:val="fr-FR"/>
        </w:rPr>
        <w:t xml:space="preserve"> Décision </w:t>
      </w:r>
      <w:hyperlink r:id="rId3" w:history="1">
        <w:r w:rsidRPr="008C7C30">
          <w:rPr>
            <w:rStyle w:val="Hyperlink"/>
            <w:lang w:val="fr-FR"/>
          </w:rPr>
          <w:t>VIII/10</w:t>
        </w:r>
      </w:hyperlink>
      <w:r w:rsidRPr="0033744B">
        <w:rPr>
          <w:lang w:val="fr-FR"/>
        </w:rPr>
        <w:t>, annexe III.</w:t>
      </w:r>
    </w:p>
  </w:footnote>
  <w:footnote w:id="7">
    <w:p w14:paraId="328219FF" w14:textId="380043CD" w:rsidR="00404599" w:rsidRPr="00404599" w:rsidRDefault="00404599">
      <w:pPr>
        <w:pStyle w:val="FootnoteText"/>
        <w:rPr>
          <w:lang w:val="fr-FR"/>
        </w:rPr>
      </w:pPr>
      <w:r>
        <w:rPr>
          <w:rStyle w:val="FootnoteReference"/>
        </w:rPr>
        <w:footnoteRef/>
      </w:r>
      <w:r w:rsidRPr="00404599">
        <w:rPr>
          <w:lang w:val="fr-FR"/>
        </w:rPr>
        <w:t xml:space="preserve"> </w:t>
      </w:r>
      <w:r w:rsidRPr="003E03DD">
        <w:rPr>
          <w:lang w:val="fr-FR"/>
        </w:rPr>
        <w:t xml:space="preserve">Nations Unies, </w:t>
      </w:r>
      <w:r w:rsidRPr="003E03DD">
        <w:rPr>
          <w:i/>
          <w:iCs/>
          <w:lang w:val="fr-FR"/>
        </w:rPr>
        <w:t>Recueil des Traités</w:t>
      </w:r>
      <w:r>
        <w:rPr>
          <w:lang w:val="fr-FR"/>
        </w:rPr>
        <w:t xml:space="preserve">, vol. 1760, </w:t>
      </w:r>
      <w:r w:rsidRPr="0033744B">
        <w:rPr>
          <w:lang w:val="fr-FR"/>
        </w:rPr>
        <w:t>n</w:t>
      </w:r>
      <w:r w:rsidRPr="0033744B">
        <w:rPr>
          <w:vertAlign w:val="superscript"/>
          <w:lang w:val="fr-FR"/>
        </w:rPr>
        <w:t>o</w:t>
      </w:r>
      <w:r w:rsidRPr="0033744B">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33E79BA" w:rsidR="00A00234" w:rsidRPr="00443360" w:rsidRDefault="00B0608E"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82E08" w:rsidRPr="00443360">
          <w:rPr>
            <w:szCs w:val="20"/>
            <w:lang w:val="en-CA"/>
          </w:rPr>
          <w:t>CBD/COP/16/WG.II/CRP.</w:t>
        </w:r>
        <w:r w:rsidR="00E82E08">
          <w:rPr>
            <w:szCs w:val="20"/>
            <w:lang w:val="en-CA"/>
          </w:rPr>
          <w:t>12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ED0BFCB" w:rsidR="002B559C" w:rsidRPr="002B559C" w:rsidRDefault="00E82E08" w:rsidP="002B559C">
        <w:pPr>
          <w:pStyle w:val="Header"/>
          <w:spacing w:after="240"/>
          <w:jc w:val="right"/>
          <w:rPr>
            <w:szCs w:val="20"/>
            <w:lang w:val="fr-FR"/>
          </w:rPr>
        </w:pPr>
        <w:r>
          <w:rPr>
            <w:szCs w:val="20"/>
            <w:lang w:val="fr-FR"/>
          </w:rPr>
          <w:t>CBD/COP/16/WG.II/CRP.12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2"/>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3"/>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8"/>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221402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CA7"/>
    <w:rsid w:val="000238B8"/>
    <w:rsid w:val="00040598"/>
    <w:rsid w:val="000474B7"/>
    <w:rsid w:val="00056BF3"/>
    <w:rsid w:val="00066827"/>
    <w:rsid w:val="0006764E"/>
    <w:rsid w:val="000712FC"/>
    <w:rsid w:val="00083A87"/>
    <w:rsid w:val="00093AF1"/>
    <w:rsid w:val="000B1E29"/>
    <w:rsid w:val="000B5395"/>
    <w:rsid w:val="000C0144"/>
    <w:rsid w:val="000C2611"/>
    <w:rsid w:val="000C4D66"/>
    <w:rsid w:val="000D6A10"/>
    <w:rsid w:val="000E62BB"/>
    <w:rsid w:val="000F66FD"/>
    <w:rsid w:val="001068A0"/>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A2527"/>
    <w:rsid w:val="001A40DC"/>
    <w:rsid w:val="001B50EA"/>
    <w:rsid w:val="001C5AB3"/>
    <w:rsid w:val="001D7501"/>
    <w:rsid w:val="001E37E8"/>
    <w:rsid w:val="001E4E16"/>
    <w:rsid w:val="001E6F91"/>
    <w:rsid w:val="001F0FE6"/>
    <w:rsid w:val="00217B45"/>
    <w:rsid w:val="002544D0"/>
    <w:rsid w:val="00266567"/>
    <w:rsid w:val="002735CD"/>
    <w:rsid w:val="00274657"/>
    <w:rsid w:val="00283805"/>
    <w:rsid w:val="002A5E56"/>
    <w:rsid w:val="002B00CA"/>
    <w:rsid w:val="002B559C"/>
    <w:rsid w:val="002C3B82"/>
    <w:rsid w:val="002D2E2A"/>
    <w:rsid w:val="002D6B1D"/>
    <w:rsid w:val="002E26E6"/>
    <w:rsid w:val="002E596F"/>
    <w:rsid w:val="002F471A"/>
    <w:rsid w:val="00303F0B"/>
    <w:rsid w:val="00310608"/>
    <w:rsid w:val="0031174D"/>
    <w:rsid w:val="00323A97"/>
    <w:rsid w:val="00323F22"/>
    <w:rsid w:val="00324CAF"/>
    <w:rsid w:val="00327E46"/>
    <w:rsid w:val="0033033F"/>
    <w:rsid w:val="0033744B"/>
    <w:rsid w:val="003448CF"/>
    <w:rsid w:val="003476A9"/>
    <w:rsid w:val="00364866"/>
    <w:rsid w:val="00367C81"/>
    <w:rsid w:val="00374838"/>
    <w:rsid w:val="00375941"/>
    <w:rsid w:val="00381831"/>
    <w:rsid w:val="0038428B"/>
    <w:rsid w:val="003A2D71"/>
    <w:rsid w:val="003A2E4A"/>
    <w:rsid w:val="003B408D"/>
    <w:rsid w:val="003C3310"/>
    <w:rsid w:val="003C6F10"/>
    <w:rsid w:val="003C71BF"/>
    <w:rsid w:val="003D14E0"/>
    <w:rsid w:val="003E03DD"/>
    <w:rsid w:val="003F57D0"/>
    <w:rsid w:val="00404599"/>
    <w:rsid w:val="00423CA0"/>
    <w:rsid w:val="00440CBC"/>
    <w:rsid w:val="00441498"/>
    <w:rsid w:val="00443360"/>
    <w:rsid w:val="00445E2A"/>
    <w:rsid w:val="004612E8"/>
    <w:rsid w:val="004701EE"/>
    <w:rsid w:val="00472E91"/>
    <w:rsid w:val="00473868"/>
    <w:rsid w:val="00480A8D"/>
    <w:rsid w:val="00492C92"/>
    <w:rsid w:val="00497800"/>
    <w:rsid w:val="004A2A2D"/>
    <w:rsid w:val="004B450D"/>
    <w:rsid w:val="004C2CCE"/>
    <w:rsid w:val="004C6544"/>
    <w:rsid w:val="004C7E38"/>
    <w:rsid w:val="004D71DC"/>
    <w:rsid w:val="004E03E1"/>
    <w:rsid w:val="004E7BA2"/>
    <w:rsid w:val="005063F0"/>
    <w:rsid w:val="0051617B"/>
    <w:rsid w:val="00520C05"/>
    <w:rsid w:val="00521A36"/>
    <w:rsid w:val="00523D1A"/>
    <w:rsid w:val="005257E1"/>
    <w:rsid w:val="00527D8B"/>
    <w:rsid w:val="005334A5"/>
    <w:rsid w:val="005365E7"/>
    <w:rsid w:val="00537248"/>
    <w:rsid w:val="00543873"/>
    <w:rsid w:val="00543F0B"/>
    <w:rsid w:val="005503B7"/>
    <w:rsid w:val="00571CCF"/>
    <w:rsid w:val="00577816"/>
    <w:rsid w:val="005849D2"/>
    <w:rsid w:val="00595A79"/>
    <w:rsid w:val="005A0EF2"/>
    <w:rsid w:val="005A1905"/>
    <w:rsid w:val="005A206E"/>
    <w:rsid w:val="005C0058"/>
    <w:rsid w:val="005D1760"/>
    <w:rsid w:val="005E2605"/>
    <w:rsid w:val="005E69E2"/>
    <w:rsid w:val="00607D84"/>
    <w:rsid w:val="006210F3"/>
    <w:rsid w:val="0062350D"/>
    <w:rsid w:val="00623AF7"/>
    <w:rsid w:val="006320F0"/>
    <w:rsid w:val="00647AD1"/>
    <w:rsid w:val="00657ED6"/>
    <w:rsid w:val="00663E2D"/>
    <w:rsid w:val="0066738C"/>
    <w:rsid w:val="006749B8"/>
    <w:rsid w:val="006A274A"/>
    <w:rsid w:val="006A4F12"/>
    <w:rsid w:val="006B293D"/>
    <w:rsid w:val="006B3E85"/>
    <w:rsid w:val="006C0B82"/>
    <w:rsid w:val="006C6370"/>
    <w:rsid w:val="006D4AEB"/>
    <w:rsid w:val="006E54CF"/>
    <w:rsid w:val="006F3EC6"/>
    <w:rsid w:val="006F4DB6"/>
    <w:rsid w:val="00704608"/>
    <w:rsid w:val="00706A86"/>
    <w:rsid w:val="00736176"/>
    <w:rsid w:val="007363B4"/>
    <w:rsid w:val="00743A40"/>
    <w:rsid w:val="0075018F"/>
    <w:rsid w:val="0075214C"/>
    <w:rsid w:val="0076622F"/>
    <w:rsid w:val="00766E05"/>
    <w:rsid w:val="00767C49"/>
    <w:rsid w:val="00774B41"/>
    <w:rsid w:val="007772CF"/>
    <w:rsid w:val="00783CB8"/>
    <w:rsid w:val="007962EB"/>
    <w:rsid w:val="007C2D33"/>
    <w:rsid w:val="007C70FA"/>
    <w:rsid w:val="007C77BC"/>
    <w:rsid w:val="007E0C48"/>
    <w:rsid w:val="007E2408"/>
    <w:rsid w:val="007E2771"/>
    <w:rsid w:val="007E29EC"/>
    <w:rsid w:val="007F15E9"/>
    <w:rsid w:val="007F7DD2"/>
    <w:rsid w:val="00800E03"/>
    <w:rsid w:val="00823FDA"/>
    <w:rsid w:val="00862891"/>
    <w:rsid w:val="0086393B"/>
    <w:rsid w:val="00871402"/>
    <w:rsid w:val="00874541"/>
    <w:rsid w:val="0087582D"/>
    <w:rsid w:val="00880330"/>
    <w:rsid w:val="00881451"/>
    <w:rsid w:val="008B27E2"/>
    <w:rsid w:val="008B3BB2"/>
    <w:rsid w:val="008C1A94"/>
    <w:rsid w:val="008C5308"/>
    <w:rsid w:val="008C6DD2"/>
    <w:rsid w:val="008C7C30"/>
    <w:rsid w:val="008E0581"/>
    <w:rsid w:val="008F3DC8"/>
    <w:rsid w:val="008F4C48"/>
    <w:rsid w:val="008F4F97"/>
    <w:rsid w:val="009136BA"/>
    <w:rsid w:val="0092204D"/>
    <w:rsid w:val="00924983"/>
    <w:rsid w:val="00925D46"/>
    <w:rsid w:val="0092781F"/>
    <w:rsid w:val="00927A9E"/>
    <w:rsid w:val="009310D4"/>
    <w:rsid w:val="00932F3A"/>
    <w:rsid w:val="0093537D"/>
    <w:rsid w:val="00935461"/>
    <w:rsid w:val="00941160"/>
    <w:rsid w:val="009459E3"/>
    <w:rsid w:val="00950CED"/>
    <w:rsid w:val="00954EA1"/>
    <w:rsid w:val="00956148"/>
    <w:rsid w:val="00957167"/>
    <w:rsid w:val="00957251"/>
    <w:rsid w:val="009734EA"/>
    <w:rsid w:val="009842DA"/>
    <w:rsid w:val="00995DDC"/>
    <w:rsid w:val="009A2E79"/>
    <w:rsid w:val="009B3DAC"/>
    <w:rsid w:val="009C1114"/>
    <w:rsid w:val="009C3851"/>
    <w:rsid w:val="009C4D4B"/>
    <w:rsid w:val="009C4ECF"/>
    <w:rsid w:val="009D1C16"/>
    <w:rsid w:val="009D5D16"/>
    <w:rsid w:val="009D6226"/>
    <w:rsid w:val="009D62A5"/>
    <w:rsid w:val="009D6FD4"/>
    <w:rsid w:val="009F0540"/>
    <w:rsid w:val="009F2684"/>
    <w:rsid w:val="00A00234"/>
    <w:rsid w:val="00A16560"/>
    <w:rsid w:val="00A21DF0"/>
    <w:rsid w:val="00A349E1"/>
    <w:rsid w:val="00A43182"/>
    <w:rsid w:val="00A477EB"/>
    <w:rsid w:val="00A50833"/>
    <w:rsid w:val="00A54FA0"/>
    <w:rsid w:val="00A610DE"/>
    <w:rsid w:val="00A86864"/>
    <w:rsid w:val="00A954B3"/>
    <w:rsid w:val="00A96B21"/>
    <w:rsid w:val="00AB226F"/>
    <w:rsid w:val="00AB4A04"/>
    <w:rsid w:val="00AE1A95"/>
    <w:rsid w:val="00AF1455"/>
    <w:rsid w:val="00AF29C4"/>
    <w:rsid w:val="00B02DAD"/>
    <w:rsid w:val="00B04A10"/>
    <w:rsid w:val="00B0608E"/>
    <w:rsid w:val="00B13878"/>
    <w:rsid w:val="00B177FE"/>
    <w:rsid w:val="00B25ECF"/>
    <w:rsid w:val="00B2616A"/>
    <w:rsid w:val="00B304E5"/>
    <w:rsid w:val="00B35AFA"/>
    <w:rsid w:val="00B36EA9"/>
    <w:rsid w:val="00B41BF6"/>
    <w:rsid w:val="00B47BB1"/>
    <w:rsid w:val="00B5042B"/>
    <w:rsid w:val="00B60016"/>
    <w:rsid w:val="00B75860"/>
    <w:rsid w:val="00B77AAF"/>
    <w:rsid w:val="00B817C4"/>
    <w:rsid w:val="00B93533"/>
    <w:rsid w:val="00B9563F"/>
    <w:rsid w:val="00BA62F3"/>
    <w:rsid w:val="00BB60F0"/>
    <w:rsid w:val="00BE5B71"/>
    <w:rsid w:val="00BF268D"/>
    <w:rsid w:val="00BF5D0A"/>
    <w:rsid w:val="00BF7DB6"/>
    <w:rsid w:val="00C15BD2"/>
    <w:rsid w:val="00C2354A"/>
    <w:rsid w:val="00C246F4"/>
    <w:rsid w:val="00C42BF2"/>
    <w:rsid w:val="00C463EA"/>
    <w:rsid w:val="00C47A7A"/>
    <w:rsid w:val="00C7074B"/>
    <w:rsid w:val="00C77683"/>
    <w:rsid w:val="00C81AB6"/>
    <w:rsid w:val="00C85A0A"/>
    <w:rsid w:val="00C90883"/>
    <w:rsid w:val="00C923D7"/>
    <w:rsid w:val="00CA00CD"/>
    <w:rsid w:val="00CB0D9D"/>
    <w:rsid w:val="00CE3C5D"/>
    <w:rsid w:val="00CF6BF0"/>
    <w:rsid w:val="00CF70AB"/>
    <w:rsid w:val="00D00E3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D2C19"/>
    <w:rsid w:val="00DE0348"/>
    <w:rsid w:val="00DE0D20"/>
    <w:rsid w:val="00DF75D9"/>
    <w:rsid w:val="00E02A57"/>
    <w:rsid w:val="00E1597C"/>
    <w:rsid w:val="00E1798E"/>
    <w:rsid w:val="00E27A11"/>
    <w:rsid w:val="00E511A4"/>
    <w:rsid w:val="00E62D00"/>
    <w:rsid w:val="00E66856"/>
    <w:rsid w:val="00E729CF"/>
    <w:rsid w:val="00E740AC"/>
    <w:rsid w:val="00E82E08"/>
    <w:rsid w:val="00E82F95"/>
    <w:rsid w:val="00E954F7"/>
    <w:rsid w:val="00EA350D"/>
    <w:rsid w:val="00ED0CB1"/>
    <w:rsid w:val="00ED254E"/>
    <w:rsid w:val="00ED3849"/>
    <w:rsid w:val="00EE0122"/>
    <w:rsid w:val="00EE5B6E"/>
    <w:rsid w:val="00EF1FC1"/>
    <w:rsid w:val="00EF23B2"/>
    <w:rsid w:val="00EF463A"/>
    <w:rsid w:val="00EF4E34"/>
    <w:rsid w:val="00EF6BF9"/>
    <w:rsid w:val="00F00996"/>
    <w:rsid w:val="00F0122F"/>
    <w:rsid w:val="00F119AF"/>
    <w:rsid w:val="00F15E7D"/>
    <w:rsid w:val="00F16B26"/>
    <w:rsid w:val="00F24B17"/>
    <w:rsid w:val="00F258FB"/>
    <w:rsid w:val="00F30A91"/>
    <w:rsid w:val="00F45577"/>
    <w:rsid w:val="00F532ED"/>
    <w:rsid w:val="00F66889"/>
    <w:rsid w:val="00F75F90"/>
    <w:rsid w:val="00F9638B"/>
    <w:rsid w:val="00FA18C9"/>
    <w:rsid w:val="00FA43BB"/>
    <w:rsid w:val="00FA494D"/>
    <w:rsid w:val="00FB1035"/>
    <w:rsid w:val="00FB12E3"/>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183ED9"/>
    <w:rPr>
      <w:color w:val="605E5C"/>
      <w:shd w:val="clear" w:color="auto" w:fill="E1DFDD"/>
    </w:rPr>
  </w:style>
  <w:style w:type="paragraph" w:styleId="Revisio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E954F7"/>
    <w:rPr>
      <w:color w:val="954F72" w:themeColor="followedHyperlink"/>
      <w:u w:val="single"/>
    </w:rPr>
  </w:style>
  <w:style w:type="paragraph" w:styleId="NormalWeb">
    <w:name w:val="Normal (Web)"/>
    <w:basedOn w:val="Normal"/>
    <w:uiPriority w:val="99"/>
    <w:semiHidden/>
    <w:unhideWhenUsed/>
    <w:rsid w:val="003A2E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05512">
      <w:bodyDiv w:val="1"/>
      <w:marLeft w:val="0"/>
      <w:marRight w:val="0"/>
      <w:marTop w:val="0"/>
      <w:marBottom w:val="0"/>
      <w:divBdr>
        <w:top w:val="none" w:sz="0" w:space="0" w:color="auto"/>
        <w:left w:val="none" w:sz="0" w:space="0" w:color="auto"/>
        <w:bottom w:val="none" w:sz="0" w:space="0" w:color="auto"/>
        <w:right w:val="none" w:sz="0" w:space="0" w:color="auto"/>
      </w:divBdr>
    </w:div>
    <w:div w:id="287011707">
      <w:bodyDiv w:val="1"/>
      <w:marLeft w:val="0"/>
      <w:marRight w:val="0"/>
      <w:marTop w:val="0"/>
      <w:marBottom w:val="0"/>
      <w:divBdr>
        <w:top w:val="none" w:sz="0" w:space="0" w:color="auto"/>
        <w:left w:val="none" w:sz="0" w:space="0" w:color="auto"/>
        <w:bottom w:val="none" w:sz="0" w:space="0" w:color="auto"/>
        <w:right w:val="none" w:sz="0" w:space="0" w:color="auto"/>
      </w:divBdr>
    </w:div>
    <w:div w:id="845899210">
      <w:bodyDiv w:val="1"/>
      <w:marLeft w:val="0"/>
      <w:marRight w:val="0"/>
      <w:marTop w:val="0"/>
      <w:marBottom w:val="0"/>
      <w:divBdr>
        <w:top w:val="none" w:sz="0" w:space="0" w:color="auto"/>
        <w:left w:val="none" w:sz="0" w:space="0" w:color="auto"/>
        <w:bottom w:val="none" w:sz="0" w:space="0" w:color="auto"/>
        <w:right w:val="none" w:sz="0" w:space="0" w:color="auto"/>
      </w:divBdr>
    </w:div>
    <w:div w:id="1487621613">
      <w:bodyDiv w:val="1"/>
      <w:marLeft w:val="0"/>
      <w:marRight w:val="0"/>
      <w:marTop w:val="0"/>
      <w:marBottom w:val="0"/>
      <w:divBdr>
        <w:top w:val="none" w:sz="0" w:space="0" w:color="auto"/>
        <w:left w:val="none" w:sz="0" w:space="0" w:color="auto"/>
        <w:bottom w:val="none" w:sz="0" w:space="0" w:color="auto"/>
        <w:right w:val="none" w:sz="0" w:space="0" w:color="auto"/>
      </w:divBdr>
    </w:div>
    <w:div w:id="1555040782">
      <w:bodyDiv w:val="1"/>
      <w:marLeft w:val="0"/>
      <w:marRight w:val="0"/>
      <w:marTop w:val="0"/>
      <w:marBottom w:val="0"/>
      <w:divBdr>
        <w:top w:val="none" w:sz="0" w:space="0" w:color="auto"/>
        <w:left w:val="none" w:sz="0" w:space="0" w:color="auto"/>
        <w:bottom w:val="none" w:sz="0" w:space="0" w:color="auto"/>
        <w:right w:val="none" w:sz="0" w:space="0" w:color="auto"/>
      </w:divBdr>
    </w:div>
    <w:div w:id="1561017545">
      <w:bodyDiv w:val="1"/>
      <w:marLeft w:val="0"/>
      <w:marRight w:val="0"/>
      <w:marTop w:val="0"/>
      <w:marBottom w:val="0"/>
      <w:divBdr>
        <w:top w:val="none" w:sz="0" w:space="0" w:color="auto"/>
        <w:left w:val="none" w:sz="0" w:space="0" w:color="auto"/>
        <w:bottom w:val="none" w:sz="0" w:space="0" w:color="auto"/>
        <w:right w:val="none" w:sz="0" w:space="0" w:color="auto"/>
      </w:divBdr>
    </w:div>
    <w:div w:id="1635910792">
      <w:bodyDiv w:val="1"/>
      <w:marLeft w:val="0"/>
      <w:marRight w:val="0"/>
      <w:marTop w:val="0"/>
      <w:marBottom w:val="0"/>
      <w:divBdr>
        <w:top w:val="none" w:sz="0" w:space="0" w:color="auto"/>
        <w:left w:val="none" w:sz="0" w:space="0" w:color="auto"/>
        <w:bottom w:val="none" w:sz="0" w:space="0" w:color="auto"/>
        <w:right w:val="none" w:sz="0" w:space="0" w:color="auto"/>
      </w:divBdr>
    </w:div>
    <w:div w:id="1807163147">
      <w:bodyDiv w:val="1"/>
      <w:marLeft w:val="0"/>
      <w:marRight w:val="0"/>
      <w:marTop w:val="0"/>
      <w:marBottom w:val="0"/>
      <w:divBdr>
        <w:top w:val="none" w:sz="0" w:space="0" w:color="auto"/>
        <w:left w:val="none" w:sz="0" w:space="0" w:color="auto"/>
        <w:bottom w:val="none" w:sz="0" w:space="0" w:color="auto"/>
        <w:right w:val="none" w:sz="0" w:space="0" w:color="auto"/>
      </w:divBdr>
    </w:div>
    <w:div w:id="1913615394">
      <w:bodyDiv w:val="1"/>
      <w:marLeft w:val="0"/>
      <w:marRight w:val="0"/>
      <w:marTop w:val="0"/>
      <w:marBottom w:val="0"/>
      <w:divBdr>
        <w:top w:val="none" w:sz="0" w:space="0" w:color="auto"/>
        <w:left w:val="none" w:sz="0" w:space="0" w:color="auto"/>
        <w:bottom w:val="none" w:sz="0" w:space="0" w:color="auto"/>
        <w:right w:val="none" w:sz="0" w:space="0" w:color="auto"/>
      </w:divBdr>
    </w:div>
    <w:div w:id="2009553254">
      <w:bodyDiv w:val="1"/>
      <w:marLeft w:val="0"/>
      <w:marRight w:val="0"/>
      <w:marTop w:val="0"/>
      <w:marBottom w:val="0"/>
      <w:divBdr>
        <w:top w:val="none" w:sz="0" w:space="0" w:color="auto"/>
        <w:left w:val="none" w:sz="0" w:space="0" w:color="auto"/>
        <w:bottom w:val="none" w:sz="0" w:space="0" w:color="auto"/>
        <w:right w:val="none" w:sz="0" w:space="0" w:color="auto"/>
      </w:divBdr>
    </w:div>
    <w:div w:id="2011248496">
      <w:bodyDiv w:val="1"/>
      <w:marLeft w:val="0"/>
      <w:marRight w:val="0"/>
      <w:marTop w:val="0"/>
      <w:marBottom w:val="0"/>
      <w:divBdr>
        <w:top w:val="none" w:sz="0" w:space="0" w:color="auto"/>
        <w:left w:val="none" w:sz="0" w:space="0" w:color="auto"/>
        <w:bottom w:val="none" w:sz="0" w:space="0" w:color="auto"/>
        <w:right w:val="none" w:sz="0" w:space="0" w:color="auto"/>
      </w:divBdr>
    </w:div>
    <w:div w:id="20305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0-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4-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8-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1-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4/cop-14-dec-33-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fr.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file:///C:\Users\mmyard\Downloads\n%20particulier%20le%20plan%20d'action%20pour%20le%20renforcement%20des%20capacit&#233;s%20dans%20le%20cadre%20du%20Protocole%20de%20Cartagena%20sur%20la%20pr&#233;vention%20des%20risques%20biotechnologiques%20(d&#233;cision%20CP-10\4,%20annexe)" TargetMode="External"/><Relationship Id="rId1" Type="http://schemas.openxmlformats.org/officeDocument/2006/relationships/hyperlink" Target="https://www.cbd.int/doc/decisions/cop-15/cop-15-dec-08-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2D1F36"/>
    <w:rsid w:val="00303F0B"/>
    <w:rsid w:val="00306F32"/>
    <w:rsid w:val="00445E2A"/>
    <w:rsid w:val="00497800"/>
    <w:rsid w:val="00593A97"/>
    <w:rsid w:val="006749B8"/>
    <w:rsid w:val="006C1F96"/>
    <w:rsid w:val="00764DF4"/>
    <w:rsid w:val="00811444"/>
    <w:rsid w:val="00932F3A"/>
    <w:rsid w:val="0093537D"/>
    <w:rsid w:val="009F2684"/>
    <w:rsid w:val="00AE3726"/>
    <w:rsid w:val="00B41BF6"/>
    <w:rsid w:val="00B77AAF"/>
    <w:rsid w:val="00DC2FB7"/>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B7A0406-FDD7-449C-B239-C63CF4EC6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5</Pages>
  <Words>1931</Words>
  <Characters>11013</Characters>
  <Application>Microsoft Office Word</Application>
  <DocSecurity>0</DocSecurity>
  <Lines>91</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vt:lpstr>
      <vt:lpstr>Title of the document</vt:lpstr>
    </vt:vector>
  </TitlesOfParts>
  <Company/>
  <LinksUpToDate>false</LinksUpToDate>
  <CharactersWithSpaces>12919</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CBD/COP/16/WG.II/CRP.12</dc:subject>
  <dc:creator>Secretariat of the Convention on Biological Diversity</dc:creator>
  <cp:keywords>Conference of the Parties to the Convention on Biological Diversity</cp:keywords>
  <dc:description/>
  <cp:lastModifiedBy>Mariko Nishi</cp:lastModifiedBy>
  <cp:revision>3</cp:revision>
  <cp:lastPrinted>2024-10-31T00:23:00Z</cp:lastPrinted>
  <dcterms:created xsi:type="dcterms:W3CDTF">2024-10-31T15:14:00Z</dcterms:created>
  <dcterms:modified xsi:type="dcterms:W3CDTF">2024-10-31T15:21:00Z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