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998"/>
        <w:gridCol w:w="3933"/>
        <w:gridCol w:w="5802"/>
      </w:tblGrid>
      <w:tr w:rsidR="00A96B21" w:rsidRPr="00FA48F1">
        <w:trPr>
          <w:trHeight w:val="851"/>
        </w:trPr>
        <w:tc>
          <w:tcPr>
            <w:tcW w:w="465" w:type="pct"/>
            <w:tcBorders>
              <w:bottom w:val="single" w:sz="8" w:space="0" w:color="auto"/>
            </w:tcBorders>
            <w:vAlign w:val="bottom"/>
          </w:tcPr>
          <w:p w:rsidR="00A96B21" w:rsidRPr="00FA48F1" w:rsidRDefault="00A96B21">
            <w:pPr>
              <w:spacing w:after="120"/>
              <w:jc w:val="left"/>
              <w:rPr>
                <w:lang w:val="fr-CA"/>
              </w:rPr>
            </w:pPr>
            <w:bookmarkStart w:id="0" w:name="_Hlk137651738"/>
            <w:r w:rsidRPr="00FA48F1">
              <w:rPr>
                <w:noProof/>
                <w:lang w:val="fr-CA" w:eastAsia="fr-CA"/>
              </w:rPr>
              <w:drawing>
                <wp:inline distT="0" distB="0" distL="0" distR="0">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rsidR="00A96B21" w:rsidRPr="00FA48F1" w:rsidRDefault="00F60FE3">
            <w:pPr>
              <w:spacing w:after="120"/>
              <w:jc w:val="left"/>
              <w:rPr>
                <w:lang w:val="fr-CA"/>
              </w:rPr>
            </w:pPr>
            <w:r w:rsidRPr="00FA48F1">
              <w:rPr>
                <w:noProof/>
                <w:lang w:val="fr-CA" w:eastAsia="fr-CA"/>
              </w:rPr>
              <w:drawing>
                <wp:inline distT="0" distB="0" distL="0" distR="0">
                  <wp:extent cx="593725" cy="340995"/>
                  <wp:effectExtent l="0" t="0" r="0" b="190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p>
        </w:tc>
        <w:tc>
          <w:tcPr>
            <w:tcW w:w="2703" w:type="pct"/>
            <w:tcBorders>
              <w:bottom w:val="single" w:sz="8" w:space="0" w:color="auto"/>
            </w:tcBorders>
            <w:vAlign w:val="bottom"/>
          </w:tcPr>
          <w:p w:rsidR="00A96B21" w:rsidRPr="00FA48F1" w:rsidRDefault="00A96B21" w:rsidP="00184909">
            <w:pPr>
              <w:spacing w:after="120"/>
              <w:ind w:left="2021"/>
              <w:jc w:val="right"/>
              <w:rPr>
                <w:szCs w:val="22"/>
                <w:lang w:val="fr-CA"/>
              </w:rPr>
            </w:pPr>
            <w:r w:rsidRPr="00FA48F1">
              <w:rPr>
                <w:sz w:val="40"/>
                <w:szCs w:val="40"/>
                <w:lang w:val="fr-CA"/>
              </w:rPr>
              <w:t>CBD</w:t>
            </w:r>
            <w:r w:rsidRPr="00FA48F1">
              <w:rPr>
                <w:szCs w:val="22"/>
                <w:lang w:val="fr-CA"/>
              </w:rPr>
              <w:t>/</w:t>
            </w:r>
            <w:r w:rsidR="00976042" w:rsidRPr="00FA48F1">
              <w:rPr>
                <w:szCs w:val="22"/>
                <w:lang w:val="fr-CA"/>
              </w:rPr>
              <w:t>NP/MOP</w:t>
            </w:r>
            <w:r w:rsidR="00153341" w:rsidRPr="00FA48F1">
              <w:rPr>
                <w:szCs w:val="22"/>
                <w:lang w:val="fr-CA"/>
              </w:rPr>
              <w:t>/5/</w:t>
            </w:r>
            <w:r w:rsidR="007A66C5" w:rsidRPr="00FA48F1">
              <w:rPr>
                <w:szCs w:val="22"/>
                <w:lang w:val="fr-CA"/>
              </w:rPr>
              <w:t>8</w:t>
            </w:r>
          </w:p>
        </w:tc>
      </w:tr>
      <w:tr w:rsidR="00A96B21" w:rsidRPr="00FA48F1">
        <w:tc>
          <w:tcPr>
            <w:tcW w:w="2297" w:type="pct"/>
            <w:gridSpan w:val="2"/>
            <w:tcBorders>
              <w:top w:val="single" w:sz="8" w:space="0" w:color="auto"/>
              <w:bottom w:val="single" w:sz="12" w:space="0" w:color="auto"/>
            </w:tcBorders>
          </w:tcPr>
          <w:p w:rsidR="00A96B21" w:rsidRPr="00FA48F1" w:rsidRDefault="00F60FE3" w:rsidP="00976042">
            <w:pPr>
              <w:pStyle w:val="Cornernotation"/>
              <w:rPr>
                <w:lang w:val="fr-CA"/>
              </w:rPr>
            </w:pPr>
            <w:r w:rsidRPr="00FA48F1">
              <w:rPr>
                <w:noProof/>
                <w:lang w:val="fr-CA" w:eastAsia="fr-CA"/>
              </w:rPr>
              <w:drawing>
                <wp:inline distT="0" distB="0" distL="0" distR="0">
                  <wp:extent cx="2857500" cy="1076325"/>
                  <wp:effectExtent l="0" t="0" r="0" b="9525"/>
                  <wp:docPr id="5"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fr-CMYK-black [Converted]"/>
                          <pic:cNvPicPr>
                            <a:picLocks noChangeAspect="1" noChangeArrowheads="1"/>
                          </pic:cNvPicPr>
                        </pic:nvPicPr>
                        <pic:blipFill>
                          <a:blip r:embed="rId1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rsidR="00A96B21" w:rsidRPr="00FA48F1" w:rsidRDefault="00F60FE3" w:rsidP="003C6F10">
            <w:pPr>
              <w:ind w:left="2584"/>
              <w:rPr>
                <w:noProof/>
                <w:sz w:val="22"/>
                <w:szCs w:val="22"/>
                <w:lang w:val="fr-CA"/>
              </w:rPr>
            </w:pPr>
            <w:r w:rsidRPr="00FA48F1">
              <w:rPr>
                <w:noProof/>
                <w:sz w:val="22"/>
                <w:szCs w:val="22"/>
                <w:lang w:val="fr-CA"/>
              </w:rPr>
              <w:t>Distr. : générale</w:t>
            </w:r>
          </w:p>
          <w:p w:rsidR="00A96B21" w:rsidRPr="00FA48F1" w:rsidRDefault="001F0A04" w:rsidP="003C6F10">
            <w:pPr>
              <w:ind w:left="2584"/>
              <w:rPr>
                <w:sz w:val="22"/>
                <w:szCs w:val="22"/>
                <w:lang w:val="fr-CA"/>
              </w:rPr>
            </w:pPr>
            <w:r w:rsidRPr="00FA48F1">
              <w:rPr>
                <w:sz w:val="22"/>
                <w:szCs w:val="22"/>
                <w:lang w:val="fr-CA"/>
              </w:rPr>
              <w:t>9</w:t>
            </w:r>
            <w:r w:rsidR="00F60FE3" w:rsidRPr="00FA48F1">
              <w:rPr>
                <w:sz w:val="22"/>
                <w:szCs w:val="22"/>
                <w:lang w:val="fr-CA"/>
              </w:rPr>
              <w:t> septembre </w:t>
            </w:r>
            <w:r w:rsidR="00A96B21" w:rsidRPr="00FA48F1">
              <w:rPr>
                <w:sz w:val="22"/>
                <w:szCs w:val="22"/>
                <w:lang w:val="fr-CA"/>
              </w:rPr>
              <w:t>202</w:t>
            </w:r>
            <w:r w:rsidR="00153341" w:rsidRPr="00FA48F1">
              <w:rPr>
                <w:sz w:val="22"/>
                <w:szCs w:val="22"/>
                <w:lang w:val="fr-CA"/>
              </w:rPr>
              <w:t>4</w:t>
            </w:r>
          </w:p>
          <w:p w:rsidR="00A96B21" w:rsidRPr="00FA48F1" w:rsidRDefault="00A96B21" w:rsidP="003C6F10">
            <w:pPr>
              <w:ind w:left="2584"/>
              <w:rPr>
                <w:sz w:val="22"/>
                <w:szCs w:val="22"/>
                <w:lang w:val="fr-CA"/>
              </w:rPr>
            </w:pPr>
          </w:p>
          <w:p w:rsidR="00F60FE3" w:rsidRPr="00FA48F1" w:rsidRDefault="00F60FE3" w:rsidP="00F60FE3">
            <w:pPr>
              <w:ind w:left="2584"/>
              <w:rPr>
                <w:sz w:val="22"/>
                <w:szCs w:val="22"/>
                <w:lang w:val="fr-CA"/>
              </w:rPr>
            </w:pPr>
            <w:r w:rsidRPr="00FA48F1">
              <w:rPr>
                <w:sz w:val="22"/>
                <w:szCs w:val="22"/>
                <w:lang w:val="fr-CA"/>
              </w:rPr>
              <w:t>Français</w:t>
            </w:r>
          </w:p>
          <w:p w:rsidR="00A96B21" w:rsidRPr="00FA48F1" w:rsidRDefault="00F60FE3" w:rsidP="00F60FE3">
            <w:pPr>
              <w:ind w:left="2584"/>
              <w:rPr>
                <w:sz w:val="22"/>
                <w:szCs w:val="22"/>
                <w:lang w:val="fr-CA"/>
              </w:rPr>
            </w:pPr>
            <w:r w:rsidRPr="00FA48F1">
              <w:rPr>
                <w:sz w:val="22"/>
                <w:szCs w:val="22"/>
                <w:lang w:val="fr-CA"/>
              </w:rPr>
              <w:t>Original : anglais</w:t>
            </w:r>
          </w:p>
          <w:p w:rsidR="00A96B21" w:rsidRPr="00FA48F1" w:rsidRDefault="00A96B21">
            <w:pPr>
              <w:rPr>
                <w:lang w:val="fr-CA"/>
              </w:rPr>
            </w:pPr>
          </w:p>
        </w:tc>
      </w:tr>
    </w:tbl>
    <w:p w:rsidR="00FB6456" w:rsidRPr="00FA48F1" w:rsidRDefault="00FB6456" w:rsidP="00FB6456">
      <w:pPr>
        <w:pStyle w:val="AFCorNot12Bold"/>
        <w:tabs>
          <w:tab w:val="left" w:pos="4820"/>
        </w:tabs>
        <w:rPr>
          <w:lang w:val="fr-CA"/>
        </w:rPr>
      </w:pPr>
      <w:r w:rsidRPr="00FA48F1">
        <w:rPr>
          <w:lang w:val="fr-CA"/>
        </w:rPr>
        <w:t xml:space="preserve">Conférence des Parties à la Convention </w:t>
      </w:r>
      <w:r w:rsidRPr="00FA48F1">
        <w:rPr>
          <w:lang w:val="fr-CA"/>
        </w:rPr>
        <w:br/>
        <w:t xml:space="preserve">sur la diversité biologique siégeant en tant que </w:t>
      </w:r>
    </w:p>
    <w:p w:rsidR="00FB6456" w:rsidRPr="00FA48F1" w:rsidRDefault="00FB6456" w:rsidP="00FB6456">
      <w:pPr>
        <w:pStyle w:val="AFCorNot12Bold"/>
        <w:tabs>
          <w:tab w:val="left" w:pos="4820"/>
        </w:tabs>
        <w:rPr>
          <w:lang w:val="fr-CA"/>
        </w:rPr>
      </w:pPr>
      <w:r w:rsidRPr="00FA48F1">
        <w:rPr>
          <w:lang w:val="fr-CA"/>
        </w:rPr>
        <w:t xml:space="preserve">réunion des Parties au Protocole de Nagoya sur </w:t>
      </w:r>
    </w:p>
    <w:p w:rsidR="00FB6456" w:rsidRPr="00FA48F1" w:rsidRDefault="00FB6456" w:rsidP="00FB6456">
      <w:pPr>
        <w:pStyle w:val="AFCorNot12Bold"/>
        <w:tabs>
          <w:tab w:val="left" w:pos="4820"/>
        </w:tabs>
        <w:rPr>
          <w:lang w:val="fr-CA"/>
        </w:rPr>
      </w:pPr>
      <w:r w:rsidRPr="00FA48F1">
        <w:rPr>
          <w:lang w:val="fr-CA"/>
        </w:rPr>
        <w:t>l</w:t>
      </w:r>
      <w:r w:rsidR="00003783">
        <w:rPr>
          <w:lang w:val="fr-CA"/>
        </w:rPr>
        <w:t>’</w:t>
      </w:r>
      <w:r w:rsidRPr="00FA48F1">
        <w:rPr>
          <w:lang w:val="fr-CA"/>
        </w:rPr>
        <w:t xml:space="preserve">accès aux ressources génétiques et le partage </w:t>
      </w:r>
    </w:p>
    <w:p w:rsidR="00FB6456" w:rsidRPr="00FA48F1" w:rsidRDefault="00FB6456" w:rsidP="00FB6456">
      <w:pPr>
        <w:pStyle w:val="AFCorNot12Bold"/>
        <w:tabs>
          <w:tab w:val="left" w:pos="4678"/>
        </w:tabs>
        <w:rPr>
          <w:lang w:val="fr-CA"/>
        </w:rPr>
      </w:pPr>
      <w:r w:rsidRPr="00FA48F1">
        <w:rPr>
          <w:lang w:val="fr-CA"/>
        </w:rPr>
        <w:t xml:space="preserve">juste et équitable des avantages découlant de </w:t>
      </w:r>
    </w:p>
    <w:p w:rsidR="00874541" w:rsidRPr="00FA48F1" w:rsidRDefault="00FB6456" w:rsidP="00FB6456">
      <w:pPr>
        <w:pStyle w:val="Cornernotation"/>
        <w:rPr>
          <w:lang w:val="fr-CA"/>
        </w:rPr>
      </w:pPr>
      <w:r w:rsidRPr="00FA48F1">
        <w:rPr>
          <w:lang w:val="fr-CA"/>
        </w:rPr>
        <w:t>leur utilisation</w:t>
      </w:r>
    </w:p>
    <w:p w:rsidR="00FB6456" w:rsidRPr="00FA48F1" w:rsidRDefault="00FB6456" w:rsidP="00FB6456">
      <w:pPr>
        <w:pStyle w:val="Cornernotation"/>
        <w:rPr>
          <w:bCs w:val="0"/>
          <w:sz w:val="22"/>
          <w:lang w:val="fr-CA"/>
        </w:rPr>
      </w:pPr>
      <w:r w:rsidRPr="00FA48F1">
        <w:rPr>
          <w:sz w:val="22"/>
          <w:lang w:val="fr-CA"/>
        </w:rPr>
        <w:t xml:space="preserve">Cinquième réunion </w:t>
      </w:r>
    </w:p>
    <w:p w:rsidR="00A96B21" w:rsidRPr="00FA48F1" w:rsidRDefault="00FB6456" w:rsidP="00FB6456">
      <w:pPr>
        <w:pStyle w:val="Venuedate"/>
        <w:rPr>
          <w:lang w:val="fr-CA"/>
        </w:rPr>
      </w:pPr>
      <w:r w:rsidRPr="00FA48F1">
        <w:rPr>
          <w:lang w:val="fr-CA"/>
        </w:rPr>
        <w:t>Cali (Colombie), 21 octobre–1</w:t>
      </w:r>
      <w:r w:rsidRPr="00FA48F1">
        <w:rPr>
          <w:vertAlign w:val="superscript"/>
          <w:lang w:val="fr-CA"/>
        </w:rPr>
        <w:t>er</w:t>
      </w:r>
      <w:r w:rsidRPr="00FA48F1">
        <w:rPr>
          <w:lang w:val="fr-CA"/>
        </w:rPr>
        <w:t> novembre 2024</w:t>
      </w:r>
    </w:p>
    <w:p w:rsidR="00A96B21" w:rsidRPr="00FA48F1" w:rsidRDefault="00FB6456" w:rsidP="00976042">
      <w:pPr>
        <w:pStyle w:val="Cornernotation-Item"/>
        <w:rPr>
          <w:bCs/>
          <w:lang w:val="fr-CA"/>
        </w:rPr>
      </w:pPr>
      <w:r w:rsidRPr="00FA48F1">
        <w:rPr>
          <w:lang w:val="fr-CA"/>
        </w:rPr>
        <w:t>Point </w:t>
      </w:r>
      <w:r w:rsidR="00D16DEB" w:rsidRPr="00FA48F1">
        <w:rPr>
          <w:lang w:val="fr-CA"/>
        </w:rPr>
        <w:t>11</w:t>
      </w:r>
      <w:r w:rsidRPr="00FA48F1">
        <w:rPr>
          <w:lang w:val="fr-CA"/>
        </w:rPr>
        <w:t xml:space="preserve"> de l</w:t>
      </w:r>
      <w:r w:rsidR="00003783">
        <w:rPr>
          <w:lang w:val="fr-CA"/>
        </w:rPr>
        <w:t>’</w:t>
      </w:r>
      <w:r w:rsidRPr="00FA48F1">
        <w:rPr>
          <w:lang w:val="fr-CA"/>
        </w:rPr>
        <w:t>ordre du jour provisoire</w:t>
      </w:r>
      <w:r w:rsidRPr="00FA48F1">
        <w:rPr>
          <w:rStyle w:val="FootnoteReference"/>
          <w:b w:val="0"/>
          <w:lang w:val="fr-CA"/>
        </w:rPr>
        <w:t xml:space="preserve"> </w:t>
      </w:r>
      <w:r w:rsidR="00A96B21" w:rsidRPr="00FA48F1">
        <w:rPr>
          <w:rStyle w:val="FootnoteReference"/>
          <w:b w:val="0"/>
          <w:lang w:val="fr-CA"/>
        </w:rPr>
        <w:footnoteReference w:customMarkFollows="1" w:id="2"/>
        <w:t>*</w:t>
      </w:r>
    </w:p>
    <w:p w:rsidR="00A96B21" w:rsidRPr="00FA48F1" w:rsidRDefault="00FB6456" w:rsidP="00976042">
      <w:pPr>
        <w:pStyle w:val="Cornernotation-Item"/>
        <w:rPr>
          <w:lang w:val="fr-CA"/>
        </w:rPr>
      </w:pPr>
      <w:r w:rsidRPr="00FA48F1">
        <w:rPr>
          <w:lang w:val="fr-CA"/>
        </w:rPr>
        <w:t xml:space="preserve">Coopération avec des organisations internationales, </w:t>
      </w:r>
      <w:r w:rsidRPr="00FA48F1">
        <w:rPr>
          <w:kern w:val="22"/>
          <w:lang w:val="fr-CA"/>
        </w:rPr>
        <w:t>des organismes créés en vertu d</w:t>
      </w:r>
      <w:r w:rsidR="00003783">
        <w:rPr>
          <w:kern w:val="22"/>
          <w:lang w:val="fr-CA"/>
        </w:rPr>
        <w:t>’</w:t>
      </w:r>
      <w:r w:rsidRPr="00FA48F1">
        <w:rPr>
          <w:kern w:val="22"/>
          <w:lang w:val="fr-CA"/>
        </w:rPr>
        <w:t xml:space="preserve">autres conventions, et des </w:t>
      </w:r>
      <w:r w:rsidRPr="00FA48F1">
        <w:rPr>
          <w:lang w:val="fr-CA"/>
        </w:rPr>
        <w:t>initiatives</w:t>
      </w:r>
    </w:p>
    <w:bookmarkEnd w:id="0"/>
    <w:p w:rsidR="00A96B21" w:rsidRPr="00FA48F1" w:rsidRDefault="00FB6456" w:rsidP="00841F85">
      <w:pPr>
        <w:pStyle w:val="CBDTitle"/>
        <w:rPr>
          <w:lang w:val="fr-CA"/>
        </w:rPr>
      </w:pPr>
      <w:r w:rsidRPr="00FA48F1">
        <w:rPr>
          <w:lang w:val="fr-CA"/>
        </w:rPr>
        <w:t xml:space="preserve">Coopération avec des organisations internationales, </w:t>
      </w:r>
      <w:r w:rsidRPr="00FA48F1">
        <w:rPr>
          <w:kern w:val="22"/>
          <w:lang w:val="fr-CA"/>
        </w:rPr>
        <w:t>des organismes créés en vertu d</w:t>
      </w:r>
      <w:r w:rsidR="00003783">
        <w:rPr>
          <w:kern w:val="22"/>
          <w:lang w:val="fr-CA"/>
        </w:rPr>
        <w:t>’</w:t>
      </w:r>
      <w:r w:rsidRPr="00FA48F1">
        <w:rPr>
          <w:kern w:val="22"/>
          <w:lang w:val="fr-CA"/>
        </w:rPr>
        <w:t xml:space="preserve">autres conventions, et des </w:t>
      </w:r>
      <w:r w:rsidRPr="00FA48F1">
        <w:rPr>
          <w:lang w:val="fr-CA"/>
        </w:rPr>
        <w:t>initiatives</w:t>
      </w:r>
    </w:p>
    <w:p w:rsidR="00A96B21" w:rsidRPr="00FA48F1" w:rsidRDefault="00A96B21" w:rsidP="00596285">
      <w:pPr>
        <w:pStyle w:val="CBDSubTitle"/>
        <w:rPr>
          <w:lang w:val="fr-CA"/>
        </w:rPr>
      </w:pPr>
      <w:r w:rsidRPr="00FA48F1">
        <w:rPr>
          <w:lang w:val="fr-CA"/>
        </w:rPr>
        <w:t xml:space="preserve">Note </w:t>
      </w:r>
      <w:r w:rsidR="00FB6456" w:rsidRPr="00FA48F1">
        <w:rPr>
          <w:lang w:val="fr-CA"/>
        </w:rPr>
        <w:t>du Secré</w:t>
      </w:r>
      <w:r w:rsidRPr="00FA48F1">
        <w:rPr>
          <w:lang w:val="fr-CA"/>
        </w:rPr>
        <w:t>tariat</w:t>
      </w:r>
    </w:p>
    <w:p w:rsidR="00FA18C9" w:rsidRPr="00FA48F1" w:rsidRDefault="00596285" w:rsidP="00596285">
      <w:pPr>
        <w:pStyle w:val="CBDH1"/>
        <w:rPr>
          <w:lang w:val="fr-CA"/>
        </w:rPr>
      </w:pPr>
      <w:r w:rsidRPr="00FA48F1">
        <w:rPr>
          <w:lang w:val="fr-CA"/>
        </w:rPr>
        <w:t>I.</w:t>
      </w:r>
      <w:r w:rsidRPr="00FA48F1">
        <w:rPr>
          <w:lang w:val="fr-CA"/>
        </w:rPr>
        <w:tab/>
      </w:r>
      <w:r w:rsidR="008028F3" w:rsidRPr="00FA48F1">
        <w:rPr>
          <w:lang w:val="fr-CA"/>
        </w:rPr>
        <w:t>Introduction</w:t>
      </w:r>
    </w:p>
    <w:p w:rsidR="00C2354A" w:rsidRPr="00FA48F1" w:rsidRDefault="009B3E9A" w:rsidP="00CF7694">
      <w:pPr>
        <w:pStyle w:val="CBDNormalNumber"/>
        <w:rPr>
          <w:lang w:val="fr-CA"/>
        </w:rPr>
      </w:pPr>
      <w:r w:rsidRPr="00FA48F1">
        <w:rPr>
          <w:rFonts w:eastAsia="Times New Roman"/>
          <w:lang w:val="fr-CA" w:eastAsia="fr-CA"/>
        </w:rPr>
        <w:t>Dans sa décision</w:t>
      </w:r>
      <w:r w:rsidRPr="00FA48F1">
        <w:rPr>
          <w:lang w:val="fr-CA"/>
        </w:rPr>
        <w:t xml:space="preserve"> </w:t>
      </w:r>
      <w:hyperlink r:id="rId14" w:history="1">
        <w:r w:rsidRPr="00FA48F1">
          <w:rPr>
            <w:rStyle w:val="Hyperlink"/>
            <w:rFonts w:eastAsia="Times New Roman"/>
            <w:lang w:val="fr-CA" w:eastAsia="fr-CA"/>
          </w:rPr>
          <w:t>NP</w:t>
        </w:r>
        <w:r w:rsidR="00003783">
          <w:rPr>
            <w:rStyle w:val="Hyperlink"/>
            <w:rFonts w:eastAsia="Times New Roman"/>
            <w:lang w:val="fr-CA" w:eastAsia="fr-CA"/>
          </w:rPr>
          <w:noBreakHyphen/>
        </w:r>
        <w:r w:rsidRPr="00FA48F1">
          <w:rPr>
            <w:rStyle w:val="Hyperlink"/>
            <w:rFonts w:eastAsia="Times New Roman"/>
            <w:lang w:val="fr-CA" w:eastAsia="fr-CA"/>
          </w:rPr>
          <w:t>3/7</w:t>
        </w:r>
      </w:hyperlink>
      <w:r w:rsidRPr="00FA48F1">
        <w:rPr>
          <w:rFonts w:eastAsia="Times New Roman"/>
          <w:lang w:val="fr-CA" w:eastAsia="fr-CA"/>
        </w:rPr>
        <w:t xml:space="preserve"> sur la coopération avec d</w:t>
      </w:r>
      <w:r w:rsidR="00003783">
        <w:rPr>
          <w:rFonts w:eastAsia="Times New Roman"/>
          <w:lang w:val="fr-CA" w:eastAsia="fr-CA"/>
        </w:rPr>
        <w:t>’</w:t>
      </w:r>
      <w:r w:rsidRPr="00FA48F1">
        <w:rPr>
          <w:rFonts w:eastAsia="Times New Roman"/>
          <w:lang w:val="fr-CA" w:eastAsia="fr-CA"/>
        </w:rPr>
        <w:t>autres conventions, organisations internationales et initiatives, la Conférence des Parties siégeant en tant que réunion des Parties au Protocole de Nagoya sur l</w:t>
      </w:r>
      <w:r w:rsidR="00003783">
        <w:rPr>
          <w:rFonts w:eastAsia="Times New Roman"/>
          <w:lang w:val="fr-CA" w:eastAsia="fr-CA"/>
        </w:rPr>
        <w:t>’</w:t>
      </w:r>
      <w:r w:rsidRPr="00FA48F1">
        <w:rPr>
          <w:rFonts w:eastAsia="Times New Roman"/>
          <w:lang w:val="fr-CA" w:eastAsia="fr-CA"/>
        </w:rPr>
        <w:t xml:space="preserve">accès aux ressources génétiques et le partage juste et équitable des avantages découlant de leur utilisation a prié la Secrétaire exécutive </w:t>
      </w:r>
      <w:r w:rsidR="004F6721" w:rsidRPr="00FA48F1">
        <w:rPr>
          <w:lang w:val="fr-CA"/>
        </w:rPr>
        <w:t>de continuer à participer aux processus en cours et aux débats d</w:t>
      </w:r>
      <w:r w:rsidR="00003783">
        <w:rPr>
          <w:lang w:val="fr-CA"/>
        </w:rPr>
        <w:t>’</w:t>
      </w:r>
      <w:r w:rsidR="004F6721" w:rsidRPr="00FA48F1">
        <w:rPr>
          <w:lang w:val="fr-CA"/>
        </w:rPr>
        <w:t>orientation pertinents, et de s</w:t>
      </w:r>
      <w:r w:rsidR="00003783">
        <w:rPr>
          <w:lang w:val="fr-CA"/>
        </w:rPr>
        <w:t>’</w:t>
      </w:r>
      <w:r w:rsidR="004F6721" w:rsidRPr="00FA48F1">
        <w:rPr>
          <w:lang w:val="fr-CA"/>
        </w:rPr>
        <w:t>entretenir avec d</w:t>
      </w:r>
      <w:r w:rsidR="00003783">
        <w:rPr>
          <w:lang w:val="fr-CA"/>
        </w:rPr>
        <w:t>’</w:t>
      </w:r>
      <w:r w:rsidR="004F6721" w:rsidRPr="00FA48F1">
        <w:rPr>
          <w:lang w:val="fr-CA"/>
        </w:rPr>
        <w:t>autres conventions, organisations et initiatives internationales, selon qu</w:t>
      </w:r>
      <w:r w:rsidR="00003783">
        <w:rPr>
          <w:lang w:val="fr-CA"/>
        </w:rPr>
        <w:t>’</w:t>
      </w:r>
      <w:r w:rsidR="004F6721" w:rsidRPr="00FA48F1">
        <w:rPr>
          <w:lang w:val="fr-CA"/>
        </w:rPr>
        <w:t>il convient, afin de fournir et de recueillir des informations sur les discussions en cours qui portent sur l</w:t>
      </w:r>
      <w:r w:rsidR="00003783">
        <w:rPr>
          <w:lang w:val="fr-CA"/>
        </w:rPr>
        <w:t>’</w:t>
      </w:r>
      <w:r w:rsidR="004F6721" w:rsidRPr="00FA48F1">
        <w:rPr>
          <w:lang w:val="fr-CA"/>
        </w:rPr>
        <w:t>accès et le partage des avantages, et en particulier les questions de santé publique (paragraphe. 2).</w:t>
      </w:r>
      <w:r w:rsidRPr="00FA48F1">
        <w:rPr>
          <w:rFonts w:eastAsia="Times New Roman"/>
          <w:lang w:val="fr-CA" w:eastAsia="fr-CA"/>
        </w:rPr>
        <w:t xml:space="preserve"> Cela a été </w:t>
      </w:r>
      <w:r w:rsidR="00FB03D3" w:rsidRPr="00FA48F1">
        <w:rPr>
          <w:rFonts w:eastAsia="Times New Roman"/>
          <w:lang w:val="fr-CA" w:eastAsia="fr-CA"/>
        </w:rPr>
        <w:t xml:space="preserve">complété par la décision </w:t>
      </w:r>
      <w:hyperlink r:id="rId15" w:history="1">
        <w:r w:rsidR="00FB03D3" w:rsidRPr="00FA48F1">
          <w:rPr>
            <w:rStyle w:val="Hyperlink"/>
            <w:rFonts w:eastAsia="Times New Roman"/>
            <w:lang w:val="fr-CA" w:eastAsia="fr-CA"/>
          </w:rPr>
          <w:t>NP</w:t>
        </w:r>
        <w:r w:rsidR="00003783">
          <w:rPr>
            <w:rStyle w:val="Hyperlink"/>
            <w:rFonts w:eastAsia="Times New Roman"/>
            <w:lang w:val="fr-CA" w:eastAsia="fr-CA"/>
          </w:rPr>
          <w:noBreakHyphen/>
        </w:r>
        <w:r w:rsidR="00FB03D3" w:rsidRPr="00FA48F1">
          <w:rPr>
            <w:rStyle w:val="Hyperlink"/>
            <w:rFonts w:eastAsia="Times New Roman"/>
            <w:lang w:val="fr-CA" w:eastAsia="fr-CA"/>
          </w:rPr>
          <w:t>3/14</w:t>
        </w:r>
      </w:hyperlink>
      <w:r w:rsidR="00FB03D3" w:rsidRPr="00FA48F1">
        <w:rPr>
          <w:rFonts w:eastAsia="Times New Roman"/>
          <w:lang w:val="fr-CA" w:eastAsia="fr-CA"/>
        </w:rPr>
        <w:t xml:space="preserve"> </w:t>
      </w:r>
      <w:r w:rsidRPr="00FA48F1">
        <w:rPr>
          <w:rFonts w:eastAsia="Times New Roman"/>
          <w:lang w:val="fr-CA" w:eastAsia="fr-CA"/>
        </w:rPr>
        <w:t xml:space="preserve">, dans laquelle la Conférence des Parties, </w:t>
      </w:r>
      <w:r w:rsidR="00FB03D3" w:rsidRPr="00FA48F1">
        <w:rPr>
          <w:rFonts w:eastAsia="Times New Roman"/>
          <w:lang w:val="fr-CA" w:eastAsia="fr-CA"/>
        </w:rPr>
        <w:t>siégeant</w:t>
      </w:r>
      <w:r w:rsidRPr="00FA48F1">
        <w:rPr>
          <w:rFonts w:eastAsia="Times New Roman"/>
          <w:lang w:val="fr-CA" w:eastAsia="fr-CA"/>
        </w:rPr>
        <w:t xml:space="preserve"> en tant que r</w:t>
      </w:r>
      <w:r w:rsidR="00FB03D3" w:rsidRPr="00FA48F1">
        <w:rPr>
          <w:rFonts w:eastAsia="Times New Roman"/>
          <w:lang w:val="fr-CA" w:eastAsia="fr-CA"/>
        </w:rPr>
        <w:t>éunion des Parties au Protocole</w:t>
      </w:r>
      <w:r w:rsidRPr="00FA48F1">
        <w:rPr>
          <w:rFonts w:eastAsia="Times New Roman"/>
          <w:lang w:val="fr-CA" w:eastAsia="fr-CA"/>
        </w:rPr>
        <w:t xml:space="preserve"> a décidé </w:t>
      </w:r>
      <w:r w:rsidR="004F6721" w:rsidRPr="00FA48F1">
        <w:rPr>
          <w:kern w:val="22"/>
          <w:lang w:val="fr-CA"/>
        </w:rPr>
        <w:t>d</w:t>
      </w:r>
      <w:r w:rsidR="00003783">
        <w:rPr>
          <w:kern w:val="22"/>
          <w:lang w:val="fr-CA"/>
        </w:rPr>
        <w:t>’</w:t>
      </w:r>
      <w:r w:rsidR="004F6721" w:rsidRPr="00FA48F1">
        <w:rPr>
          <w:kern w:val="22"/>
          <w:lang w:val="fr-CA"/>
        </w:rPr>
        <w:t>inscrire à l</w:t>
      </w:r>
      <w:r w:rsidR="00003783">
        <w:rPr>
          <w:kern w:val="22"/>
          <w:lang w:val="fr-CA"/>
        </w:rPr>
        <w:t>’</w:t>
      </w:r>
      <w:r w:rsidR="004F6721" w:rsidRPr="00FA48F1">
        <w:rPr>
          <w:kern w:val="22"/>
          <w:lang w:val="fr-CA"/>
        </w:rPr>
        <w:t>ordre du jour de ses futures réunions un point permanent sur la coopération avec d</w:t>
      </w:r>
      <w:r w:rsidR="00003783">
        <w:rPr>
          <w:kern w:val="22"/>
          <w:lang w:val="fr-CA"/>
        </w:rPr>
        <w:t>’</w:t>
      </w:r>
      <w:r w:rsidR="004F6721" w:rsidRPr="00FA48F1">
        <w:rPr>
          <w:kern w:val="22"/>
          <w:lang w:val="fr-CA"/>
        </w:rPr>
        <w:t>autres organisations internationales pour tenir compte des dernières évolutions dans les instances internationales compétentes</w:t>
      </w:r>
      <w:r w:rsidR="00FB03D3" w:rsidRPr="00FA48F1">
        <w:rPr>
          <w:rFonts w:eastAsia="Times New Roman"/>
          <w:lang w:val="fr-CA" w:eastAsia="fr-CA"/>
        </w:rPr>
        <w:t xml:space="preserve"> (paragraphe </w:t>
      </w:r>
      <w:r w:rsidRPr="00FA48F1">
        <w:rPr>
          <w:rFonts w:eastAsia="Times New Roman"/>
          <w:lang w:val="fr-CA" w:eastAsia="fr-CA"/>
        </w:rPr>
        <w:t>6)</w:t>
      </w:r>
      <w:r w:rsidR="00FB03D3" w:rsidRPr="00FA48F1">
        <w:rPr>
          <w:rFonts w:eastAsia="Times New Roman"/>
          <w:lang w:val="fr-CA" w:eastAsia="fr-CA"/>
        </w:rPr>
        <w:t>.</w:t>
      </w:r>
    </w:p>
    <w:p w:rsidR="00D3059B" w:rsidRPr="00FA48F1" w:rsidRDefault="003A034A" w:rsidP="00CF7694">
      <w:pPr>
        <w:pStyle w:val="CBDNormalNumber"/>
        <w:rPr>
          <w:lang w:val="fr-CA"/>
        </w:rPr>
      </w:pPr>
      <w:r w:rsidRPr="00FA48F1">
        <w:rPr>
          <w:rFonts w:eastAsia="Times New Roman"/>
          <w:lang w:val="fr-CA" w:eastAsia="fr-CA"/>
        </w:rPr>
        <w:t>La présente note offre un aperçu des activités entreprises par la Secrétaire exécutive depuis la quatrième réunion de la Conférence des Parties siégeant en tant que réunion des Parties au Protocole pour développer et renforcer la coopération avec les organisations internationales, les organes créés en vertu d</w:t>
      </w:r>
      <w:r w:rsidR="00003783">
        <w:rPr>
          <w:rFonts w:eastAsia="Times New Roman"/>
          <w:lang w:val="fr-CA" w:eastAsia="fr-CA"/>
        </w:rPr>
        <w:t>’</w:t>
      </w:r>
      <w:r w:rsidRPr="00FA48F1">
        <w:rPr>
          <w:rFonts w:eastAsia="Times New Roman"/>
          <w:lang w:val="fr-CA" w:eastAsia="fr-CA"/>
        </w:rPr>
        <w:t>autres conventions et les initiatives, y compris les développements majeurs au titre d</w:t>
      </w:r>
      <w:r w:rsidR="00003783">
        <w:rPr>
          <w:rFonts w:eastAsia="Times New Roman"/>
          <w:lang w:val="fr-CA" w:eastAsia="fr-CA"/>
        </w:rPr>
        <w:t>’</w:t>
      </w:r>
      <w:r w:rsidRPr="00FA48F1">
        <w:rPr>
          <w:rFonts w:eastAsia="Times New Roman"/>
          <w:lang w:val="fr-CA" w:eastAsia="fr-CA"/>
        </w:rPr>
        <w:t>accords et d</w:t>
      </w:r>
      <w:r w:rsidR="00003783">
        <w:rPr>
          <w:rFonts w:eastAsia="Times New Roman"/>
          <w:lang w:val="fr-CA" w:eastAsia="fr-CA"/>
        </w:rPr>
        <w:t>’</w:t>
      </w:r>
      <w:r w:rsidRPr="00FA48F1">
        <w:rPr>
          <w:rFonts w:eastAsia="Times New Roman"/>
          <w:lang w:val="fr-CA" w:eastAsia="fr-CA"/>
        </w:rPr>
        <w:t>instruments internationaux pertinents. Dans la section II de la présente note, les principaux développements au titre des accords et des instruments internationaux pertinents pour l</w:t>
      </w:r>
      <w:r w:rsidR="00003783">
        <w:rPr>
          <w:rFonts w:eastAsia="Times New Roman"/>
          <w:lang w:val="fr-CA" w:eastAsia="fr-CA"/>
        </w:rPr>
        <w:t>’</w:t>
      </w:r>
      <w:r w:rsidRPr="00FA48F1">
        <w:rPr>
          <w:rFonts w:eastAsia="Times New Roman"/>
          <w:lang w:val="fr-CA" w:eastAsia="fr-CA"/>
        </w:rPr>
        <w:t>accès et le partage des avantages sont abordés, ainsi que les activités de coopération entreprises avec d</w:t>
      </w:r>
      <w:r w:rsidR="00003783">
        <w:rPr>
          <w:rFonts w:eastAsia="Times New Roman"/>
          <w:lang w:val="fr-CA" w:eastAsia="fr-CA"/>
        </w:rPr>
        <w:t>’</w:t>
      </w:r>
      <w:r w:rsidRPr="00FA48F1">
        <w:rPr>
          <w:rFonts w:eastAsia="Times New Roman"/>
          <w:lang w:val="fr-CA" w:eastAsia="fr-CA"/>
        </w:rPr>
        <w:t>autres organisations intergo</w:t>
      </w:r>
      <w:r w:rsidR="004569DB" w:rsidRPr="00FA48F1">
        <w:rPr>
          <w:rFonts w:eastAsia="Times New Roman"/>
          <w:lang w:val="fr-CA" w:eastAsia="fr-CA"/>
        </w:rPr>
        <w:t>uvernementales. Dans la section </w:t>
      </w:r>
      <w:r w:rsidRPr="00FA48F1">
        <w:rPr>
          <w:rFonts w:eastAsia="Times New Roman"/>
          <w:lang w:val="fr-CA" w:eastAsia="fr-CA"/>
        </w:rPr>
        <w:t xml:space="preserve">III, la </w:t>
      </w:r>
      <w:r w:rsidRPr="00FA48F1">
        <w:rPr>
          <w:rFonts w:eastAsia="Times New Roman"/>
          <w:lang w:val="fr-CA" w:eastAsia="fr-CA"/>
        </w:rPr>
        <w:lastRenderedPageBreak/>
        <w:t>coopération avec d</w:t>
      </w:r>
      <w:r w:rsidR="00003783">
        <w:rPr>
          <w:rFonts w:eastAsia="Times New Roman"/>
          <w:lang w:val="fr-CA" w:eastAsia="fr-CA"/>
        </w:rPr>
        <w:t>’</w:t>
      </w:r>
      <w:r w:rsidRPr="00FA48F1">
        <w:rPr>
          <w:rFonts w:eastAsia="Times New Roman"/>
          <w:lang w:val="fr-CA" w:eastAsia="fr-CA"/>
        </w:rPr>
        <w:t>autres organisations pour soutenir la ratification et la mise en œuvre</w:t>
      </w:r>
      <w:r w:rsidR="004569DB" w:rsidRPr="00FA48F1">
        <w:rPr>
          <w:rFonts w:eastAsia="Times New Roman"/>
          <w:lang w:val="fr-CA" w:eastAsia="fr-CA"/>
        </w:rPr>
        <w:t xml:space="preserve"> du Protocole de Nagoya</w:t>
      </w:r>
      <w:r w:rsidRPr="00FA48F1">
        <w:rPr>
          <w:rFonts w:eastAsia="Times New Roman"/>
          <w:lang w:val="fr-CA" w:eastAsia="fr-CA"/>
        </w:rPr>
        <w:t xml:space="preserve">, ainsi que la sensibilisation et le renforcement des capacités </w:t>
      </w:r>
      <w:r w:rsidR="004569DB" w:rsidRPr="00FA48F1">
        <w:rPr>
          <w:rFonts w:eastAsia="Times New Roman"/>
          <w:lang w:val="fr-CA" w:eastAsia="fr-CA"/>
        </w:rPr>
        <w:t>en la matière,</w:t>
      </w:r>
      <w:r w:rsidRPr="00FA48F1">
        <w:rPr>
          <w:rFonts w:eastAsia="Times New Roman"/>
          <w:lang w:val="fr-CA" w:eastAsia="fr-CA"/>
        </w:rPr>
        <w:t xml:space="preserve"> est résumée, bien que ce résumé ne constitue pas un compte rendu exhaustif. Des informations complémentaires sur la coopération dans le cadre de la Convention sur la diversité biologique sont fournies</w:t>
      </w:r>
      <w:r w:rsidR="004569DB" w:rsidRPr="00FA48F1">
        <w:rPr>
          <w:rFonts w:eastAsia="Times New Roman"/>
          <w:lang w:val="fr-CA" w:eastAsia="fr-CA"/>
        </w:rPr>
        <w:t xml:space="preserve"> dans les documents </w:t>
      </w:r>
      <w:hyperlink r:id="rId16" w:history="1">
        <w:r w:rsidR="004569DB" w:rsidRPr="00FA48F1">
          <w:rPr>
            <w:rStyle w:val="Hyperlink"/>
            <w:rFonts w:eastAsia="Times New Roman"/>
            <w:lang w:val="fr-CA" w:eastAsia="fr-CA"/>
          </w:rPr>
          <w:t>CBD/SBI/4/10</w:t>
        </w:r>
      </w:hyperlink>
      <w:r w:rsidR="004569DB" w:rsidRPr="00FA48F1">
        <w:rPr>
          <w:rFonts w:eastAsia="Times New Roman"/>
          <w:lang w:val="fr-CA" w:eastAsia="fr-CA"/>
        </w:rPr>
        <w:t xml:space="preserve"> </w:t>
      </w:r>
      <w:r w:rsidRPr="00FA48F1">
        <w:rPr>
          <w:rFonts w:eastAsia="Times New Roman"/>
          <w:lang w:val="fr-CA" w:eastAsia="fr-CA"/>
        </w:rPr>
        <w:t xml:space="preserve"> et CBD/COP/16/10. Des remarques conclusives </w:t>
      </w:r>
      <w:r w:rsidR="004569DB" w:rsidRPr="00FA48F1">
        <w:rPr>
          <w:rFonts w:eastAsia="Times New Roman"/>
          <w:lang w:val="fr-CA" w:eastAsia="fr-CA"/>
        </w:rPr>
        <w:t>sont présentées dans la section </w:t>
      </w:r>
      <w:r w:rsidRPr="00FA48F1">
        <w:rPr>
          <w:rFonts w:eastAsia="Times New Roman"/>
          <w:lang w:val="fr-CA" w:eastAsia="fr-CA"/>
        </w:rPr>
        <w:t xml:space="preserve">IV de </w:t>
      </w:r>
      <w:r w:rsidR="004569DB" w:rsidRPr="00FA48F1">
        <w:rPr>
          <w:rFonts w:eastAsia="Times New Roman"/>
          <w:lang w:val="fr-CA" w:eastAsia="fr-CA"/>
        </w:rPr>
        <w:t>la présente</w:t>
      </w:r>
      <w:r w:rsidRPr="00FA48F1">
        <w:rPr>
          <w:rFonts w:eastAsia="Times New Roman"/>
          <w:lang w:val="fr-CA" w:eastAsia="fr-CA"/>
        </w:rPr>
        <w:t xml:space="preserve"> note</w:t>
      </w:r>
      <w:r w:rsidR="004569DB" w:rsidRPr="00FA48F1">
        <w:rPr>
          <w:rFonts w:eastAsia="Times New Roman"/>
          <w:lang w:val="fr-CA" w:eastAsia="fr-CA"/>
        </w:rPr>
        <w:t>.</w:t>
      </w:r>
    </w:p>
    <w:p w:rsidR="008028F3" w:rsidRPr="00FA48F1" w:rsidRDefault="00596285" w:rsidP="00596285">
      <w:pPr>
        <w:pStyle w:val="CBDH1"/>
        <w:rPr>
          <w:lang w:val="fr-CA"/>
        </w:rPr>
      </w:pPr>
      <w:r w:rsidRPr="00FA48F1">
        <w:rPr>
          <w:lang w:val="fr-CA"/>
        </w:rPr>
        <w:t>II.</w:t>
      </w:r>
      <w:r w:rsidRPr="00FA48F1">
        <w:rPr>
          <w:lang w:val="fr-CA"/>
        </w:rPr>
        <w:tab/>
      </w:r>
      <w:r w:rsidR="004569DB" w:rsidRPr="00FA48F1">
        <w:rPr>
          <w:lang w:val="fr-CA"/>
        </w:rPr>
        <w:t>Principaux développements dans le cadre des accords internationaux et activités de coopération avec des organisations intergouvernementales abordant des questions liées à l</w:t>
      </w:r>
      <w:r w:rsidR="00003783">
        <w:rPr>
          <w:lang w:val="fr-CA"/>
        </w:rPr>
        <w:t>’</w:t>
      </w:r>
      <w:r w:rsidR="004569DB" w:rsidRPr="00FA48F1">
        <w:rPr>
          <w:lang w:val="fr-CA"/>
        </w:rPr>
        <w:t>accès et au partage des avantages</w:t>
      </w:r>
    </w:p>
    <w:p w:rsidR="008028F3" w:rsidRPr="00FA48F1" w:rsidRDefault="004569DB" w:rsidP="00CF7694">
      <w:pPr>
        <w:pStyle w:val="CBDNormalNumber"/>
        <w:rPr>
          <w:lang w:val="fr-CA"/>
        </w:rPr>
      </w:pPr>
      <w:r w:rsidRPr="00FA48F1">
        <w:rPr>
          <w:rFonts w:eastAsia="Times New Roman"/>
          <w:lang w:val="fr-CA" w:eastAsia="fr-CA"/>
        </w:rPr>
        <w:t>Les questions relatives à l</w:t>
      </w:r>
      <w:r w:rsidR="00003783">
        <w:rPr>
          <w:rFonts w:eastAsia="Times New Roman"/>
          <w:lang w:val="fr-CA" w:eastAsia="fr-CA"/>
        </w:rPr>
        <w:t>’</w:t>
      </w:r>
      <w:r w:rsidRPr="00FA48F1">
        <w:rPr>
          <w:rFonts w:eastAsia="Times New Roman"/>
          <w:lang w:val="fr-CA" w:eastAsia="fr-CA"/>
        </w:rPr>
        <w:t>accès et au partage des avantages sont traitées dans d</w:t>
      </w:r>
      <w:r w:rsidR="00003783">
        <w:rPr>
          <w:rFonts w:eastAsia="Times New Roman"/>
          <w:lang w:val="fr-CA" w:eastAsia="fr-CA"/>
        </w:rPr>
        <w:t>’</w:t>
      </w:r>
      <w:r w:rsidRPr="00FA48F1">
        <w:rPr>
          <w:rFonts w:eastAsia="Times New Roman"/>
          <w:lang w:val="fr-CA" w:eastAsia="fr-CA"/>
        </w:rPr>
        <w:t xml:space="preserve">autres instruments internationaux </w:t>
      </w:r>
      <w:r w:rsidR="00C72A34" w:rsidRPr="00FA48F1">
        <w:rPr>
          <w:rFonts w:eastAsia="Times New Roman"/>
          <w:lang w:val="fr-CA" w:eastAsia="fr-CA"/>
        </w:rPr>
        <w:t>outre</w:t>
      </w:r>
      <w:r w:rsidRPr="00FA48F1">
        <w:rPr>
          <w:rFonts w:eastAsia="Times New Roman"/>
          <w:lang w:val="fr-CA" w:eastAsia="fr-CA"/>
        </w:rPr>
        <w:t xml:space="preserve"> la Convention sur la diversité biologique et son Protocole de Nagoya sur l</w:t>
      </w:r>
      <w:r w:rsidR="00003783">
        <w:rPr>
          <w:rFonts w:eastAsia="Times New Roman"/>
          <w:lang w:val="fr-CA" w:eastAsia="fr-CA"/>
        </w:rPr>
        <w:t>’</w:t>
      </w:r>
      <w:r w:rsidRPr="00FA48F1">
        <w:rPr>
          <w:rFonts w:eastAsia="Times New Roman"/>
          <w:lang w:val="fr-CA" w:eastAsia="fr-CA"/>
        </w:rPr>
        <w:t xml:space="preserve">accès aux ressources génétiques et le partage juste et équitable des avantages découlant de leur utilisation. Le Secrétariat de la Convention collabore avec diverses organisations intergouvernementales œuvrant dans ce domaine, </w:t>
      </w:r>
      <w:r w:rsidR="00C72A34" w:rsidRPr="00FA48F1">
        <w:rPr>
          <w:rFonts w:eastAsia="Times New Roman"/>
          <w:lang w:val="fr-CA" w:eastAsia="fr-CA"/>
        </w:rPr>
        <w:t>en vue</w:t>
      </w:r>
      <w:r w:rsidRPr="00FA48F1">
        <w:rPr>
          <w:rFonts w:eastAsia="Times New Roman"/>
          <w:lang w:val="fr-CA" w:eastAsia="fr-CA"/>
        </w:rPr>
        <w:t xml:space="preserve"> de suivre les développements dans d</w:t>
      </w:r>
      <w:r w:rsidR="00003783">
        <w:rPr>
          <w:rFonts w:eastAsia="Times New Roman"/>
          <w:lang w:val="fr-CA" w:eastAsia="fr-CA"/>
        </w:rPr>
        <w:t>’</w:t>
      </w:r>
      <w:r w:rsidRPr="00FA48F1">
        <w:rPr>
          <w:rFonts w:eastAsia="Times New Roman"/>
          <w:lang w:val="fr-CA" w:eastAsia="fr-CA"/>
        </w:rPr>
        <w:t xml:space="preserve">autres forums internationaux et de fournir des informations sur les développements </w:t>
      </w:r>
      <w:r w:rsidR="00C72A34" w:rsidRPr="00FA48F1">
        <w:rPr>
          <w:rFonts w:eastAsia="Times New Roman"/>
          <w:lang w:val="fr-CA" w:eastAsia="fr-CA"/>
        </w:rPr>
        <w:t>au titre des</w:t>
      </w:r>
      <w:r w:rsidRPr="00FA48F1">
        <w:rPr>
          <w:rFonts w:eastAsia="Times New Roman"/>
          <w:lang w:val="fr-CA" w:eastAsia="fr-CA"/>
        </w:rPr>
        <w:t xml:space="preserve"> processus pertinents de la Convention et du Protocole de Nagoya. Bon nombre de ces organisations participent </w:t>
      </w:r>
      <w:r w:rsidR="00C72A34" w:rsidRPr="00FA48F1">
        <w:rPr>
          <w:rFonts w:eastAsia="Times New Roman"/>
          <w:lang w:val="fr-CA" w:eastAsia="fr-CA"/>
        </w:rPr>
        <w:t>à des</w:t>
      </w:r>
      <w:r w:rsidRPr="00FA48F1">
        <w:rPr>
          <w:rFonts w:eastAsia="Times New Roman"/>
          <w:lang w:val="fr-CA" w:eastAsia="fr-CA"/>
        </w:rPr>
        <w:t xml:space="preserve"> processus au sein de la Convention et du Protocole. Les informations fournies dans la pré</w:t>
      </w:r>
      <w:r w:rsidR="00C72A34" w:rsidRPr="00FA48F1">
        <w:rPr>
          <w:rFonts w:eastAsia="Times New Roman"/>
          <w:lang w:val="fr-CA" w:eastAsia="fr-CA"/>
        </w:rPr>
        <w:t>sente section sont à jour au 23 août </w:t>
      </w:r>
      <w:r w:rsidRPr="00FA48F1">
        <w:rPr>
          <w:rFonts w:eastAsia="Times New Roman"/>
          <w:lang w:val="fr-CA" w:eastAsia="fr-CA"/>
        </w:rPr>
        <w:t>2024</w:t>
      </w:r>
      <w:r w:rsidR="00C72A34" w:rsidRPr="00FA48F1">
        <w:rPr>
          <w:rFonts w:eastAsia="Times New Roman"/>
          <w:lang w:val="fr-CA" w:eastAsia="fr-CA"/>
        </w:rPr>
        <w:t>.</w:t>
      </w:r>
    </w:p>
    <w:p w:rsidR="00D3059B" w:rsidRPr="00FA48F1" w:rsidRDefault="008E0581" w:rsidP="00596285">
      <w:pPr>
        <w:pStyle w:val="CBDH2"/>
        <w:rPr>
          <w:lang w:val="fr-CA"/>
        </w:rPr>
      </w:pPr>
      <w:r w:rsidRPr="00FA48F1">
        <w:rPr>
          <w:lang w:val="fr-CA"/>
        </w:rPr>
        <w:t>A.</w:t>
      </w:r>
      <w:r w:rsidRPr="00FA48F1">
        <w:rPr>
          <w:lang w:val="fr-CA"/>
        </w:rPr>
        <w:tab/>
      </w:r>
      <w:r w:rsidR="00C72A34" w:rsidRPr="00FA48F1">
        <w:rPr>
          <w:lang w:val="fr-CA"/>
        </w:rPr>
        <w:t xml:space="preserve">Traité international sur les </w:t>
      </w:r>
      <w:r w:rsidR="00C72A34" w:rsidRPr="00FA48F1">
        <w:rPr>
          <w:noProof/>
          <w:lang w:val="fr-CA"/>
        </w:rPr>
        <w:t>ressources phytogénétiques</w:t>
      </w:r>
      <w:r w:rsidR="00C72A34" w:rsidRPr="00FA48F1">
        <w:rPr>
          <w:lang w:val="fr-CA"/>
        </w:rPr>
        <w:t xml:space="preserve"> pour l</w:t>
      </w:r>
      <w:r w:rsidR="00003783">
        <w:rPr>
          <w:lang w:val="fr-CA"/>
        </w:rPr>
        <w:t>’</w:t>
      </w:r>
      <w:r w:rsidR="00C72A34" w:rsidRPr="00FA48F1">
        <w:rPr>
          <w:lang w:val="fr-CA"/>
        </w:rPr>
        <w:t>alimentation et l</w:t>
      </w:r>
      <w:r w:rsidR="00003783">
        <w:rPr>
          <w:lang w:val="fr-CA"/>
        </w:rPr>
        <w:t>’</w:t>
      </w:r>
      <w:r w:rsidR="00C72A34" w:rsidRPr="00FA48F1">
        <w:rPr>
          <w:lang w:val="fr-CA"/>
        </w:rPr>
        <w:t>agriculture</w:t>
      </w:r>
    </w:p>
    <w:p w:rsidR="00323F22" w:rsidRPr="00FA48F1" w:rsidRDefault="00C72A34" w:rsidP="00CF7694">
      <w:pPr>
        <w:pStyle w:val="CBDNormalNumber"/>
        <w:rPr>
          <w:lang w:val="fr-CA"/>
        </w:rPr>
      </w:pPr>
      <w:r w:rsidRPr="00FA48F1">
        <w:rPr>
          <w:rFonts w:eastAsia="Times New Roman"/>
          <w:lang w:val="fr-CA" w:eastAsia="fr-CA"/>
        </w:rPr>
        <w:t>Le Secrétariat de la Convention entretient une r</w:t>
      </w:r>
      <w:r w:rsidR="00DC2765">
        <w:rPr>
          <w:rFonts w:eastAsia="Times New Roman"/>
          <w:lang w:val="fr-CA" w:eastAsia="fr-CA"/>
        </w:rPr>
        <w:t>elation de longue date avec le S</w:t>
      </w:r>
      <w:r w:rsidRPr="00FA48F1">
        <w:rPr>
          <w:rFonts w:eastAsia="Times New Roman"/>
          <w:lang w:val="fr-CA" w:eastAsia="fr-CA"/>
        </w:rPr>
        <w:t xml:space="preserve">ecrétariat du Traité international sur les ressources </w:t>
      </w:r>
      <w:r w:rsidRPr="00FA48F1">
        <w:rPr>
          <w:rFonts w:eastAsia="Times New Roman"/>
          <w:noProof/>
          <w:lang w:val="fr-CA" w:eastAsia="fr-CA"/>
        </w:rPr>
        <w:t>phytogénétiques</w:t>
      </w:r>
      <w:r w:rsidRPr="00FA48F1">
        <w:rPr>
          <w:rFonts w:eastAsia="Times New Roman"/>
          <w:lang w:val="fr-CA" w:eastAsia="fr-CA"/>
        </w:rPr>
        <w:t xml:space="preserve"> pour l</w:t>
      </w:r>
      <w:r w:rsidR="00003783">
        <w:rPr>
          <w:rFonts w:eastAsia="Times New Roman"/>
          <w:lang w:val="fr-CA" w:eastAsia="fr-CA"/>
        </w:rPr>
        <w:t>’</w:t>
      </w:r>
      <w:r w:rsidRPr="00FA48F1">
        <w:rPr>
          <w:rFonts w:eastAsia="Times New Roman"/>
          <w:lang w:val="fr-CA" w:eastAsia="fr-CA"/>
        </w:rPr>
        <w:t>alimentation et l</w:t>
      </w:r>
      <w:r w:rsidR="00003783">
        <w:rPr>
          <w:rFonts w:eastAsia="Times New Roman"/>
          <w:lang w:val="fr-CA" w:eastAsia="fr-CA"/>
        </w:rPr>
        <w:t>’</w:t>
      </w:r>
      <w:r w:rsidRPr="00FA48F1">
        <w:rPr>
          <w:rFonts w:eastAsia="Times New Roman"/>
          <w:lang w:val="fr-CA" w:eastAsia="fr-CA"/>
        </w:rPr>
        <w:t>agriculture. Les deux secrétariats sont en communication régulière et le Secrétariat de la Convention est activement impliqué dans différents domaines de travail relevant du Traité international.</w:t>
      </w:r>
    </w:p>
    <w:p w:rsidR="004A34D8" w:rsidRPr="00FA48F1" w:rsidRDefault="00C72A34" w:rsidP="00CF7694">
      <w:pPr>
        <w:pStyle w:val="CBDNormalNumber"/>
        <w:rPr>
          <w:lang w:val="fr-CA"/>
        </w:rPr>
      </w:pPr>
      <w:r w:rsidRPr="00FA48F1">
        <w:rPr>
          <w:rFonts w:eastAsia="Times New Roman"/>
          <w:lang w:val="fr-CA" w:eastAsia="fr-CA"/>
        </w:rPr>
        <w:t>Le Secrétariat de la Convention a soumis un rapport à la dixième session de l</w:t>
      </w:r>
      <w:r w:rsidR="00003783">
        <w:rPr>
          <w:rFonts w:eastAsia="Times New Roman"/>
          <w:lang w:val="fr-CA" w:eastAsia="fr-CA"/>
        </w:rPr>
        <w:t>’</w:t>
      </w:r>
      <w:r w:rsidRPr="00FA48F1">
        <w:rPr>
          <w:rFonts w:eastAsia="Times New Roman"/>
          <w:lang w:val="fr-CA" w:eastAsia="fr-CA"/>
        </w:rPr>
        <w:t>Organe directeur du Traité international sur les récents développements dans le cadre de la Convention et du Protocole de Nagoya</w:t>
      </w:r>
      <w:r w:rsidR="00DE2C45" w:rsidRPr="00FA48F1">
        <w:rPr>
          <w:rFonts w:eastAsia="Times New Roman"/>
          <w:lang w:val="fr-CA" w:eastAsia="fr-CA"/>
        </w:rPr>
        <w:t>,</w:t>
      </w:r>
      <w:r w:rsidR="00DE2C45" w:rsidRPr="00FA48F1">
        <w:rPr>
          <w:rStyle w:val="FootnoteReference"/>
          <w:lang w:val="fr-CA"/>
        </w:rPr>
        <w:footnoteReference w:id="3"/>
      </w:r>
      <w:r w:rsidRPr="00FA48F1">
        <w:rPr>
          <w:rFonts w:eastAsia="Times New Roman"/>
          <w:lang w:val="fr-CA" w:eastAsia="fr-CA"/>
        </w:rPr>
        <w:t xml:space="preserve"> et a participé à la dixième session de l</w:t>
      </w:r>
      <w:r w:rsidR="00003783">
        <w:rPr>
          <w:rFonts w:eastAsia="Times New Roman"/>
          <w:lang w:val="fr-CA" w:eastAsia="fr-CA"/>
        </w:rPr>
        <w:t>’</w:t>
      </w:r>
      <w:r w:rsidRPr="00FA48F1">
        <w:rPr>
          <w:rFonts w:eastAsia="Times New Roman"/>
          <w:lang w:val="fr-CA" w:eastAsia="fr-CA"/>
        </w:rPr>
        <w:t>Organe directeur, qui s</w:t>
      </w:r>
      <w:r w:rsidR="00003783">
        <w:rPr>
          <w:rFonts w:eastAsia="Times New Roman"/>
          <w:lang w:val="fr-CA" w:eastAsia="fr-CA"/>
        </w:rPr>
        <w:t>’</w:t>
      </w:r>
      <w:r w:rsidRPr="00FA48F1">
        <w:rPr>
          <w:rFonts w:eastAsia="Times New Roman"/>
          <w:lang w:val="fr-CA" w:eastAsia="fr-CA"/>
        </w:rPr>
        <w:t>est tenue à Rome</w:t>
      </w:r>
      <w:r w:rsidR="00DC2765">
        <w:rPr>
          <w:rFonts w:eastAsia="Times New Roman"/>
          <w:lang w:val="fr-CA" w:eastAsia="fr-CA"/>
        </w:rPr>
        <w:t>,</w:t>
      </w:r>
      <w:r w:rsidRPr="00FA48F1">
        <w:rPr>
          <w:rFonts w:eastAsia="Times New Roman"/>
          <w:lang w:val="fr-CA" w:eastAsia="fr-CA"/>
        </w:rPr>
        <w:t xml:space="preserve"> du 20 au 24 novembre 2023. Le Secrétaire exécutif par intérim a </w:t>
      </w:r>
      <w:r w:rsidR="00DE2C45" w:rsidRPr="00FA48F1">
        <w:rPr>
          <w:rFonts w:eastAsia="Times New Roman"/>
          <w:lang w:val="fr-CA" w:eastAsia="fr-CA"/>
        </w:rPr>
        <w:t>fait</w:t>
      </w:r>
      <w:r w:rsidRPr="00FA48F1">
        <w:rPr>
          <w:rFonts w:eastAsia="Times New Roman"/>
          <w:lang w:val="fr-CA" w:eastAsia="fr-CA"/>
        </w:rPr>
        <w:t xml:space="preserve"> une déclaration </w:t>
      </w:r>
      <w:r w:rsidR="00DC2765">
        <w:rPr>
          <w:rFonts w:eastAsia="Times New Roman"/>
          <w:lang w:val="fr-CA" w:eastAsia="fr-CA"/>
        </w:rPr>
        <w:t xml:space="preserve">lors </w:t>
      </w:r>
      <w:r w:rsidRPr="00FA48F1">
        <w:rPr>
          <w:rFonts w:eastAsia="Times New Roman"/>
          <w:lang w:val="fr-CA" w:eastAsia="fr-CA"/>
        </w:rPr>
        <w:t>de la cérémonie d</w:t>
      </w:r>
      <w:r w:rsidR="00003783">
        <w:rPr>
          <w:rFonts w:eastAsia="Times New Roman"/>
          <w:lang w:val="fr-CA" w:eastAsia="fr-CA"/>
        </w:rPr>
        <w:t>’</w:t>
      </w:r>
      <w:r w:rsidRPr="00FA48F1">
        <w:rPr>
          <w:rFonts w:eastAsia="Times New Roman"/>
          <w:lang w:val="fr-CA" w:eastAsia="fr-CA"/>
        </w:rPr>
        <w:t>ouverture et a prononcé un discours</w:t>
      </w:r>
      <w:r w:rsidR="00DE2C45" w:rsidRPr="00FA48F1">
        <w:rPr>
          <w:rFonts w:eastAsia="Times New Roman"/>
          <w:lang w:val="fr-CA" w:eastAsia="fr-CA"/>
        </w:rPr>
        <w:t xml:space="preserve"> liminaire </w:t>
      </w:r>
      <w:r w:rsidRPr="00FA48F1">
        <w:rPr>
          <w:rFonts w:eastAsia="Times New Roman"/>
          <w:lang w:val="fr-CA" w:eastAsia="fr-CA"/>
        </w:rPr>
        <w:t>lors de l</w:t>
      </w:r>
      <w:r w:rsidR="00003783">
        <w:rPr>
          <w:rFonts w:eastAsia="Times New Roman"/>
          <w:lang w:val="fr-CA" w:eastAsia="fr-CA"/>
        </w:rPr>
        <w:t>’</w:t>
      </w:r>
      <w:r w:rsidRPr="00FA48F1">
        <w:rPr>
          <w:rFonts w:eastAsia="Times New Roman"/>
          <w:lang w:val="fr-CA" w:eastAsia="fr-CA"/>
        </w:rPr>
        <w:t>é</w:t>
      </w:r>
      <w:r w:rsidR="00DE2C45" w:rsidRPr="00FA48F1">
        <w:rPr>
          <w:rFonts w:eastAsia="Times New Roman"/>
          <w:lang w:val="fr-CA" w:eastAsia="fr-CA"/>
        </w:rPr>
        <w:t>vénement spécial sur le thème « </w:t>
      </w:r>
      <w:r w:rsidRPr="00FA48F1">
        <w:rPr>
          <w:rFonts w:eastAsia="Times New Roman"/>
          <w:lang w:val="fr-CA" w:eastAsia="fr-CA"/>
        </w:rPr>
        <w:t xml:space="preserve">Des </w:t>
      </w:r>
      <w:r w:rsidR="00DE2C45" w:rsidRPr="00FA48F1">
        <w:rPr>
          <w:rFonts w:eastAsia="Times New Roman"/>
          <w:lang w:val="fr-CA" w:eastAsia="fr-CA"/>
        </w:rPr>
        <w:t>semences aux solutions innovantes : protéger notre avenir »</w:t>
      </w:r>
      <w:r w:rsidRPr="00FA48F1">
        <w:rPr>
          <w:rFonts w:eastAsia="Times New Roman"/>
          <w:lang w:val="fr-CA" w:eastAsia="fr-CA"/>
        </w:rPr>
        <w:t>.</w:t>
      </w:r>
    </w:p>
    <w:p w:rsidR="00657F86" w:rsidRPr="00FA48F1" w:rsidRDefault="008523E7" w:rsidP="00CF7694">
      <w:pPr>
        <w:pStyle w:val="CBDNormalNumber"/>
        <w:rPr>
          <w:lang w:val="fr-CA"/>
        </w:rPr>
      </w:pPr>
      <w:r w:rsidRPr="00FA48F1">
        <w:rPr>
          <w:rFonts w:eastAsia="Times New Roman"/>
          <w:lang w:val="fr-CA" w:eastAsia="fr-CA"/>
        </w:rPr>
        <w:t>L</w:t>
      </w:r>
      <w:r w:rsidR="00003783">
        <w:rPr>
          <w:rFonts w:eastAsia="Times New Roman"/>
          <w:lang w:val="fr-CA" w:eastAsia="fr-CA"/>
        </w:rPr>
        <w:t>’</w:t>
      </w:r>
      <w:r w:rsidRPr="00FA48F1">
        <w:rPr>
          <w:rFonts w:eastAsia="Times New Roman"/>
          <w:lang w:val="fr-CA" w:eastAsia="fr-CA"/>
        </w:rPr>
        <w:t>Organe directeur a adopté plusieurs résolutions pertinentes pour la Convention et le Protocole, notamment sur le Système multilatéral d</w:t>
      </w:r>
      <w:r w:rsidR="00003783">
        <w:rPr>
          <w:rFonts w:eastAsia="Times New Roman"/>
          <w:lang w:val="fr-CA" w:eastAsia="fr-CA"/>
        </w:rPr>
        <w:t>’</w:t>
      </w:r>
      <w:r w:rsidRPr="00FA48F1">
        <w:rPr>
          <w:rFonts w:eastAsia="Times New Roman"/>
          <w:lang w:val="fr-CA" w:eastAsia="fr-CA"/>
        </w:rPr>
        <w:t>accès et de partage des avantages, la mise en œuvre du Système mondial d</w:t>
      </w:r>
      <w:r w:rsidR="00003783">
        <w:rPr>
          <w:rFonts w:eastAsia="Times New Roman"/>
          <w:lang w:val="fr-CA" w:eastAsia="fr-CA"/>
        </w:rPr>
        <w:t>’</w:t>
      </w:r>
      <w:r w:rsidRPr="00FA48F1">
        <w:rPr>
          <w:rFonts w:eastAsia="Times New Roman"/>
          <w:lang w:val="fr-CA" w:eastAsia="fr-CA"/>
        </w:rPr>
        <w:t xml:space="preserve">information, les droits des agriculteurs, le renforcement des capacités, la coopération avec la Convention </w:t>
      </w:r>
      <w:r w:rsidR="0014392E" w:rsidRPr="00FA48F1">
        <w:rPr>
          <w:rFonts w:eastAsia="Times New Roman"/>
          <w:lang w:val="fr-CA" w:eastAsia="fr-CA"/>
        </w:rPr>
        <w:t>sur la diversité biologique et l</w:t>
      </w:r>
      <w:r w:rsidRPr="00FA48F1">
        <w:rPr>
          <w:rFonts w:eastAsia="Times New Roman"/>
          <w:lang w:val="fr-CA" w:eastAsia="fr-CA"/>
        </w:rPr>
        <w:t>es</w:t>
      </w:r>
      <w:r w:rsidR="00A70D4C" w:rsidRPr="00FA48F1">
        <w:rPr>
          <w:rFonts w:eastAsia="Times New Roman"/>
          <w:lang w:val="fr-CA" w:eastAsia="fr-CA"/>
        </w:rPr>
        <w:t xml:space="preserve"> </w:t>
      </w:r>
      <w:r w:rsidR="00A70D4C" w:rsidRPr="00FA48F1">
        <w:rPr>
          <w:lang w:val="fr-CA"/>
        </w:rPr>
        <w:t>informations de séquençage numérique/</w:t>
      </w:r>
      <w:r w:rsidR="0014392E" w:rsidRPr="00FA48F1">
        <w:rPr>
          <w:lang w:val="fr-CA"/>
        </w:rPr>
        <w:t xml:space="preserve">les </w:t>
      </w:r>
      <w:r w:rsidR="00A70D4C" w:rsidRPr="00FA48F1">
        <w:rPr>
          <w:lang w:val="fr-CA"/>
        </w:rPr>
        <w:t>d</w:t>
      </w:r>
      <w:r w:rsidR="0014392E" w:rsidRPr="00FA48F1">
        <w:rPr>
          <w:lang w:val="fr-CA"/>
        </w:rPr>
        <w:t>onnées de séquençage génétique concernant l</w:t>
      </w:r>
      <w:r w:rsidR="00A70D4C" w:rsidRPr="00FA48F1">
        <w:rPr>
          <w:lang w:val="fr-CA"/>
        </w:rPr>
        <w:t xml:space="preserve">es </w:t>
      </w:r>
      <w:r w:rsidR="00A70D4C" w:rsidRPr="00FA48F1">
        <w:rPr>
          <w:noProof/>
          <w:lang w:val="fr-CA"/>
        </w:rPr>
        <w:t xml:space="preserve">ressources </w:t>
      </w:r>
      <w:r w:rsidRPr="00FA48F1">
        <w:rPr>
          <w:rFonts w:eastAsia="Times New Roman"/>
          <w:noProof/>
          <w:lang w:val="fr-CA" w:eastAsia="fr-CA"/>
        </w:rPr>
        <w:t>phytogénétiques</w:t>
      </w:r>
      <w:r w:rsidRPr="00FA48F1">
        <w:rPr>
          <w:rFonts w:eastAsia="Times New Roman"/>
          <w:lang w:val="fr-CA" w:eastAsia="fr-CA"/>
        </w:rPr>
        <w:t xml:space="preserve"> pour l</w:t>
      </w:r>
      <w:r w:rsidR="00003783">
        <w:rPr>
          <w:rFonts w:eastAsia="Times New Roman"/>
          <w:lang w:val="fr-CA" w:eastAsia="fr-CA"/>
        </w:rPr>
        <w:t>’</w:t>
      </w:r>
      <w:r w:rsidRPr="00FA48F1">
        <w:rPr>
          <w:rFonts w:eastAsia="Times New Roman"/>
          <w:lang w:val="fr-CA" w:eastAsia="fr-CA"/>
        </w:rPr>
        <w:t>alimentation et l</w:t>
      </w:r>
      <w:r w:rsidR="00003783">
        <w:rPr>
          <w:rFonts w:eastAsia="Times New Roman"/>
          <w:lang w:val="fr-CA" w:eastAsia="fr-CA"/>
        </w:rPr>
        <w:t>’</w:t>
      </w:r>
      <w:r w:rsidRPr="00FA48F1">
        <w:rPr>
          <w:rFonts w:eastAsia="Times New Roman"/>
          <w:lang w:val="fr-CA" w:eastAsia="fr-CA"/>
        </w:rPr>
        <w:t>agriculture.</w:t>
      </w:r>
    </w:p>
    <w:p w:rsidR="00331432" w:rsidRPr="00FA48F1" w:rsidRDefault="005F5F43" w:rsidP="003A26DC">
      <w:pPr>
        <w:pStyle w:val="CBDNormalNumber"/>
        <w:rPr>
          <w:lang w:val="fr-CA"/>
        </w:rPr>
      </w:pPr>
      <w:r w:rsidRPr="00FA48F1">
        <w:rPr>
          <w:rFonts w:eastAsia="Times New Roman"/>
          <w:lang w:val="fr-CA" w:eastAsia="fr-CA"/>
        </w:rPr>
        <w:t>Dans la résolution 5/2023 sur la mise en œuvre du Système mondial d</w:t>
      </w:r>
      <w:r w:rsidR="00003783">
        <w:rPr>
          <w:rFonts w:eastAsia="Times New Roman"/>
          <w:lang w:val="fr-CA" w:eastAsia="fr-CA"/>
        </w:rPr>
        <w:t>’</w:t>
      </w:r>
      <w:r w:rsidRPr="00FA48F1">
        <w:rPr>
          <w:rFonts w:eastAsia="Times New Roman"/>
          <w:lang w:val="fr-CA" w:eastAsia="fr-CA"/>
        </w:rPr>
        <w:t>information, l</w:t>
      </w:r>
      <w:r w:rsidR="00003783">
        <w:rPr>
          <w:rFonts w:eastAsia="Times New Roman"/>
          <w:lang w:val="fr-CA" w:eastAsia="fr-CA"/>
        </w:rPr>
        <w:t>’</w:t>
      </w:r>
      <w:r w:rsidRPr="00FA48F1">
        <w:rPr>
          <w:rFonts w:eastAsia="Times New Roman"/>
          <w:lang w:val="fr-CA" w:eastAsia="fr-CA"/>
        </w:rPr>
        <w:t xml:space="preserve">Organe directeur a demandé au Secrétaire du Traité international </w:t>
      </w:r>
      <w:r w:rsidR="003A26DC" w:rsidRPr="00FA48F1">
        <w:rPr>
          <w:rFonts w:eastAsia="Times New Roman"/>
          <w:lang w:val="fr-CA" w:eastAsia="fr-CA"/>
        </w:rPr>
        <w:t>de promouvoir l</w:t>
      </w:r>
      <w:r w:rsidR="00003783">
        <w:rPr>
          <w:rFonts w:eastAsia="Times New Roman"/>
          <w:lang w:val="fr-CA" w:eastAsia="fr-CA"/>
        </w:rPr>
        <w:t>’</w:t>
      </w:r>
      <w:r w:rsidR="003A26DC" w:rsidRPr="00FA48F1">
        <w:rPr>
          <w:rFonts w:eastAsia="Times New Roman"/>
          <w:lang w:val="fr-CA" w:eastAsia="fr-CA"/>
        </w:rPr>
        <w:t>échange d</w:t>
      </w:r>
      <w:r w:rsidR="00003783">
        <w:rPr>
          <w:rFonts w:eastAsia="Times New Roman"/>
          <w:lang w:val="fr-CA" w:eastAsia="fr-CA"/>
        </w:rPr>
        <w:t>’</w:t>
      </w:r>
      <w:r w:rsidR="003A26DC" w:rsidRPr="00FA48F1">
        <w:rPr>
          <w:rFonts w:eastAsia="Times New Roman"/>
          <w:lang w:val="fr-CA" w:eastAsia="fr-CA"/>
        </w:rPr>
        <w:t>informations et de liens pertinents avec le Centre d</w:t>
      </w:r>
      <w:r w:rsidR="00003783">
        <w:rPr>
          <w:rFonts w:eastAsia="Times New Roman"/>
          <w:lang w:val="fr-CA" w:eastAsia="fr-CA"/>
        </w:rPr>
        <w:t>’</w:t>
      </w:r>
      <w:r w:rsidR="003A26DC" w:rsidRPr="00FA48F1">
        <w:rPr>
          <w:rFonts w:eastAsia="Times New Roman"/>
          <w:lang w:val="fr-CA" w:eastAsia="fr-CA"/>
        </w:rPr>
        <w:t>échange sur l</w:t>
      </w:r>
      <w:r w:rsidR="00003783">
        <w:rPr>
          <w:rFonts w:eastAsia="Times New Roman"/>
          <w:lang w:val="fr-CA" w:eastAsia="fr-CA"/>
        </w:rPr>
        <w:t>’</w:t>
      </w:r>
      <w:r w:rsidR="003A26DC" w:rsidRPr="00FA48F1">
        <w:rPr>
          <w:rFonts w:eastAsia="Times New Roman"/>
          <w:lang w:val="fr-CA" w:eastAsia="fr-CA"/>
        </w:rPr>
        <w:t>accès et le partage des avantages, dans le cadre du programme de travail relatif au Système mondial d</w:t>
      </w:r>
      <w:r w:rsidR="00003783">
        <w:rPr>
          <w:rFonts w:eastAsia="Times New Roman"/>
          <w:lang w:val="fr-CA" w:eastAsia="fr-CA"/>
        </w:rPr>
        <w:t>’</w:t>
      </w:r>
      <w:r w:rsidR="003A26DC" w:rsidRPr="00FA48F1">
        <w:rPr>
          <w:rFonts w:eastAsia="Times New Roman"/>
          <w:lang w:val="fr-CA" w:eastAsia="fr-CA"/>
        </w:rPr>
        <w:t>information (paragraphe 12).</w:t>
      </w:r>
    </w:p>
    <w:p w:rsidR="003C0AE8" w:rsidRPr="00FA48F1" w:rsidRDefault="003A26DC" w:rsidP="003F76D2">
      <w:pPr>
        <w:pStyle w:val="CBDNormalNumber"/>
        <w:rPr>
          <w:lang w:val="fr-CA"/>
        </w:rPr>
      </w:pPr>
      <w:r w:rsidRPr="00FA48F1">
        <w:rPr>
          <w:lang w:val="fr-CA"/>
        </w:rPr>
        <w:t xml:space="preserve">Dans la résolution </w:t>
      </w:r>
      <w:hyperlink r:id="rId17" w:history="1">
        <w:r w:rsidRPr="00FA48F1">
          <w:rPr>
            <w:rStyle w:val="Hyperlink"/>
            <w:lang w:val="fr-CA"/>
          </w:rPr>
          <w:t>13/2023</w:t>
        </w:r>
      </w:hyperlink>
      <w:r w:rsidR="003F76D2" w:rsidRPr="00FA48F1">
        <w:rPr>
          <w:lang w:val="fr-CA"/>
        </w:rPr>
        <w:t xml:space="preserve"> sur la coopération avec la Convention sur la diversité biologique, l</w:t>
      </w:r>
      <w:r w:rsidR="00003783">
        <w:rPr>
          <w:lang w:val="fr-CA"/>
        </w:rPr>
        <w:t>’</w:t>
      </w:r>
      <w:r w:rsidR="003F76D2" w:rsidRPr="00FA48F1">
        <w:rPr>
          <w:lang w:val="fr-CA"/>
        </w:rPr>
        <w:t>Organe directeur a demandé au Secrétaire de continuer à suivre les pr</w:t>
      </w:r>
      <w:r w:rsidR="00DC2765">
        <w:rPr>
          <w:lang w:val="fr-CA"/>
        </w:rPr>
        <w:t>ocessus pertinents liés à la Convention</w:t>
      </w:r>
      <w:r w:rsidR="003F76D2" w:rsidRPr="00FA48F1">
        <w:rPr>
          <w:lang w:val="fr-CA"/>
        </w:rPr>
        <w:t xml:space="preserve"> et à son Protocole de Nagoya et de continuer à y participer, afin de promouvoir des relations concrètes, harmonieuses et adaptées entre </w:t>
      </w:r>
      <w:r w:rsidR="003F76D2" w:rsidRPr="00FA48F1">
        <w:rPr>
          <w:noProof/>
          <w:lang w:val="fr-CA"/>
        </w:rPr>
        <w:t>ceux</w:t>
      </w:r>
      <w:r w:rsidR="00003783">
        <w:rPr>
          <w:noProof/>
          <w:lang w:val="fr-CA"/>
        </w:rPr>
        <w:noBreakHyphen/>
      </w:r>
      <w:r w:rsidR="003F76D2" w:rsidRPr="00FA48F1">
        <w:rPr>
          <w:noProof/>
          <w:lang w:val="fr-CA"/>
        </w:rPr>
        <w:t>ci, tant</w:t>
      </w:r>
      <w:r w:rsidR="003F76D2" w:rsidRPr="00FA48F1">
        <w:rPr>
          <w:lang w:val="fr-CA"/>
        </w:rPr>
        <w:t xml:space="preserve"> au niveau national qu</w:t>
      </w:r>
      <w:r w:rsidR="00003783">
        <w:rPr>
          <w:lang w:val="fr-CA"/>
        </w:rPr>
        <w:t>’</w:t>
      </w:r>
      <w:r w:rsidR="003F76D2" w:rsidRPr="00FA48F1">
        <w:rPr>
          <w:lang w:val="fr-CA"/>
        </w:rPr>
        <w:t>international (paragraphe 2). Dans la même résolution, l</w:t>
      </w:r>
      <w:r w:rsidR="00003783">
        <w:rPr>
          <w:lang w:val="fr-CA"/>
        </w:rPr>
        <w:t>’</w:t>
      </w:r>
      <w:r w:rsidR="003F76D2" w:rsidRPr="00FA48F1">
        <w:rPr>
          <w:lang w:val="fr-CA"/>
        </w:rPr>
        <w:t xml:space="preserve">Organe directeur a demandé au Secrétaire, sous réserve </w:t>
      </w:r>
      <w:r w:rsidR="003F76D2" w:rsidRPr="00FA48F1">
        <w:rPr>
          <w:lang w:val="fr-CA"/>
        </w:rPr>
        <w:lastRenderedPageBreak/>
        <w:t>de la disponibilité de ressources financières, de continuer à étudier, avec le Secrétariat de la Convention, quels moyens pratiques et activités pourraient renforcer encore cette coopération, y compris le renouvellement du Protocole de coopération et la poursuite de l</w:t>
      </w:r>
      <w:r w:rsidR="00003783">
        <w:rPr>
          <w:lang w:val="fr-CA"/>
        </w:rPr>
        <w:t>’</w:t>
      </w:r>
      <w:r w:rsidR="003F76D2" w:rsidRPr="00FA48F1">
        <w:rPr>
          <w:lang w:val="fr-CA"/>
        </w:rPr>
        <w:t>élaboration d</w:t>
      </w:r>
      <w:r w:rsidR="00003783">
        <w:rPr>
          <w:lang w:val="fr-CA"/>
        </w:rPr>
        <w:t>’</w:t>
      </w:r>
      <w:r w:rsidR="003F76D2" w:rsidRPr="00FA48F1">
        <w:rPr>
          <w:lang w:val="fr-CA"/>
        </w:rPr>
        <w:t>initiatives conjointes entre les deux secrétariats (paragraphe 11).</w:t>
      </w:r>
    </w:p>
    <w:p w:rsidR="002A773C" w:rsidRPr="00FA48F1" w:rsidRDefault="003F76D2" w:rsidP="003F76D2">
      <w:pPr>
        <w:pStyle w:val="CBDNormalNumber"/>
        <w:rPr>
          <w:lang w:val="fr-CA"/>
        </w:rPr>
      </w:pPr>
      <w:r w:rsidRPr="00FA48F1">
        <w:rPr>
          <w:lang w:val="fr-CA"/>
        </w:rPr>
        <w:t>Également dans la résolution 13/2023, l</w:t>
      </w:r>
      <w:r w:rsidR="00003783">
        <w:rPr>
          <w:lang w:val="fr-CA"/>
        </w:rPr>
        <w:t>’</w:t>
      </w:r>
      <w:r w:rsidRPr="00FA48F1">
        <w:rPr>
          <w:lang w:val="fr-CA"/>
        </w:rPr>
        <w:t>Organe directeur a demandé au Secrétaire continuer à suivre les processus menés dans le cadre de la Convention et de son Protocol</w:t>
      </w:r>
      <w:r w:rsidR="00A70D4C" w:rsidRPr="00FA48F1">
        <w:rPr>
          <w:lang w:val="fr-CA"/>
        </w:rPr>
        <w:t xml:space="preserve">e de Nagoya qui concernent les </w:t>
      </w:r>
      <w:r w:rsidRPr="00FA48F1">
        <w:rPr>
          <w:lang w:val="fr-CA"/>
        </w:rPr>
        <w:t>informations de séquençage numérique</w:t>
      </w:r>
      <w:r w:rsidR="00A70D4C" w:rsidRPr="00FA48F1">
        <w:rPr>
          <w:lang w:val="fr-CA"/>
        </w:rPr>
        <w:t xml:space="preserve"> </w:t>
      </w:r>
      <w:r w:rsidRPr="00FA48F1">
        <w:rPr>
          <w:lang w:val="fr-CA"/>
        </w:rPr>
        <w:t>des ressources génétiques et à communiquer des informations sur les activités du Traité international dans ce domaine, de collaborer et, si nécess</w:t>
      </w:r>
      <w:r w:rsidR="00A70D4C" w:rsidRPr="00FA48F1">
        <w:rPr>
          <w:lang w:val="fr-CA"/>
        </w:rPr>
        <w:t>aire, de se coordonner avec le Secrétariat de la Convention</w:t>
      </w:r>
      <w:r w:rsidRPr="00FA48F1">
        <w:rPr>
          <w:lang w:val="fr-CA"/>
        </w:rPr>
        <w:t xml:space="preserve"> sur les questions liées aux infor</w:t>
      </w:r>
      <w:r w:rsidR="00A70D4C" w:rsidRPr="00FA48F1">
        <w:rPr>
          <w:lang w:val="fr-CA"/>
        </w:rPr>
        <w:t>mations de séquençage numérique</w:t>
      </w:r>
      <w:r w:rsidRPr="00FA48F1">
        <w:rPr>
          <w:lang w:val="fr-CA"/>
        </w:rPr>
        <w:t xml:space="preserve"> des ressources génétiques afin de favoriser la cohérence et la complémentarité entre les conventions et les proces</w:t>
      </w:r>
      <w:r w:rsidR="00A70D4C" w:rsidRPr="00FA48F1">
        <w:rPr>
          <w:lang w:val="fr-CA"/>
        </w:rPr>
        <w:t>sus de mise en œuvre respectifs (paragraphe 18).</w:t>
      </w:r>
    </w:p>
    <w:p w:rsidR="00331432" w:rsidRPr="00FA48F1" w:rsidRDefault="0014392E" w:rsidP="0014392E">
      <w:pPr>
        <w:pStyle w:val="CBDNormalNumber"/>
        <w:rPr>
          <w:lang w:val="fr-CA"/>
        </w:rPr>
      </w:pPr>
      <w:r w:rsidRPr="00FA48F1">
        <w:rPr>
          <w:lang w:val="fr-CA"/>
        </w:rPr>
        <w:t>Dans la résolution 16/2023 sur l</w:t>
      </w:r>
      <w:r w:rsidR="00003783">
        <w:rPr>
          <w:lang w:val="fr-CA"/>
        </w:rPr>
        <w:t>’</w:t>
      </w:r>
      <w:r w:rsidRPr="00FA48F1">
        <w:rPr>
          <w:lang w:val="fr-CA"/>
        </w:rPr>
        <w:t>examen de la question de l</w:t>
      </w:r>
      <w:r w:rsidR="00003783">
        <w:rPr>
          <w:lang w:val="fr-CA"/>
        </w:rPr>
        <w:t>’</w:t>
      </w:r>
      <w:r w:rsidRPr="00FA48F1">
        <w:rPr>
          <w:lang w:val="fr-CA"/>
        </w:rPr>
        <w:t xml:space="preserve">information de séquençage numérique/des données de séquençage génétique concernant les ressources </w:t>
      </w:r>
      <w:r w:rsidRPr="00FA48F1">
        <w:rPr>
          <w:noProof/>
          <w:lang w:val="fr-CA"/>
        </w:rPr>
        <w:t xml:space="preserve">phytogénétiques </w:t>
      </w:r>
      <w:r w:rsidRPr="00FA48F1">
        <w:rPr>
          <w:lang w:val="fr-CA"/>
        </w:rPr>
        <w:t>pour l</w:t>
      </w:r>
      <w:r w:rsidR="00003783">
        <w:rPr>
          <w:lang w:val="fr-CA"/>
        </w:rPr>
        <w:t>’</w:t>
      </w:r>
      <w:r w:rsidRPr="00FA48F1">
        <w:rPr>
          <w:lang w:val="fr-CA"/>
        </w:rPr>
        <w:t>alimentation et l</w:t>
      </w:r>
      <w:r w:rsidR="00003783">
        <w:rPr>
          <w:lang w:val="fr-CA"/>
        </w:rPr>
        <w:t>’</w:t>
      </w:r>
      <w:r w:rsidRPr="00FA48F1">
        <w:rPr>
          <w:lang w:val="fr-CA"/>
        </w:rPr>
        <w:t>agriculture dans le cadre des objectifs du Traité international, l</w:t>
      </w:r>
      <w:r w:rsidR="00003783">
        <w:rPr>
          <w:lang w:val="fr-CA"/>
        </w:rPr>
        <w:t>’</w:t>
      </w:r>
      <w:r w:rsidRPr="00FA48F1">
        <w:rPr>
          <w:lang w:val="fr-CA"/>
        </w:rPr>
        <w:t>Organe directeur s</w:t>
      </w:r>
      <w:r w:rsidR="00003783">
        <w:rPr>
          <w:lang w:val="fr-CA"/>
        </w:rPr>
        <w:t>’</w:t>
      </w:r>
      <w:r w:rsidRPr="00FA48F1">
        <w:rPr>
          <w:lang w:val="fr-CA"/>
        </w:rPr>
        <w:t>est félicité de la décision 15/9 de la Conférence des parties à la Convention, et a encouragé les Parties à la Convention, lorsqu</w:t>
      </w:r>
      <w:r w:rsidR="00003783">
        <w:rPr>
          <w:lang w:val="fr-CA"/>
        </w:rPr>
        <w:t>’</w:t>
      </w:r>
      <w:r w:rsidRPr="00FA48F1">
        <w:rPr>
          <w:lang w:val="fr-CA"/>
        </w:rPr>
        <w:t>elles poursuivront l</w:t>
      </w:r>
      <w:r w:rsidR="00003783">
        <w:rPr>
          <w:lang w:val="fr-CA"/>
        </w:rPr>
        <w:t>’</w:t>
      </w:r>
      <w:r w:rsidRPr="00FA48F1">
        <w:rPr>
          <w:lang w:val="fr-CA"/>
        </w:rPr>
        <w:t>élaboration d</w:t>
      </w:r>
      <w:r w:rsidR="00003783">
        <w:rPr>
          <w:lang w:val="fr-CA"/>
        </w:rPr>
        <w:t>’</w:t>
      </w:r>
      <w:r w:rsidRPr="00FA48F1">
        <w:rPr>
          <w:lang w:val="fr-CA"/>
        </w:rPr>
        <w:t>une solution en faveur du partage des avantages découlant de l</w:t>
      </w:r>
      <w:r w:rsidR="00003783">
        <w:rPr>
          <w:lang w:val="fr-CA"/>
        </w:rPr>
        <w:t>’</w:t>
      </w:r>
      <w:r w:rsidRPr="00FA48F1">
        <w:rPr>
          <w:lang w:val="fr-CA"/>
        </w:rPr>
        <w:t>utilisation de l</w:t>
      </w:r>
      <w:r w:rsidR="00003783">
        <w:rPr>
          <w:lang w:val="fr-CA"/>
        </w:rPr>
        <w:t>’</w:t>
      </w:r>
      <w:r w:rsidRPr="00FA48F1">
        <w:rPr>
          <w:lang w:val="fr-CA"/>
        </w:rPr>
        <w:t xml:space="preserve">information de séquençage numérique sur les ressources génétiques, à étudier de quelle </w:t>
      </w:r>
      <w:r w:rsidRPr="00FA48F1">
        <w:rPr>
          <w:noProof/>
          <w:lang w:val="fr-CA"/>
        </w:rPr>
        <w:t>manière celle</w:t>
      </w:r>
      <w:r w:rsidR="00003783">
        <w:rPr>
          <w:noProof/>
          <w:lang w:val="fr-CA"/>
        </w:rPr>
        <w:noBreakHyphen/>
      </w:r>
      <w:r w:rsidRPr="00FA48F1">
        <w:rPr>
          <w:noProof/>
          <w:lang w:val="fr-CA"/>
        </w:rPr>
        <w:t>ci pourrait</w:t>
      </w:r>
      <w:r w:rsidRPr="00FA48F1">
        <w:rPr>
          <w:lang w:val="fr-CA"/>
        </w:rPr>
        <w:t xml:space="preserve"> être complémentaire du Traité et adaptée à ses besoins (paragraphes 3 et 4).</w:t>
      </w:r>
    </w:p>
    <w:p w:rsidR="000A3048" w:rsidRPr="00FA48F1" w:rsidRDefault="0014392E" w:rsidP="0003261D">
      <w:pPr>
        <w:pStyle w:val="CBDNormalNumber"/>
        <w:rPr>
          <w:lang w:val="fr-CA"/>
        </w:rPr>
      </w:pPr>
      <w:r w:rsidRPr="00FA48F1">
        <w:rPr>
          <w:rFonts w:eastAsia="Times New Roman"/>
          <w:lang w:val="fr-CA" w:eastAsia="fr-CA"/>
        </w:rPr>
        <w:t>Il convient de rappeler qu</w:t>
      </w:r>
      <w:r w:rsidR="00003783">
        <w:rPr>
          <w:rFonts w:eastAsia="Times New Roman"/>
          <w:lang w:val="fr-CA" w:eastAsia="fr-CA"/>
        </w:rPr>
        <w:t>’</w:t>
      </w:r>
      <w:r w:rsidRPr="00FA48F1">
        <w:rPr>
          <w:rFonts w:eastAsia="Times New Roman"/>
          <w:lang w:val="fr-CA" w:eastAsia="fr-CA"/>
        </w:rPr>
        <w:t>à sa neuvième session (2022), l</w:t>
      </w:r>
      <w:r w:rsidR="00003783">
        <w:rPr>
          <w:rFonts w:eastAsia="Times New Roman"/>
          <w:lang w:val="fr-CA" w:eastAsia="fr-CA"/>
        </w:rPr>
        <w:t>’</w:t>
      </w:r>
      <w:r w:rsidRPr="00FA48F1">
        <w:rPr>
          <w:rFonts w:eastAsia="Times New Roman"/>
          <w:lang w:val="fr-CA" w:eastAsia="fr-CA"/>
        </w:rPr>
        <w:t xml:space="preserve">Organe directeur, dans sa résolution 3/2022, a rétabli le Groupe de travail </w:t>
      </w:r>
      <w:r w:rsidR="0003261D" w:rsidRPr="00FA48F1">
        <w:rPr>
          <w:rFonts w:eastAsia="Times New Roman"/>
          <w:lang w:val="fr-CA" w:eastAsia="fr-CA"/>
        </w:rPr>
        <w:t>spécial</w:t>
      </w:r>
      <w:r w:rsidRPr="00FA48F1">
        <w:rPr>
          <w:rFonts w:eastAsia="Times New Roman"/>
          <w:lang w:val="fr-CA" w:eastAsia="fr-CA"/>
        </w:rPr>
        <w:t xml:space="preserve"> à composition non limitée </w:t>
      </w:r>
      <w:r w:rsidR="0003261D" w:rsidRPr="00FA48F1">
        <w:rPr>
          <w:rFonts w:eastAsia="Times New Roman"/>
          <w:lang w:val="fr-CA" w:eastAsia="fr-CA"/>
        </w:rPr>
        <w:t>chargé d</w:t>
      </w:r>
      <w:r w:rsidR="00003783">
        <w:rPr>
          <w:rFonts w:eastAsia="Times New Roman"/>
          <w:lang w:val="fr-CA" w:eastAsia="fr-CA"/>
        </w:rPr>
        <w:t>’</w:t>
      </w:r>
      <w:r w:rsidR="0003261D" w:rsidRPr="00FA48F1">
        <w:rPr>
          <w:rFonts w:eastAsia="Times New Roman"/>
          <w:lang w:val="fr-CA" w:eastAsia="fr-CA"/>
        </w:rPr>
        <w:t>améliorer le fonctionnement du Système multilatéral d</w:t>
      </w:r>
      <w:r w:rsidR="00003783">
        <w:rPr>
          <w:rFonts w:eastAsia="Times New Roman"/>
          <w:lang w:val="fr-CA" w:eastAsia="fr-CA"/>
        </w:rPr>
        <w:t>’</w:t>
      </w:r>
      <w:r w:rsidR="0003261D" w:rsidRPr="00FA48F1">
        <w:rPr>
          <w:rFonts w:eastAsia="Times New Roman"/>
          <w:lang w:val="fr-CA" w:eastAsia="fr-CA"/>
        </w:rPr>
        <w:t>accès et de partage des avantages</w:t>
      </w:r>
      <w:r w:rsidRPr="00FA48F1">
        <w:rPr>
          <w:rFonts w:eastAsia="Times New Roman"/>
          <w:lang w:val="fr-CA" w:eastAsia="fr-CA"/>
        </w:rPr>
        <w:t>. Le Groupe de travail rétabli s</w:t>
      </w:r>
      <w:r w:rsidR="00003783">
        <w:rPr>
          <w:rFonts w:eastAsia="Times New Roman"/>
          <w:lang w:val="fr-CA" w:eastAsia="fr-CA"/>
        </w:rPr>
        <w:t>’</w:t>
      </w:r>
      <w:r w:rsidRPr="00FA48F1">
        <w:rPr>
          <w:rFonts w:eastAsia="Times New Roman"/>
          <w:lang w:val="fr-CA" w:eastAsia="fr-CA"/>
        </w:rPr>
        <w:t>est réuni pour la première fois sous ce nouveau mandat lors d</w:t>
      </w:r>
      <w:r w:rsidR="0003261D" w:rsidRPr="00FA48F1">
        <w:rPr>
          <w:rFonts w:eastAsia="Times New Roman"/>
          <w:lang w:val="fr-CA" w:eastAsia="fr-CA"/>
        </w:rPr>
        <w:t>e sa dixième réunion en juillet </w:t>
      </w:r>
      <w:r w:rsidRPr="00FA48F1">
        <w:rPr>
          <w:rFonts w:eastAsia="Times New Roman"/>
          <w:lang w:val="fr-CA" w:eastAsia="fr-CA"/>
        </w:rPr>
        <w:t xml:space="preserve">2023. Un représentant du Secrétariat de la Convention a participé à la réunion et a </w:t>
      </w:r>
      <w:r w:rsidR="00DC2765">
        <w:rPr>
          <w:rFonts w:eastAsia="Times New Roman"/>
          <w:lang w:val="fr-CA" w:eastAsia="fr-CA"/>
        </w:rPr>
        <w:t>fait</w:t>
      </w:r>
      <w:r w:rsidRPr="00FA48F1">
        <w:rPr>
          <w:rFonts w:eastAsia="Times New Roman"/>
          <w:lang w:val="fr-CA" w:eastAsia="fr-CA"/>
        </w:rPr>
        <w:t xml:space="preserve"> une déclaration fournissant une mise à jour sur les développements pertinents dans le cadre de la Convention et du Protocole de Nagoya. Les coprésidents du Groupe de travail ont soumis un rapport </w:t>
      </w:r>
      <w:r w:rsidR="0003261D" w:rsidRPr="00FA48F1">
        <w:rPr>
          <w:rFonts w:eastAsia="Times New Roman"/>
          <w:lang w:val="fr-CA" w:eastAsia="fr-CA"/>
        </w:rPr>
        <w:t>d</w:t>
      </w:r>
      <w:r w:rsidR="00003783">
        <w:rPr>
          <w:rFonts w:eastAsia="Times New Roman"/>
          <w:lang w:val="fr-CA" w:eastAsia="fr-CA"/>
        </w:rPr>
        <w:t>’</w:t>
      </w:r>
      <w:r w:rsidR="0003261D" w:rsidRPr="00FA48F1">
        <w:rPr>
          <w:rFonts w:eastAsia="Times New Roman"/>
          <w:lang w:val="fr-CA" w:eastAsia="fr-CA"/>
        </w:rPr>
        <w:t>étape</w:t>
      </w:r>
      <w:r w:rsidRPr="00FA48F1">
        <w:rPr>
          <w:rFonts w:eastAsia="Times New Roman"/>
          <w:lang w:val="fr-CA" w:eastAsia="fr-CA"/>
        </w:rPr>
        <w:t xml:space="preserve"> à la dixième session de l</w:t>
      </w:r>
      <w:r w:rsidR="00003783">
        <w:rPr>
          <w:rFonts w:eastAsia="Times New Roman"/>
          <w:lang w:val="fr-CA" w:eastAsia="fr-CA"/>
        </w:rPr>
        <w:t>’</w:t>
      </w:r>
      <w:r w:rsidRPr="00FA48F1">
        <w:rPr>
          <w:rFonts w:eastAsia="Times New Roman"/>
          <w:lang w:val="fr-CA" w:eastAsia="fr-CA"/>
        </w:rPr>
        <w:t>Organe directeur et l</w:t>
      </w:r>
      <w:r w:rsidR="00003783">
        <w:rPr>
          <w:rFonts w:eastAsia="Times New Roman"/>
          <w:lang w:val="fr-CA" w:eastAsia="fr-CA"/>
        </w:rPr>
        <w:t>’</w:t>
      </w:r>
      <w:r w:rsidRPr="00FA48F1">
        <w:rPr>
          <w:rFonts w:eastAsia="Times New Roman"/>
          <w:lang w:val="fr-CA" w:eastAsia="fr-CA"/>
        </w:rPr>
        <w:t>Organe directe</w:t>
      </w:r>
      <w:r w:rsidR="0003261D" w:rsidRPr="00FA48F1">
        <w:rPr>
          <w:rFonts w:eastAsia="Times New Roman"/>
          <w:lang w:val="fr-CA" w:eastAsia="fr-CA"/>
        </w:rPr>
        <w:t xml:space="preserve">ur a adopté la résolution </w:t>
      </w:r>
      <w:hyperlink r:id="rId18" w:history="1">
        <w:r w:rsidR="0003261D" w:rsidRPr="00FA48F1">
          <w:rPr>
            <w:rStyle w:val="Hyperlink"/>
            <w:rFonts w:eastAsia="Times New Roman"/>
            <w:lang w:val="fr-CA" w:eastAsia="fr-CA"/>
          </w:rPr>
          <w:t>3/2023</w:t>
        </w:r>
      </w:hyperlink>
      <w:r w:rsidR="0003261D" w:rsidRPr="00FA48F1">
        <w:rPr>
          <w:rFonts w:eastAsia="Times New Roman"/>
          <w:lang w:val="fr-CA" w:eastAsia="fr-CA"/>
        </w:rPr>
        <w:t xml:space="preserve"> </w:t>
      </w:r>
      <w:r w:rsidRPr="00FA48F1">
        <w:rPr>
          <w:rFonts w:eastAsia="Times New Roman"/>
          <w:lang w:val="fr-CA" w:eastAsia="fr-CA"/>
        </w:rPr>
        <w:t xml:space="preserve"> sur l</w:t>
      </w:r>
      <w:r w:rsidR="00003783">
        <w:rPr>
          <w:rFonts w:eastAsia="Times New Roman"/>
          <w:lang w:val="fr-CA" w:eastAsia="fr-CA"/>
        </w:rPr>
        <w:t>’</w:t>
      </w:r>
      <w:r w:rsidRPr="00FA48F1">
        <w:rPr>
          <w:rFonts w:eastAsia="Times New Roman"/>
          <w:lang w:val="fr-CA" w:eastAsia="fr-CA"/>
        </w:rPr>
        <w:t>amélioration du fonctionnement du Système multilatéral d</w:t>
      </w:r>
      <w:r w:rsidR="00003783">
        <w:rPr>
          <w:rFonts w:eastAsia="Times New Roman"/>
          <w:lang w:val="fr-CA" w:eastAsia="fr-CA"/>
        </w:rPr>
        <w:t>’</w:t>
      </w:r>
      <w:r w:rsidRPr="00FA48F1">
        <w:rPr>
          <w:rFonts w:eastAsia="Times New Roman"/>
          <w:lang w:val="fr-CA" w:eastAsia="fr-CA"/>
        </w:rPr>
        <w:t>accès et de partage des avantages</w:t>
      </w:r>
      <w:r w:rsidR="0003261D" w:rsidRPr="00FA48F1">
        <w:rPr>
          <w:rFonts w:eastAsia="Times New Roman"/>
          <w:lang w:val="fr-CA" w:eastAsia="fr-CA"/>
        </w:rPr>
        <w:t>.</w:t>
      </w:r>
    </w:p>
    <w:p w:rsidR="00AA6D2F" w:rsidRPr="00FA48F1" w:rsidRDefault="0003261D" w:rsidP="00C34E71">
      <w:pPr>
        <w:pStyle w:val="CBDNormalNumber"/>
        <w:rPr>
          <w:lang w:val="fr-CA"/>
        </w:rPr>
      </w:pPr>
      <w:r w:rsidRPr="00FA48F1">
        <w:rPr>
          <w:lang w:val="fr-CA"/>
        </w:rPr>
        <w:t>Dans la résolution </w:t>
      </w:r>
      <w:r w:rsidR="00A336F0" w:rsidRPr="00FA48F1">
        <w:rPr>
          <w:lang w:val="fr-CA"/>
        </w:rPr>
        <w:t>3/2023</w:t>
      </w:r>
      <w:r w:rsidR="00C72ED6" w:rsidRPr="00FA48F1">
        <w:rPr>
          <w:lang w:val="fr-CA"/>
        </w:rPr>
        <w:t xml:space="preserve">, </w:t>
      </w:r>
      <w:r w:rsidRPr="00FA48F1">
        <w:rPr>
          <w:lang w:val="fr-CA"/>
        </w:rPr>
        <w:t>l</w:t>
      </w:r>
      <w:r w:rsidR="00003783">
        <w:rPr>
          <w:lang w:val="fr-CA"/>
        </w:rPr>
        <w:t>’</w:t>
      </w:r>
      <w:r w:rsidRPr="00FA48F1">
        <w:rPr>
          <w:lang w:val="fr-CA"/>
        </w:rPr>
        <w:t>Organe directeur a approuvé la suggestion du Groupe de travail d</w:t>
      </w:r>
      <w:r w:rsidR="00003783">
        <w:rPr>
          <w:lang w:val="fr-CA"/>
        </w:rPr>
        <w:t>’</w:t>
      </w:r>
      <w:r w:rsidRPr="00FA48F1">
        <w:rPr>
          <w:lang w:val="fr-CA"/>
        </w:rPr>
        <w:t>utiliser le « projet d</w:t>
      </w:r>
      <w:r w:rsidR="00003783">
        <w:rPr>
          <w:lang w:val="fr-CA"/>
        </w:rPr>
        <w:t>’</w:t>
      </w:r>
      <w:r w:rsidRPr="00FA48F1">
        <w:rPr>
          <w:lang w:val="fr-CA"/>
        </w:rPr>
        <w:t xml:space="preserve">ensemble de mesures de juin 2019 » comme point de départ de ses travaux ultérieurs </w:t>
      </w:r>
      <w:r w:rsidR="00C34E71" w:rsidRPr="00FA48F1">
        <w:rPr>
          <w:lang w:val="fr-CA"/>
        </w:rPr>
        <w:t>et a demandé aux coprésidents d</w:t>
      </w:r>
      <w:r w:rsidR="00003783">
        <w:rPr>
          <w:lang w:val="fr-CA"/>
        </w:rPr>
        <w:t>’</w:t>
      </w:r>
      <w:r w:rsidR="00C34E71" w:rsidRPr="00FA48F1">
        <w:rPr>
          <w:lang w:val="fr-CA"/>
        </w:rPr>
        <w:t>accorder très tôt leur attention aux trois « points sensibles » recensés : l</w:t>
      </w:r>
      <w:r w:rsidR="00003783">
        <w:rPr>
          <w:lang w:val="fr-CA"/>
        </w:rPr>
        <w:t>’</w:t>
      </w:r>
      <w:r w:rsidR="00C34E71" w:rsidRPr="00FA48F1">
        <w:rPr>
          <w:lang w:val="fr-CA"/>
        </w:rPr>
        <w:t>information de séquençage numérique/les données sur les séquences génétiques; l</w:t>
      </w:r>
      <w:r w:rsidR="00003783">
        <w:rPr>
          <w:lang w:val="fr-CA"/>
        </w:rPr>
        <w:t>’</w:t>
      </w:r>
      <w:r w:rsidR="00C34E71" w:rsidRPr="00FA48F1">
        <w:rPr>
          <w:lang w:val="fr-CA"/>
        </w:rPr>
        <w:t>élargissement de l</w:t>
      </w:r>
      <w:r w:rsidR="00003783">
        <w:rPr>
          <w:lang w:val="fr-CA"/>
        </w:rPr>
        <w:t>’</w:t>
      </w:r>
      <w:r w:rsidR="00C34E71" w:rsidRPr="00FA48F1">
        <w:rPr>
          <w:lang w:val="fr-CA"/>
        </w:rPr>
        <w:t>annexe I; et la structure et les barèmes de paiement (paragraphes 1 et 2). Dans la même résolution, l</w:t>
      </w:r>
      <w:r w:rsidR="00003783">
        <w:rPr>
          <w:lang w:val="fr-CA"/>
        </w:rPr>
        <w:t>’</w:t>
      </w:r>
      <w:r w:rsidR="00C34E71" w:rsidRPr="00FA48F1">
        <w:rPr>
          <w:lang w:val="fr-CA"/>
        </w:rPr>
        <w:t>Organe directeur a prié instamment le Groupe de travail de tenir compte de cette décision et des évolutions y relatives lorsqu</w:t>
      </w:r>
      <w:r w:rsidR="00003783">
        <w:rPr>
          <w:lang w:val="fr-CA"/>
        </w:rPr>
        <w:t>’</w:t>
      </w:r>
      <w:r w:rsidR="00C34E71" w:rsidRPr="00FA48F1">
        <w:rPr>
          <w:lang w:val="fr-CA"/>
        </w:rPr>
        <w:t>il abordera la question de l</w:t>
      </w:r>
      <w:r w:rsidR="00003783">
        <w:rPr>
          <w:lang w:val="fr-CA"/>
        </w:rPr>
        <w:t>’</w:t>
      </w:r>
      <w:r w:rsidR="00C34E71" w:rsidRPr="00FA48F1">
        <w:rPr>
          <w:lang w:val="fr-CA"/>
        </w:rPr>
        <w:t>information de séquençage numérique/des données de séquençage génétique dans le contexte du processus visant à améliorer le fonctionnement du Système multilatéral</w:t>
      </w:r>
      <w:r w:rsidRPr="00FA48F1">
        <w:rPr>
          <w:lang w:val="fr-CA"/>
        </w:rPr>
        <w:t xml:space="preserve"> </w:t>
      </w:r>
      <w:r w:rsidR="00C34E71" w:rsidRPr="00FA48F1">
        <w:rPr>
          <w:lang w:val="fr-CA"/>
        </w:rPr>
        <w:t>(paragraphe 4).</w:t>
      </w:r>
    </w:p>
    <w:p w:rsidR="004A5964" w:rsidRPr="00FA48F1" w:rsidRDefault="00C34E71" w:rsidP="00CF7694">
      <w:pPr>
        <w:pStyle w:val="CBDNormalNumber"/>
        <w:rPr>
          <w:lang w:val="fr-CA"/>
        </w:rPr>
      </w:pPr>
      <w:r w:rsidRPr="00FA48F1">
        <w:rPr>
          <w:rFonts w:eastAsia="Times New Roman"/>
          <w:lang w:val="fr-CA" w:eastAsia="fr-CA"/>
        </w:rPr>
        <w:t>La onzième réunion du Groupe de travail s</w:t>
      </w:r>
      <w:r w:rsidR="00003783">
        <w:rPr>
          <w:rFonts w:eastAsia="Times New Roman"/>
          <w:lang w:val="fr-CA" w:eastAsia="fr-CA"/>
        </w:rPr>
        <w:t>’</w:t>
      </w:r>
      <w:r w:rsidRPr="00FA48F1">
        <w:rPr>
          <w:rFonts w:eastAsia="Times New Roman"/>
          <w:lang w:val="fr-CA" w:eastAsia="fr-CA"/>
        </w:rPr>
        <w:t>est tenue en avril 2024. Lors de cette réunion, le Groupe de travail a formulé des suggestions pour la mise à jour du « </w:t>
      </w:r>
      <w:r w:rsidRPr="00FA48F1">
        <w:rPr>
          <w:lang w:val="fr-CA"/>
        </w:rPr>
        <w:t>projet d</w:t>
      </w:r>
      <w:r w:rsidR="00003783">
        <w:rPr>
          <w:lang w:val="fr-CA"/>
        </w:rPr>
        <w:t>’</w:t>
      </w:r>
      <w:r w:rsidRPr="00FA48F1">
        <w:rPr>
          <w:lang w:val="fr-CA"/>
        </w:rPr>
        <w:t>ensemble de mesures de juin 2019</w:t>
      </w:r>
      <w:r w:rsidRPr="00FA48F1">
        <w:rPr>
          <w:rFonts w:eastAsia="Times New Roman"/>
          <w:lang w:val="fr-CA" w:eastAsia="fr-CA"/>
        </w:rPr>
        <w:t> » et a convenu que ses coprésidents prépareraient un texte de négociation pour la douzième réunion du Groupe de travail, qui se tiendra en septembre 2024. Un représentant du Secrétariat de la Convention a participé à la onzième réunion du Groupe de travail et a fourni des informations sur les développements pertinents dans le cadre de la Convention, en particulier en ce qui concerne les travaux sur les informations de séquençage numérique concernant les ressources génétiques</w:t>
      </w:r>
      <w:r w:rsidRPr="00FA48F1">
        <w:rPr>
          <w:lang w:val="fr-CA"/>
        </w:rPr>
        <w:t>.</w:t>
      </w:r>
    </w:p>
    <w:p w:rsidR="00946254" w:rsidRPr="00FA48F1" w:rsidRDefault="00C34E71" w:rsidP="00CF7694">
      <w:pPr>
        <w:pStyle w:val="CBDNormalNumber"/>
        <w:rPr>
          <w:lang w:val="fr-CA"/>
        </w:rPr>
      </w:pPr>
      <w:r w:rsidRPr="00FA48F1">
        <w:rPr>
          <w:rFonts w:eastAsia="Times New Roman"/>
          <w:lang w:val="fr-CA" w:eastAsia="fr-CA"/>
        </w:rPr>
        <w:t xml:space="preserve">Comme </w:t>
      </w:r>
      <w:r w:rsidRPr="00FA48F1">
        <w:rPr>
          <w:rFonts w:eastAsia="Times New Roman"/>
          <w:noProof/>
          <w:lang w:val="fr-CA" w:eastAsia="fr-CA"/>
        </w:rPr>
        <w:t>indiqué ci</w:t>
      </w:r>
      <w:r w:rsidR="00003783">
        <w:rPr>
          <w:rFonts w:eastAsia="Times New Roman"/>
          <w:noProof/>
          <w:lang w:val="fr-CA" w:eastAsia="fr-CA"/>
        </w:rPr>
        <w:noBreakHyphen/>
      </w:r>
      <w:r w:rsidRPr="00FA48F1">
        <w:rPr>
          <w:rFonts w:eastAsia="Times New Roman"/>
          <w:noProof/>
          <w:lang w:val="fr-CA" w:eastAsia="fr-CA"/>
        </w:rPr>
        <w:t>dessus, la douzième</w:t>
      </w:r>
      <w:r w:rsidRPr="00FA48F1">
        <w:rPr>
          <w:rFonts w:eastAsia="Times New Roman"/>
          <w:lang w:val="fr-CA" w:eastAsia="fr-CA"/>
        </w:rPr>
        <w:t xml:space="preserve"> réunion du Groupe de travail se tiendra en septembre 2024. Il est prévu que d</w:t>
      </w:r>
      <w:r w:rsidR="00003783">
        <w:rPr>
          <w:rFonts w:eastAsia="Times New Roman"/>
          <w:lang w:val="fr-CA" w:eastAsia="fr-CA"/>
        </w:rPr>
        <w:t>’</w:t>
      </w:r>
      <w:r w:rsidRPr="00FA48F1">
        <w:rPr>
          <w:rFonts w:eastAsia="Times New Roman"/>
          <w:lang w:val="fr-CA" w:eastAsia="fr-CA"/>
        </w:rPr>
        <w:t>autres réunions du Groupe de travail auront lieu en 2025, et les résultats seront présentés à la onzième session de l</w:t>
      </w:r>
      <w:r w:rsidR="00003783">
        <w:rPr>
          <w:rFonts w:eastAsia="Times New Roman"/>
          <w:lang w:val="fr-CA" w:eastAsia="fr-CA"/>
        </w:rPr>
        <w:t>’</w:t>
      </w:r>
      <w:r w:rsidRPr="00FA48F1">
        <w:rPr>
          <w:rFonts w:eastAsia="Times New Roman"/>
          <w:lang w:val="fr-CA" w:eastAsia="fr-CA"/>
        </w:rPr>
        <w:t>Organe directeur en novembre 2025.</w:t>
      </w:r>
    </w:p>
    <w:p w:rsidR="00796BD7" w:rsidRPr="00FA48F1" w:rsidRDefault="00CC05BC" w:rsidP="00CF7694">
      <w:pPr>
        <w:pStyle w:val="CBDNormalNumber"/>
        <w:rPr>
          <w:lang w:val="fr-CA"/>
        </w:rPr>
      </w:pPr>
      <w:r w:rsidRPr="00FA48F1">
        <w:rPr>
          <w:rFonts w:eastAsia="Times New Roman"/>
          <w:lang w:val="fr-CA" w:eastAsia="fr-CA"/>
        </w:rPr>
        <w:lastRenderedPageBreak/>
        <w:t>Le représentant du Secrétariat de la Convention a participé à la cinquième réunion du Comité consultatif scientifique sur le Système mondial d</w:t>
      </w:r>
      <w:r w:rsidR="00003783">
        <w:rPr>
          <w:rFonts w:eastAsia="Times New Roman"/>
          <w:lang w:val="fr-CA" w:eastAsia="fr-CA"/>
        </w:rPr>
        <w:t>’</w:t>
      </w:r>
      <w:r w:rsidRPr="00FA48F1">
        <w:rPr>
          <w:rFonts w:eastAsia="Times New Roman"/>
          <w:lang w:val="fr-CA" w:eastAsia="fr-CA"/>
        </w:rPr>
        <w:t>information de l</w:t>
      </w:r>
      <w:r w:rsidR="00003783">
        <w:rPr>
          <w:rFonts w:eastAsia="Times New Roman"/>
          <w:lang w:val="fr-CA" w:eastAsia="fr-CA"/>
        </w:rPr>
        <w:t>’</w:t>
      </w:r>
      <w:r w:rsidRPr="00FA48F1">
        <w:rPr>
          <w:rFonts w:eastAsia="Times New Roman"/>
          <w:lang w:val="fr-CA" w:eastAsia="fr-CA"/>
        </w:rPr>
        <w:t>Article 17 du Traité international, tenue en mai 2023, et a communiqué des informations pertinentes lors de cette réunion.</w:t>
      </w:r>
    </w:p>
    <w:p w:rsidR="00571E30" w:rsidRPr="00FA48F1" w:rsidRDefault="00CC05BC" w:rsidP="00CF7694">
      <w:pPr>
        <w:pStyle w:val="CBDNormalNumber"/>
        <w:rPr>
          <w:lang w:val="fr-CA"/>
        </w:rPr>
      </w:pPr>
      <w:r w:rsidRPr="00FA48F1">
        <w:rPr>
          <w:rFonts w:eastAsia="Times New Roman"/>
          <w:lang w:val="fr-CA" w:eastAsia="fr-CA"/>
        </w:rPr>
        <w:t>Un représentant du Secrétariat du Traité international a participé à la cinquième réunion du Comité consultatif informel sur le renforcement des capacités pour la mise en œuvre du Protocole de Nagoya et aux travaux intersessions entrepris pour élaborer le projet de plan d</w:t>
      </w:r>
      <w:r w:rsidR="00003783">
        <w:rPr>
          <w:rFonts w:eastAsia="Times New Roman"/>
          <w:lang w:val="fr-CA" w:eastAsia="fr-CA"/>
        </w:rPr>
        <w:t>’</w:t>
      </w:r>
      <w:r w:rsidRPr="00FA48F1">
        <w:rPr>
          <w:rFonts w:eastAsia="Times New Roman"/>
          <w:lang w:val="fr-CA" w:eastAsia="fr-CA"/>
        </w:rPr>
        <w:t>action de renforcement des capacités pour le Protocole.</w:t>
      </w:r>
    </w:p>
    <w:p w:rsidR="002E79B4" w:rsidRPr="00FA48F1" w:rsidRDefault="00CC05BC" w:rsidP="00CF7694">
      <w:pPr>
        <w:pStyle w:val="CBDNormalNumber"/>
        <w:rPr>
          <w:lang w:val="fr-CA"/>
        </w:rPr>
      </w:pPr>
      <w:r w:rsidRPr="00FA48F1">
        <w:rPr>
          <w:rFonts w:eastAsia="Times New Roman"/>
          <w:lang w:val="fr-CA" w:eastAsia="fr-CA"/>
        </w:rPr>
        <w:t>Les deux secrétariats ont collaboré à l</w:t>
      </w:r>
      <w:r w:rsidR="00003783">
        <w:rPr>
          <w:rFonts w:eastAsia="Times New Roman"/>
          <w:lang w:val="fr-CA" w:eastAsia="fr-CA"/>
        </w:rPr>
        <w:t>’</w:t>
      </w:r>
      <w:r w:rsidRPr="00FA48F1">
        <w:rPr>
          <w:rFonts w:eastAsia="Times New Roman"/>
          <w:lang w:val="fr-CA" w:eastAsia="fr-CA"/>
        </w:rPr>
        <w:t>élaboration d</w:t>
      </w:r>
      <w:r w:rsidR="00003783">
        <w:rPr>
          <w:rFonts w:eastAsia="Times New Roman"/>
          <w:lang w:val="fr-CA" w:eastAsia="fr-CA"/>
        </w:rPr>
        <w:t>’</w:t>
      </w:r>
      <w:r w:rsidRPr="00FA48F1">
        <w:rPr>
          <w:rFonts w:eastAsia="Times New Roman"/>
          <w:lang w:val="fr-CA" w:eastAsia="fr-CA"/>
        </w:rPr>
        <w:t xml:space="preserve">indicateurs sur le partage des avantages au titre du Cadre mondial pour la biodiversité </w:t>
      </w:r>
      <w:r w:rsidRPr="00FA48F1">
        <w:rPr>
          <w:rFonts w:eastAsia="Times New Roman"/>
          <w:noProof/>
          <w:lang w:val="fr-CA" w:eastAsia="fr-CA"/>
        </w:rPr>
        <w:t>de Kunming</w:t>
      </w:r>
      <w:r w:rsidR="00003783">
        <w:rPr>
          <w:rFonts w:eastAsia="Times New Roman"/>
          <w:noProof/>
          <w:lang w:val="fr-CA" w:eastAsia="fr-CA"/>
        </w:rPr>
        <w:noBreakHyphen/>
      </w:r>
      <w:r w:rsidRPr="00FA48F1">
        <w:rPr>
          <w:rFonts w:eastAsia="Times New Roman"/>
          <w:noProof/>
          <w:lang w:val="fr-CA" w:eastAsia="fr-CA"/>
        </w:rPr>
        <w:t>Montréal, tels qu</w:t>
      </w:r>
      <w:r w:rsidR="00003783">
        <w:rPr>
          <w:rFonts w:eastAsia="Times New Roman"/>
          <w:noProof/>
          <w:lang w:val="fr-CA" w:eastAsia="fr-CA"/>
        </w:rPr>
        <w:t>’</w:t>
      </w:r>
      <w:r w:rsidRPr="00FA48F1">
        <w:rPr>
          <w:rFonts w:eastAsia="Times New Roman"/>
          <w:noProof/>
          <w:lang w:val="fr-CA" w:eastAsia="fr-CA"/>
        </w:rPr>
        <w:t>ils se</w:t>
      </w:r>
      <w:r w:rsidRPr="00FA48F1">
        <w:rPr>
          <w:rFonts w:eastAsia="Times New Roman"/>
          <w:lang w:val="fr-CA" w:eastAsia="fr-CA"/>
        </w:rPr>
        <w:t xml:space="preserve"> rapportent à l</w:t>
      </w:r>
      <w:r w:rsidR="00003783">
        <w:rPr>
          <w:rFonts w:eastAsia="Times New Roman"/>
          <w:lang w:val="fr-CA" w:eastAsia="fr-CA"/>
        </w:rPr>
        <w:t>’</w:t>
      </w:r>
      <w:r w:rsidRPr="00FA48F1">
        <w:rPr>
          <w:rFonts w:eastAsia="Times New Roman"/>
          <w:lang w:val="fr-CA" w:eastAsia="fr-CA"/>
        </w:rPr>
        <w:t xml:space="preserve">objectif C et à la cible 13, et </w:t>
      </w:r>
      <w:r w:rsidR="006B6F55" w:rsidRPr="00FA48F1">
        <w:rPr>
          <w:rFonts w:eastAsia="Times New Roman"/>
          <w:lang w:val="fr-CA" w:eastAsia="fr-CA"/>
        </w:rPr>
        <w:t xml:space="preserve">ils </w:t>
      </w:r>
      <w:r w:rsidRPr="00FA48F1">
        <w:rPr>
          <w:rFonts w:eastAsia="Times New Roman"/>
          <w:lang w:val="fr-CA" w:eastAsia="fr-CA"/>
        </w:rPr>
        <w:t>ont également collaboré au processus de suivi de la cible 15.6</w:t>
      </w:r>
      <w:r w:rsidRPr="00FA48F1">
        <w:rPr>
          <w:rStyle w:val="FootnoteReference"/>
          <w:lang w:val="fr-CA"/>
        </w:rPr>
        <w:footnoteReference w:id="4"/>
      </w:r>
      <w:r w:rsidRPr="00FA48F1">
        <w:rPr>
          <w:lang w:val="fr-CA"/>
        </w:rPr>
        <w:t xml:space="preserve"> </w:t>
      </w:r>
      <w:r w:rsidRPr="00FA48F1">
        <w:rPr>
          <w:rFonts w:eastAsia="Times New Roman"/>
          <w:lang w:val="fr-CA" w:eastAsia="fr-CA"/>
        </w:rPr>
        <w:t>dans le contexte du cadre mondial d</w:t>
      </w:r>
      <w:r w:rsidR="00003783">
        <w:rPr>
          <w:rFonts w:eastAsia="Times New Roman"/>
          <w:lang w:val="fr-CA" w:eastAsia="fr-CA"/>
        </w:rPr>
        <w:t>’</w:t>
      </w:r>
      <w:r w:rsidRPr="00FA48F1">
        <w:rPr>
          <w:rFonts w:eastAsia="Times New Roman"/>
          <w:lang w:val="fr-CA" w:eastAsia="fr-CA"/>
        </w:rPr>
        <w:t>indicateurs relatifs aux Objectifs de développement durable et des cibles du Programme de développement durable à l</w:t>
      </w:r>
      <w:r w:rsidR="00003783">
        <w:rPr>
          <w:rFonts w:eastAsia="Times New Roman"/>
          <w:lang w:val="fr-CA" w:eastAsia="fr-CA"/>
        </w:rPr>
        <w:t>’</w:t>
      </w:r>
      <w:r w:rsidRPr="00FA48F1">
        <w:rPr>
          <w:rFonts w:eastAsia="Times New Roman"/>
          <w:lang w:val="fr-CA" w:eastAsia="fr-CA"/>
        </w:rPr>
        <w:t>horizon 2030.</w:t>
      </w:r>
      <w:r w:rsidRPr="00FA48F1">
        <w:rPr>
          <w:rStyle w:val="FootnoteReference"/>
          <w:lang w:val="fr-CA"/>
        </w:rPr>
        <w:footnoteReference w:id="5"/>
      </w:r>
    </w:p>
    <w:p w:rsidR="008028F3" w:rsidRPr="00FA48F1" w:rsidRDefault="008028F3" w:rsidP="00596285">
      <w:pPr>
        <w:pStyle w:val="CBDH2"/>
        <w:rPr>
          <w:lang w:val="fr-CA"/>
        </w:rPr>
      </w:pPr>
      <w:r w:rsidRPr="00FA48F1">
        <w:rPr>
          <w:lang w:val="fr-CA"/>
        </w:rPr>
        <w:t>B.</w:t>
      </w:r>
      <w:r w:rsidRPr="00FA48F1">
        <w:rPr>
          <w:lang w:val="fr-CA"/>
        </w:rPr>
        <w:tab/>
      </w:r>
      <w:bookmarkStart w:id="1" w:name="_Hlk176814284"/>
      <w:r w:rsidR="00CF636E" w:rsidRPr="00FA48F1">
        <w:rPr>
          <w:bCs/>
          <w:lang w:val="fr-CA"/>
        </w:rPr>
        <w:t>Commission des ressources génétiques pour l</w:t>
      </w:r>
      <w:r w:rsidR="00003783">
        <w:rPr>
          <w:bCs/>
          <w:lang w:val="fr-CA"/>
        </w:rPr>
        <w:t>’</w:t>
      </w:r>
      <w:r w:rsidR="00CF636E" w:rsidRPr="00FA48F1">
        <w:rPr>
          <w:bCs/>
          <w:lang w:val="fr-CA"/>
        </w:rPr>
        <w:t>alimentation et l</w:t>
      </w:r>
      <w:r w:rsidR="00003783">
        <w:rPr>
          <w:bCs/>
          <w:lang w:val="fr-CA"/>
        </w:rPr>
        <w:t>’</w:t>
      </w:r>
      <w:r w:rsidR="00CF636E" w:rsidRPr="00FA48F1">
        <w:rPr>
          <w:bCs/>
          <w:lang w:val="fr-CA"/>
        </w:rPr>
        <w:t>agriculture</w:t>
      </w:r>
    </w:p>
    <w:bookmarkEnd w:id="1"/>
    <w:p w:rsidR="001C60E8" w:rsidRPr="00FA48F1" w:rsidRDefault="00CF636E" w:rsidP="00CF7694">
      <w:pPr>
        <w:pStyle w:val="CBDNormalNumber"/>
        <w:rPr>
          <w:lang w:val="fr-CA"/>
        </w:rPr>
      </w:pPr>
      <w:r w:rsidRPr="00FA48F1">
        <w:rPr>
          <w:lang w:val="fr-CA"/>
        </w:rPr>
        <w:t>Les secrétariats de la Commission des ressources génétiques pour l</w:t>
      </w:r>
      <w:r w:rsidR="00003783">
        <w:rPr>
          <w:lang w:val="fr-CA"/>
        </w:rPr>
        <w:t>’</w:t>
      </w:r>
      <w:r w:rsidRPr="00FA48F1">
        <w:rPr>
          <w:lang w:val="fr-CA"/>
        </w:rPr>
        <w:t>alimentation et l</w:t>
      </w:r>
      <w:r w:rsidR="00003783">
        <w:rPr>
          <w:lang w:val="fr-CA"/>
        </w:rPr>
        <w:t>’</w:t>
      </w:r>
      <w:r w:rsidRPr="00FA48F1">
        <w:rPr>
          <w:lang w:val="fr-CA"/>
        </w:rPr>
        <w:t>agriculture et de la Convention coopèrent sur des questions relatives à l</w:t>
      </w:r>
      <w:r w:rsidR="00003783">
        <w:rPr>
          <w:lang w:val="fr-CA"/>
        </w:rPr>
        <w:t>’</w:t>
      </w:r>
      <w:r w:rsidRPr="00FA48F1">
        <w:rPr>
          <w:lang w:val="fr-CA"/>
        </w:rPr>
        <w:t>accès et au partage des avantages, entre autres, conformément à leur programme de travail conjoint.</w:t>
      </w:r>
    </w:p>
    <w:p w:rsidR="00B0719E" w:rsidRPr="00FA48F1" w:rsidRDefault="00CF636E" w:rsidP="00CF7694">
      <w:pPr>
        <w:pStyle w:val="CBDNormalNumber"/>
        <w:rPr>
          <w:lang w:val="fr-CA"/>
        </w:rPr>
      </w:pPr>
      <w:r w:rsidRPr="00FA48F1">
        <w:rPr>
          <w:lang w:val="fr-CA"/>
        </w:rPr>
        <w:t xml:space="preserve">Au cours de la période considérée, le Secrétariat de la Convention a soumis un rapport à la </w:t>
      </w:r>
      <w:r w:rsidRPr="00FA48F1">
        <w:rPr>
          <w:noProof/>
          <w:lang w:val="fr-CA"/>
        </w:rPr>
        <w:t>dix</w:t>
      </w:r>
      <w:r w:rsidR="00003783">
        <w:rPr>
          <w:noProof/>
          <w:lang w:val="fr-CA"/>
        </w:rPr>
        <w:noBreakHyphen/>
      </w:r>
      <w:r w:rsidRPr="00FA48F1">
        <w:rPr>
          <w:noProof/>
          <w:lang w:val="fr-CA"/>
        </w:rPr>
        <w:t xml:space="preserve">neuvième </w:t>
      </w:r>
      <w:r w:rsidRPr="00FA48F1">
        <w:rPr>
          <w:lang w:val="fr-CA"/>
        </w:rPr>
        <w:t>session ordinaire de la Commission, qui s</w:t>
      </w:r>
      <w:r w:rsidR="00003783">
        <w:rPr>
          <w:lang w:val="fr-CA"/>
        </w:rPr>
        <w:t>’</w:t>
      </w:r>
      <w:r w:rsidRPr="00FA48F1">
        <w:rPr>
          <w:lang w:val="fr-CA"/>
        </w:rPr>
        <w:t>est tenue en juillet 2023, et y a participé. Le Secrétaire exécutif par intérim a prononcé un discours lors de la séance d</w:t>
      </w:r>
      <w:r w:rsidR="00003783">
        <w:rPr>
          <w:lang w:val="fr-CA"/>
        </w:rPr>
        <w:t>’</w:t>
      </w:r>
      <w:r w:rsidRPr="00FA48F1">
        <w:rPr>
          <w:lang w:val="fr-CA"/>
        </w:rPr>
        <w:t>ouverture.</w:t>
      </w:r>
    </w:p>
    <w:p w:rsidR="002E1304" w:rsidRPr="00FA48F1" w:rsidRDefault="00CF636E" w:rsidP="00CF7694">
      <w:pPr>
        <w:pStyle w:val="CBDNormalNumber"/>
        <w:rPr>
          <w:lang w:val="fr-CA"/>
        </w:rPr>
      </w:pPr>
      <w:r w:rsidRPr="00FA48F1">
        <w:rPr>
          <w:lang w:val="fr-CA"/>
        </w:rPr>
        <w:t>En discutant du point à l</w:t>
      </w:r>
      <w:r w:rsidR="00003783">
        <w:rPr>
          <w:lang w:val="fr-CA"/>
        </w:rPr>
        <w:t>’</w:t>
      </w:r>
      <w:r w:rsidRPr="00FA48F1">
        <w:rPr>
          <w:lang w:val="fr-CA"/>
        </w:rPr>
        <w:t>ordre du jour sur l</w:t>
      </w:r>
      <w:r w:rsidR="00003783">
        <w:rPr>
          <w:lang w:val="fr-CA"/>
        </w:rPr>
        <w:t>’</w:t>
      </w:r>
      <w:r w:rsidRPr="00FA48F1">
        <w:rPr>
          <w:lang w:val="fr-CA"/>
        </w:rPr>
        <w:t>accès et le partage des avantages pour les ressources génétiques destinées à l</w:t>
      </w:r>
      <w:r w:rsidR="00003783">
        <w:rPr>
          <w:lang w:val="fr-CA"/>
        </w:rPr>
        <w:t>’</w:t>
      </w:r>
      <w:r w:rsidRPr="00FA48F1">
        <w:rPr>
          <w:lang w:val="fr-CA"/>
        </w:rPr>
        <w:t>alimentation et à l</w:t>
      </w:r>
      <w:r w:rsidR="00003783">
        <w:rPr>
          <w:lang w:val="fr-CA"/>
        </w:rPr>
        <w:t>’</w:t>
      </w:r>
      <w:r w:rsidRPr="00FA48F1">
        <w:rPr>
          <w:lang w:val="fr-CA"/>
        </w:rPr>
        <w:t>agriculture, la Commission a pris note et a fourni des commentaires sur une typologie des mesures nationales d</w:t>
      </w:r>
      <w:r w:rsidR="00003783">
        <w:rPr>
          <w:lang w:val="fr-CA"/>
        </w:rPr>
        <w:t>’</w:t>
      </w:r>
      <w:r w:rsidRPr="00FA48F1">
        <w:rPr>
          <w:lang w:val="fr-CA"/>
        </w:rPr>
        <w:t xml:space="preserve">accès </w:t>
      </w:r>
      <w:r w:rsidRPr="00FA48F1">
        <w:rPr>
          <w:noProof/>
          <w:lang w:val="fr-CA"/>
        </w:rPr>
        <w:t>et de partage des avantages, préparée en réponse à une demande de la Commission lors de sa dix</w:t>
      </w:r>
      <w:r w:rsidR="00003783">
        <w:rPr>
          <w:noProof/>
          <w:lang w:val="fr-CA"/>
        </w:rPr>
        <w:noBreakHyphen/>
      </w:r>
      <w:r w:rsidRPr="00FA48F1">
        <w:rPr>
          <w:noProof/>
          <w:lang w:val="fr-CA"/>
        </w:rPr>
        <w:t>huitième session</w:t>
      </w:r>
      <w:r w:rsidRPr="00FA48F1">
        <w:rPr>
          <w:lang w:val="fr-CA"/>
        </w:rPr>
        <w:t>. Un projet de la typologie avait été examiné plus tôt par l</w:t>
      </w:r>
      <w:r w:rsidR="00003783">
        <w:rPr>
          <w:lang w:val="fr-CA"/>
        </w:rPr>
        <w:t>’</w:t>
      </w:r>
      <w:r w:rsidRPr="00FA48F1">
        <w:rPr>
          <w:lang w:val="fr-CA"/>
        </w:rPr>
        <w:t>équipe d</w:t>
      </w:r>
      <w:r w:rsidR="00003783">
        <w:rPr>
          <w:lang w:val="fr-CA"/>
        </w:rPr>
        <w:t>’</w:t>
      </w:r>
      <w:r w:rsidRPr="00FA48F1">
        <w:rPr>
          <w:lang w:val="fr-CA"/>
        </w:rPr>
        <w:t>experts techniques et juridiques sur l</w:t>
      </w:r>
      <w:r w:rsidR="00003783">
        <w:rPr>
          <w:lang w:val="fr-CA"/>
        </w:rPr>
        <w:t>’</w:t>
      </w:r>
      <w:r w:rsidRPr="00FA48F1">
        <w:rPr>
          <w:lang w:val="fr-CA"/>
        </w:rPr>
        <w:t>accès et le partage des avantages lors de sa sixième session en mai 2023. Le Secrétariat de la Convention avait participé à cette réunion.</w:t>
      </w:r>
    </w:p>
    <w:p w:rsidR="00796D76" w:rsidRPr="00FA48F1" w:rsidRDefault="00CF636E" w:rsidP="00CF7694">
      <w:pPr>
        <w:pStyle w:val="CBDNormalNumber"/>
        <w:rPr>
          <w:lang w:val="fr-CA"/>
        </w:rPr>
      </w:pPr>
      <w:r w:rsidRPr="00FA48F1">
        <w:rPr>
          <w:lang w:val="fr-CA"/>
        </w:rPr>
        <w:t>La Commission a demandé à son Secrétariat de finaliser la typologie et de la</w:t>
      </w:r>
      <w:r w:rsidR="00601EB5">
        <w:rPr>
          <w:lang w:val="fr-CA"/>
        </w:rPr>
        <w:t xml:space="preserve"> rendre disponible sur le site w</w:t>
      </w:r>
      <w:r w:rsidRPr="00FA48F1">
        <w:rPr>
          <w:lang w:val="fr-CA"/>
        </w:rPr>
        <w:t>eb de la Commission, en tenant compte du fait qu</w:t>
      </w:r>
      <w:r w:rsidR="00003783">
        <w:rPr>
          <w:lang w:val="fr-CA"/>
        </w:rPr>
        <w:t>’</w:t>
      </w:r>
      <w:r w:rsidRPr="00FA48F1">
        <w:rPr>
          <w:lang w:val="fr-CA"/>
        </w:rPr>
        <w:t>il s</w:t>
      </w:r>
      <w:r w:rsidR="00003783">
        <w:rPr>
          <w:lang w:val="fr-CA"/>
        </w:rPr>
        <w:t>’</w:t>
      </w:r>
      <w:r w:rsidRPr="00FA48F1">
        <w:rPr>
          <w:lang w:val="fr-CA"/>
        </w:rPr>
        <w:t>agit d</w:t>
      </w:r>
      <w:r w:rsidR="00003783">
        <w:rPr>
          <w:lang w:val="fr-CA"/>
        </w:rPr>
        <w:t>’</w:t>
      </w:r>
      <w:r w:rsidRPr="00FA48F1">
        <w:rPr>
          <w:lang w:val="fr-CA"/>
        </w:rPr>
        <w:t>un document évolutif qui doit être mis à jour périodiquement, selon les besoins. La typologie est actue</w:t>
      </w:r>
      <w:r w:rsidR="00601EB5">
        <w:rPr>
          <w:lang w:val="fr-CA"/>
        </w:rPr>
        <w:t>llement disponible sur le site w</w:t>
      </w:r>
      <w:r w:rsidRPr="00FA48F1">
        <w:rPr>
          <w:lang w:val="fr-CA"/>
        </w:rPr>
        <w:t>eb de la Commission.</w:t>
      </w:r>
      <w:r w:rsidRPr="00FA48F1">
        <w:rPr>
          <w:rStyle w:val="FootnoteReference"/>
          <w:lang w:val="fr-CA"/>
        </w:rPr>
        <w:footnoteReference w:id="6"/>
      </w:r>
    </w:p>
    <w:p w:rsidR="00F0407D" w:rsidRPr="00FA48F1" w:rsidRDefault="00CF636E" w:rsidP="00CF7694">
      <w:pPr>
        <w:pStyle w:val="CBDNormalNumber"/>
        <w:rPr>
          <w:lang w:val="fr-CA"/>
        </w:rPr>
      </w:pPr>
      <w:r w:rsidRPr="00FA48F1">
        <w:rPr>
          <w:lang w:val="fr-CA"/>
        </w:rPr>
        <w:t>La Commission a examiné un projet de questionnaire sur les implications des mesures d</w:t>
      </w:r>
      <w:r w:rsidR="00003783">
        <w:rPr>
          <w:lang w:val="fr-CA"/>
        </w:rPr>
        <w:t>’</w:t>
      </w:r>
      <w:r w:rsidRPr="00FA48F1">
        <w:rPr>
          <w:lang w:val="fr-CA"/>
        </w:rPr>
        <w:t>accès et de partage des avantages pour l</w:t>
      </w:r>
      <w:r w:rsidR="00003783">
        <w:rPr>
          <w:lang w:val="fr-CA"/>
        </w:rPr>
        <w:t>’</w:t>
      </w:r>
      <w:r w:rsidRPr="00FA48F1">
        <w:rPr>
          <w:lang w:val="fr-CA"/>
        </w:rPr>
        <w:t>utilisation et l</w:t>
      </w:r>
      <w:r w:rsidR="00003783">
        <w:rPr>
          <w:lang w:val="fr-CA"/>
        </w:rPr>
        <w:t>’</w:t>
      </w:r>
      <w:r w:rsidRPr="00FA48F1">
        <w:rPr>
          <w:lang w:val="fr-CA"/>
        </w:rPr>
        <w:t>échange de ressources génétiques pour l</w:t>
      </w:r>
      <w:r w:rsidR="00003783">
        <w:rPr>
          <w:lang w:val="fr-CA"/>
        </w:rPr>
        <w:t>’</w:t>
      </w:r>
      <w:r w:rsidRPr="00FA48F1">
        <w:rPr>
          <w:lang w:val="fr-CA"/>
        </w:rPr>
        <w:t>alimentation et l</w:t>
      </w:r>
      <w:r w:rsidR="00003783">
        <w:rPr>
          <w:lang w:val="fr-CA"/>
        </w:rPr>
        <w:t>’</w:t>
      </w:r>
      <w:r w:rsidRPr="00FA48F1">
        <w:rPr>
          <w:lang w:val="fr-CA"/>
        </w:rPr>
        <w:t>agriculture, ainsi que le partage des avantages. La Commission a demandé au Secrétariat de finaliser le projet de questionnaire et de préparer, sur la base des réponses reçues et d</w:t>
      </w:r>
      <w:r w:rsidR="00003783">
        <w:rPr>
          <w:lang w:val="fr-CA"/>
        </w:rPr>
        <w:t>’</w:t>
      </w:r>
      <w:r w:rsidRPr="00FA48F1">
        <w:rPr>
          <w:lang w:val="fr-CA"/>
        </w:rPr>
        <w:t>autres sources d</w:t>
      </w:r>
      <w:r w:rsidR="00003783">
        <w:rPr>
          <w:lang w:val="fr-CA"/>
        </w:rPr>
        <w:t>’</w:t>
      </w:r>
      <w:r w:rsidRPr="00FA48F1">
        <w:rPr>
          <w:lang w:val="fr-CA"/>
        </w:rPr>
        <w:t>information disponibles, un rapport sur les implications de la mise en œuvre des mesures nationales d</w:t>
      </w:r>
      <w:r w:rsidR="00003783">
        <w:rPr>
          <w:lang w:val="fr-CA"/>
        </w:rPr>
        <w:t>’</w:t>
      </w:r>
      <w:r w:rsidRPr="00FA48F1">
        <w:rPr>
          <w:lang w:val="fr-CA"/>
        </w:rPr>
        <w:t>accès et de partage des avantages pour l</w:t>
      </w:r>
      <w:r w:rsidR="00003783">
        <w:rPr>
          <w:lang w:val="fr-CA"/>
        </w:rPr>
        <w:t>’</w:t>
      </w:r>
      <w:r w:rsidRPr="00FA48F1">
        <w:rPr>
          <w:lang w:val="fr-CA"/>
        </w:rPr>
        <w:t>utilisation et l</w:t>
      </w:r>
      <w:r w:rsidR="00003783">
        <w:rPr>
          <w:lang w:val="fr-CA"/>
        </w:rPr>
        <w:t>’</w:t>
      </w:r>
      <w:r w:rsidRPr="00FA48F1">
        <w:rPr>
          <w:lang w:val="fr-CA"/>
        </w:rPr>
        <w:t>échange de ressources génétiques pour l</w:t>
      </w:r>
      <w:r w:rsidR="00003783">
        <w:rPr>
          <w:lang w:val="fr-CA"/>
        </w:rPr>
        <w:t>’</w:t>
      </w:r>
      <w:r w:rsidRPr="00FA48F1">
        <w:rPr>
          <w:lang w:val="fr-CA"/>
        </w:rPr>
        <w:t>alimentation et l</w:t>
      </w:r>
      <w:r w:rsidR="00003783">
        <w:rPr>
          <w:lang w:val="fr-CA"/>
        </w:rPr>
        <w:t>’</w:t>
      </w:r>
      <w:r w:rsidRPr="00FA48F1">
        <w:rPr>
          <w:lang w:val="fr-CA"/>
        </w:rPr>
        <w:t>agriculture, des connaissances traditionnelles associées et du partage juste et équitable des avantages.</w:t>
      </w:r>
    </w:p>
    <w:p w:rsidR="000B36F0" w:rsidRPr="00FA48F1" w:rsidRDefault="0096718D" w:rsidP="00CF7694">
      <w:pPr>
        <w:pStyle w:val="CBDNormalNumber"/>
        <w:rPr>
          <w:lang w:val="fr-CA"/>
        </w:rPr>
      </w:pPr>
      <w:r w:rsidRPr="00FA48F1">
        <w:rPr>
          <w:lang w:val="fr-CA"/>
        </w:rPr>
        <w:lastRenderedPageBreak/>
        <w:t>Le questionnaire a été lancé en juillet 2024 et le Secrétariat de la Convention a publié la notification 2024</w:t>
      </w:r>
      <w:r w:rsidR="00003783">
        <w:rPr>
          <w:lang w:val="fr-CA"/>
        </w:rPr>
        <w:noBreakHyphen/>
      </w:r>
      <w:r w:rsidRPr="00FA48F1">
        <w:rPr>
          <w:lang w:val="fr-CA"/>
        </w:rPr>
        <w:t>081 du 5 août 2024 pour le porter à l</w:t>
      </w:r>
      <w:r w:rsidR="00003783">
        <w:rPr>
          <w:lang w:val="fr-CA"/>
        </w:rPr>
        <w:t>’</w:t>
      </w:r>
      <w:r w:rsidRPr="00FA48F1">
        <w:rPr>
          <w:lang w:val="fr-CA"/>
        </w:rPr>
        <w:t xml:space="preserve">attention des </w:t>
      </w:r>
      <w:r w:rsidR="003A2E1C" w:rsidRPr="00FA48F1">
        <w:rPr>
          <w:lang w:val="fr-CA"/>
        </w:rPr>
        <w:t>points focaux</w:t>
      </w:r>
      <w:r w:rsidRPr="00FA48F1">
        <w:rPr>
          <w:lang w:val="fr-CA"/>
        </w:rPr>
        <w:t xml:space="preserve"> nationaux et d</w:t>
      </w:r>
      <w:r w:rsidR="00003783">
        <w:rPr>
          <w:lang w:val="fr-CA"/>
        </w:rPr>
        <w:t>’</w:t>
      </w:r>
      <w:r w:rsidRPr="00FA48F1">
        <w:rPr>
          <w:lang w:val="fr-CA"/>
        </w:rPr>
        <w:t>autres parties intéressées.</w:t>
      </w:r>
    </w:p>
    <w:p w:rsidR="00544BC1" w:rsidRPr="00FA48F1" w:rsidRDefault="00D21804" w:rsidP="00CF7694">
      <w:pPr>
        <w:pStyle w:val="CBDNormalNumber"/>
        <w:rPr>
          <w:lang w:val="fr-CA"/>
        </w:rPr>
      </w:pPr>
      <w:r w:rsidRPr="00FA48F1">
        <w:rPr>
          <w:lang w:val="fr-CA"/>
        </w:rPr>
        <w:t>La Commission a demandé à son Secrétariat de contribuer au processus d</w:t>
      </w:r>
      <w:r w:rsidR="00003783">
        <w:rPr>
          <w:lang w:val="fr-CA"/>
        </w:rPr>
        <w:t>’</w:t>
      </w:r>
      <w:r w:rsidRPr="00FA48F1">
        <w:rPr>
          <w:lang w:val="fr-CA"/>
        </w:rPr>
        <w:t>élaboration d</w:t>
      </w:r>
      <w:r w:rsidR="00003783">
        <w:rPr>
          <w:lang w:val="fr-CA"/>
        </w:rPr>
        <w:t>’</w:t>
      </w:r>
      <w:r w:rsidRPr="00FA48F1">
        <w:rPr>
          <w:lang w:val="fr-CA"/>
        </w:rPr>
        <w:t xml:space="preserve">indicateurs pour le Cadre mondial de la biodiversité </w:t>
      </w:r>
      <w:r w:rsidRPr="00FA48F1">
        <w:rPr>
          <w:noProof/>
          <w:lang w:val="fr-CA"/>
        </w:rPr>
        <w:t>de Kunming</w:t>
      </w:r>
      <w:r w:rsidR="00003783">
        <w:rPr>
          <w:noProof/>
          <w:lang w:val="fr-CA"/>
        </w:rPr>
        <w:noBreakHyphen/>
      </w:r>
      <w:r w:rsidRPr="00FA48F1">
        <w:rPr>
          <w:noProof/>
          <w:lang w:val="fr-CA"/>
        </w:rPr>
        <w:t>Montréal, a</w:t>
      </w:r>
      <w:r w:rsidRPr="00FA48F1">
        <w:rPr>
          <w:lang w:val="fr-CA"/>
        </w:rPr>
        <w:t>fin de surveiller le partage des avantages, en veillant à ce que les caractéristiques distinctives des ressources génétiques pour l</w:t>
      </w:r>
      <w:r w:rsidR="00003783">
        <w:rPr>
          <w:lang w:val="fr-CA"/>
        </w:rPr>
        <w:t>’</w:t>
      </w:r>
      <w:r w:rsidRPr="00FA48F1">
        <w:rPr>
          <w:lang w:val="fr-CA"/>
        </w:rPr>
        <w:t>alimentation et l</w:t>
      </w:r>
      <w:r w:rsidR="00003783">
        <w:rPr>
          <w:lang w:val="fr-CA"/>
        </w:rPr>
        <w:t>’</w:t>
      </w:r>
      <w:r w:rsidRPr="00FA48F1">
        <w:rPr>
          <w:lang w:val="fr-CA"/>
        </w:rPr>
        <w:t>agriculture soient prises en compte</w:t>
      </w:r>
      <w:r w:rsidR="00613FDE" w:rsidRPr="00FA48F1">
        <w:rPr>
          <w:lang w:val="fr-CA"/>
        </w:rPr>
        <w:t>.</w:t>
      </w:r>
    </w:p>
    <w:p w:rsidR="00650921" w:rsidRPr="00FA48F1" w:rsidRDefault="00613FDE" w:rsidP="00CF7694">
      <w:pPr>
        <w:pStyle w:val="CBDNormalNumber"/>
        <w:rPr>
          <w:lang w:val="fr-CA"/>
        </w:rPr>
      </w:pPr>
      <w:r w:rsidRPr="00FA48F1">
        <w:rPr>
          <w:lang w:val="fr-CA"/>
        </w:rPr>
        <w:t>Concernant les informations de séquençage numérique sur les ressources génétiques pour l</w:t>
      </w:r>
      <w:r w:rsidR="00003783">
        <w:rPr>
          <w:lang w:val="fr-CA"/>
        </w:rPr>
        <w:t>’</w:t>
      </w:r>
      <w:r w:rsidRPr="00FA48F1">
        <w:rPr>
          <w:lang w:val="fr-CA"/>
        </w:rPr>
        <w:t>alimentation et l</w:t>
      </w:r>
      <w:r w:rsidR="00003783">
        <w:rPr>
          <w:lang w:val="fr-CA"/>
        </w:rPr>
        <w:t>’</w:t>
      </w:r>
      <w:r w:rsidRPr="00FA48F1">
        <w:rPr>
          <w:lang w:val="fr-CA"/>
        </w:rPr>
        <w:t>agriculture, la Commission a salué la décision 15/9 de la Conférence des Parties à la Convention, y compris l</w:t>
      </w:r>
      <w:r w:rsidR="00003783">
        <w:rPr>
          <w:lang w:val="fr-CA"/>
        </w:rPr>
        <w:t>’</w:t>
      </w:r>
      <w:r w:rsidRPr="00FA48F1">
        <w:rPr>
          <w:lang w:val="fr-CA"/>
        </w:rPr>
        <w:t xml:space="preserve">établissement, dans le cadre du Cadre mondial de la biodiversité de </w:t>
      </w:r>
      <w:r w:rsidRPr="00FA48F1">
        <w:rPr>
          <w:noProof/>
          <w:lang w:val="fr-CA"/>
        </w:rPr>
        <w:t>Kunming</w:t>
      </w:r>
      <w:r w:rsidR="00003783">
        <w:rPr>
          <w:noProof/>
          <w:lang w:val="fr-CA"/>
        </w:rPr>
        <w:noBreakHyphen/>
      </w:r>
      <w:r w:rsidRPr="00FA48F1">
        <w:rPr>
          <w:noProof/>
          <w:lang w:val="fr-CA"/>
        </w:rPr>
        <w:t>Montréal, d</w:t>
      </w:r>
      <w:r w:rsidR="00003783">
        <w:rPr>
          <w:noProof/>
          <w:lang w:val="fr-CA"/>
        </w:rPr>
        <w:t>’</w:t>
      </w:r>
      <w:r w:rsidRPr="00FA48F1">
        <w:rPr>
          <w:noProof/>
          <w:lang w:val="fr-CA"/>
        </w:rPr>
        <w:t>un</w:t>
      </w:r>
      <w:r w:rsidRPr="00FA48F1">
        <w:rPr>
          <w:lang w:val="fr-CA"/>
        </w:rPr>
        <w:t xml:space="preserve"> mécanisme multilatéral de partage des avantages découlant de l</w:t>
      </w:r>
      <w:r w:rsidR="00003783">
        <w:rPr>
          <w:lang w:val="fr-CA"/>
        </w:rPr>
        <w:t>’</w:t>
      </w:r>
      <w:r w:rsidRPr="00FA48F1">
        <w:rPr>
          <w:lang w:val="fr-CA"/>
        </w:rPr>
        <w:t>utilisation des informations de séquençage numérique sur les ressources génétiques, y compris un fonds mondial.</w:t>
      </w:r>
    </w:p>
    <w:p w:rsidR="002153D9" w:rsidRPr="00FA48F1" w:rsidRDefault="00613FDE" w:rsidP="00CF7694">
      <w:pPr>
        <w:pStyle w:val="CBDNormalNumber"/>
        <w:rPr>
          <w:lang w:val="fr-CA"/>
        </w:rPr>
      </w:pPr>
      <w:r w:rsidRPr="00FA48F1">
        <w:rPr>
          <w:lang w:val="fr-CA"/>
        </w:rPr>
        <w:t>La Commission a pris note d</w:t>
      </w:r>
      <w:r w:rsidR="00003783">
        <w:rPr>
          <w:lang w:val="fr-CA"/>
        </w:rPr>
        <w:t>’</w:t>
      </w:r>
      <w:r w:rsidRPr="00FA48F1">
        <w:rPr>
          <w:lang w:val="fr-CA"/>
        </w:rPr>
        <w:t>un projet d</w:t>
      </w:r>
      <w:r w:rsidR="00003783">
        <w:rPr>
          <w:lang w:val="fr-CA"/>
        </w:rPr>
        <w:t>’</w:t>
      </w:r>
      <w:r w:rsidRPr="00FA48F1">
        <w:rPr>
          <w:lang w:val="fr-CA"/>
        </w:rPr>
        <w:t>étude intitulé « Le rôle des informations de séquençage numérique dans la conservation et l</w:t>
      </w:r>
      <w:r w:rsidR="00003783">
        <w:rPr>
          <w:lang w:val="fr-CA"/>
        </w:rPr>
        <w:t>’</w:t>
      </w:r>
      <w:r w:rsidRPr="00FA48F1">
        <w:rPr>
          <w:lang w:val="fr-CA"/>
        </w:rPr>
        <w:t>utilisation durable des ressources génétiques pour l</w:t>
      </w:r>
      <w:r w:rsidR="00003783">
        <w:rPr>
          <w:lang w:val="fr-CA"/>
        </w:rPr>
        <w:t>’</w:t>
      </w:r>
      <w:r w:rsidRPr="00FA48F1">
        <w:rPr>
          <w:lang w:val="fr-CA"/>
        </w:rPr>
        <w:t>alimentation et l</w:t>
      </w:r>
      <w:r w:rsidR="00003783">
        <w:rPr>
          <w:lang w:val="fr-CA"/>
        </w:rPr>
        <w:t>’</w:t>
      </w:r>
      <w:r w:rsidRPr="00FA48F1">
        <w:rPr>
          <w:lang w:val="fr-CA"/>
        </w:rPr>
        <w:t>agriculture : opportunités et défis » et a demandé à son Secrétariat de finaliser l</w:t>
      </w:r>
      <w:r w:rsidR="00003783">
        <w:rPr>
          <w:lang w:val="fr-CA"/>
        </w:rPr>
        <w:t>’</w:t>
      </w:r>
      <w:r w:rsidRPr="00FA48F1">
        <w:rPr>
          <w:lang w:val="fr-CA"/>
        </w:rPr>
        <w:t>étude et, par l</w:t>
      </w:r>
      <w:r w:rsidR="00003783">
        <w:rPr>
          <w:lang w:val="fr-CA"/>
        </w:rPr>
        <w:t>’</w:t>
      </w:r>
      <w:r w:rsidRPr="00FA48F1">
        <w:rPr>
          <w:lang w:val="fr-CA"/>
        </w:rPr>
        <w:t>intermédiaire du Secrétariat de la Convention, de la porter à l</w:t>
      </w:r>
      <w:r w:rsidR="00003783">
        <w:rPr>
          <w:lang w:val="fr-CA"/>
        </w:rPr>
        <w:t>’</w:t>
      </w:r>
      <w:r w:rsidRPr="00FA48F1">
        <w:rPr>
          <w:lang w:val="fr-CA"/>
        </w:rPr>
        <w:t>attention du Groupe de travail spécial à composition non limitée sur le partage des avantages découlant de l</w:t>
      </w:r>
      <w:r w:rsidR="00003783">
        <w:rPr>
          <w:lang w:val="fr-CA"/>
        </w:rPr>
        <w:t>’</w:t>
      </w:r>
      <w:r w:rsidRPr="00FA48F1">
        <w:rPr>
          <w:lang w:val="fr-CA"/>
        </w:rPr>
        <w:t>utilisation des informations de séquençage numérique sur les ressources génétiques. L</w:t>
      </w:r>
      <w:r w:rsidR="00003783">
        <w:rPr>
          <w:lang w:val="fr-CA"/>
        </w:rPr>
        <w:t>’</w:t>
      </w:r>
      <w:r w:rsidRPr="00FA48F1">
        <w:rPr>
          <w:lang w:val="fr-CA"/>
        </w:rPr>
        <w:t>étude finalisée a été transmise au Secrétariat de la Convention, qui l</w:t>
      </w:r>
      <w:r w:rsidR="00003783">
        <w:rPr>
          <w:lang w:val="fr-CA"/>
        </w:rPr>
        <w:t>’</w:t>
      </w:r>
      <w:r w:rsidRPr="00FA48F1">
        <w:rPr>
          <w:lang w:val="fr-CA"/>
        </w:rPr>
        <w:t>a mise à la disposition du Groupe de travail, lors de sa deuxième réunion.</w:t>
      </w:r>
      <w:r w:rsidRPr="00FA48F1">
        <w:rPr>
          <w:rStyle w:val="FootnoteReference"/>
          <w:lang w:val="fr-CA"/>
        </w:rPr>
        <w:footnoteReference w:id="7"/>
      </w:r>
    </w:p>
    <w:p w:rsidR="0088459A" w:rsidRPr="00FA48F1" w:rsidRDefault="00613FDE" w:rsidP="00CF7694">
      <w:pPr>
        <w:pStyle w:val="CBDNormalNumber"/>
        <w:rPr>
          <w:lang w:val="fr-CA"/>
        </w:rPr>
      </w:pPr>
      <w:r w:rsidRPr="00FA48F1">
        <w:rPr>
          <w:lang w:val="fr-CA"/>
        </w:rPr>
        <w:t>La Commission a demandé à son Secrétariat d</w:t>
      </w:r>
      <w:r w:rsidR="00003783">
        <w:rPr>
          <w:lang w:val="fr-CA"/>
        </w:rPr>
        <w:t>’</w:t>
      </w:r>
      <w:r w:rsidRPr="00FA48F1">
        <w:rPr>
          <w:lang w:val="fr-CA"/>
        </w:rPr>
        <w:t>organiser, en collaboration avec les Secrétariats de la Convention et du Traité international et d</w:t>
      </w:r>
      <w:r w:rsidR="00003783">
        <w:rPr>
          <w:lang w:val="fr-CA"/>
        </w:rPr>
        <w:t>’</w:t>
      </w:r>
      <w:r w:rsidRPr="00FA48F1">
        <w:rPr>
          <w:lang w:val="fr-CA"/>
        </w:rPr>
        <w:t>autres organisations internationales pertinentes, des atelier</w:t>
      </w:r>
      <w:r w:rsidR="00D36D42" w:rsidRPr="00FA48F1">
        <w:rPr>
          <w:lang w:val="fr-CA"/>
        </w:rPr>
        <w:t>s ouverts</w:t>
      </w:r>
      <w:r w:rsidR="00601EB5">
        <w:rPr>
          <w:lang w:val="fr-CA"/>
        </w:rPr>
        <w:t>,</w:t>
      </w:r>
      <w:r w:rsidR="00D36D42" w:rsidRPr="00FA48F1">
        <w:rPr>
          <w:lang w:val="fr-CA"/>
        </w:rPr>
        <w:t xml:space="preserve"> virtuels </w:t>
      </w:r>
      <w:r w:rsidR="00D36D42" w:rsidRPr="00FA48F1">
        <w:rPr>
          <w:noProof/>
          <w:lang w:val="fr-CA"/>
        </w:rPr>
        <w:t>ou en présent</w:t>
      </w:r>
      <w:r w:rsidRPr="00FA48F1">
        <w:rPr>
          <w:noProof/>
          <w:lang w:val="fr-CA"/>
        </w:rPr>
        <w:t>iel</w:t>
      </w:r>
      <w:r w:rsidR="00601EB5">
        <w:rPr>
          <w:noProof/>
          <w:lang w:val="fr-CA"/>
        </w:rPr>
        <w:t>,</w:t>
      </w:r>
      <w:r w:rsidRPr="00FA48F1">
        <w:rPr>
          <w:noProof/>
          <w:lang w:val="fr-CA"/>
        </w:rPr>
        <w:t xml:space="preserve"> sur les</w:t>
      </w:r>
      <w:r w:rsidRPr="00FA48F1">
        <w:rPr>
          <w:lang w:val="fr-CA"/>
        </w:rPr>
        <w:t xml:space="preserve"> informations de séquençage numérique, selon les besoins, en vue de partager des informations sur les lacunes dans les connaissances ainsi que les besoins en matière de renforcement des capacités techniques et les activités liées aux informations de séquençage numérique sur les ressources génétiques pour l</w:t>
      </w:r>
      <w:r w:rsidR="00003783">
        <w:rPr>
          <w:lang w:val="fr-CA"/>
        </w:rPr>
        <w:t>’</w:t>
      </w:r>
      <w:r w:rsidRPr="00FA48F1">
        <w:rPr>
          <w:lang w:val="fr-CA"/>
        </w:rPr>
        <w:t>alimentation et l</w:t>
      </w:r>
      <w:r w:rsidR="00003783">
        <w:rPr>
          <w:lang w:val="fr-CA"/>
        </w:rPr>
        <w:t>’</w:t>
      </w:r>
      <w:r w:rsidRPr="00FA48F1">
        <w:rPr>
          <w:lang w:val="fr-CA"/>
        </w:rPr>
        <w:t>agriculture.</w:t>
      </w:r>
      <w:r w:rsidRPr="00FA48F1">
        <w:rPr>
          <w:rStyle w:val="FootnoteReference"/>
          <w:lang w:val="fr-CA"/>
        </w:rPr>
        <w:footnoteReference w:id="8"/>
      </w:r>
    </w:p>
    <w:p w:rsidR="000A71D4" w:rsidRPr="00FA48F1" w:rsidRDefault="00FE3330" w:rsidP="00CF7694">
      <w:pPr>
        <w:pStyle w:val="CBDNormalNumber"/>
        <w:rPr>
          <w:lang w:val="fr-CA"/>
        </w:rPr>
      </w:pPr>
      <w:r w:rsidRPr="00FA48F1">
        <w:rPr>
          <w:lang w:val="fr-CA"/>
        </w:rPr>
        <w:t>Par ailleurs, la Commission a demandé à son Secrétariat d</w:t>
      </w:r>
      <w:r w:rsidR="00003783">
        <w:rPr>
          <w:lang w:val="fr-CA"/>
        </w:rPr>
        <w:t>’</w:t>
      </w:r>
      <w:r w:rsidRPr="00FA48F1">
        <w:rPr>
          <w:lang w:val="fr-CA"/>
        </w:rPr>
        <w:t>inviter les membres à soumettre des informations sur les mesures nationales d</w:t>
      </w:r>
      <w:r w:rsidR="00003783">
        <w:rPr>
          <w:lang w:val="fr-CA"/>
        </w:rPr>
        <w:t>’</w:t>
      </w:r>
      <w:r w:rsidRPr="00FA48F1">
        <w:rPr>
          <w:lang w:val="fr-CA"/>
        </w:rPr>
        <w:t>accès et de partage des avantages applicables aux informations de séquençage numérique et leurs implications réelles ou potentielles pour la conservation et l</w:t>
      </w:r>
      <w:r w:rsidR="00003783">
        <w:rPr>
          <w:lang w:val="fr-CA"/>
        </w:rPr>
        <w:t>’</w:t>
      </w:r>
      <w:r w:rsidRPr="00FA48F1">
        <w:rPr>
          <w:lang w:val="fr-CA"/>
        </w:rPr>
        <w:t>utilisation durable des ressources génétiques pour l</w:t>
      </w:r>
      <w:r w:rsidR="00003783">
        <w:rPr>
          <w:lang w:val="fr-CA"/>
        </w:rPr>
        <w:t>’</w:t>
      </w:r>
      <w:r w:rsidRPr="00FA48F1">
        <w:rPr>
          <w:lang w:val="fr-CA"/>
        </w:rPr>
        <w:t>alimentation et l</w:t>
      </w:r>
      <w:r w:rsidR="00003783">
        <w:rPr>
          <w:lang w:val="fr-CA"/>
        </w:rPr>
        <w:t>’</w:t>
      </w:r>
      <w:r w:rsidRPr="00FA48F1">
        <w:rPr>
          <w:lang w:val="fr-CA"/>
        </w:rPr>
        <w:t>agriculture, y compris l</w:t>
      </w:r>
      <w:r w:rsidR="00003783">
        <w:rPr>
          <w:lang w:val="fr-CA"/>
        </w:rPr>
        <w:t>’</w:t>
      </w:r>
      <w:r w:rsidRPr="00FA48F1">
        <w:rPr>
          <w:lang w:val="fr-CA"/>
        </w:rPr>
        <w:t>échange, l</w:t>
      </w:r>
      <w:r w:rsidR="00003783">
        <w:rPr>
          <w:lang w:val="fr-CA"/>
        </w:rPr>
        <w:t>’</w:t>
      </w:r>
      <w:r w:rsidRPr="00FA48F1">
        <w:rPr>
          <w:lang w:val="fr-CA"/>
        </w:rPr>
        <w:t>accès et le partage juste et équitable des avantages découlant de leur utilisation, et de compiler ces informations pour la Commission.</w:t>
      </w:r>
    </w:p>
    <w:p w:rsidR="00A036A5" w:rsidRPr="00FA48F1" w:rsidRDefault="00DE4BDA" w:rsidP="00CF7694">
      <w:pPr>
        <w:pStyle w:val="CBDNormalNumber"/>
        <w:rPr>
          <w:lang w:val="fr-CA"/>
        </w:rPr>
      </w:pPr>
      <w:r w:rsidRPr="00FA48F1">
        <w:rPr>
          <w:lang w:val="fr-CA"/>
        </w:rPr>
        <w:t>La Commission a encouragé ses membres à coordonner les travaux futurs sur les informations de séquençage numérique, y compris l</w:t>
      </w:r>
      <w:r w:rsidR="00003783">
        <w:rPr>
          <w:lang w:val="fr-CA"/>
        </w:rPr>
        <w:t>’</w:t>
      </w:r>
      <w:r w:rsidRPr="00FA48F1">
        <w:rPr>
          <w:lang w:val="fr-CA"/>
        </w:rPr>
        <w:t>accès et le partage des avantages entre les secteurs concernés, afin d</w:t>
      </w:r>
      <w:r w:rsidR="00003783">
        <w:rPr>
          <w:lang w:val="fr-CA"/>
        </w:rPr>
        <w:t>’</w:t>
      </w:r>
      <w:r w:rsidRPr="00FA48F1">
        <w:rPr>
          <w:lang w:val="fr-CA"/>
        </w:rPr>
        <w:t>assurer la cohérence et le soutien mutuel des processus en cours dans les différents forums. La Commission a demandé à son Secrétariat de s</w:t>
      </w:r>
      <w:r w:rsidR="00003783">
        <w:rPr>
          <w:lang w:val="fr-CA"/>
        </w:rPr>
        <w:t>’</w:t>
      </w:r>
      <w:r w:rsidRPr="00FA48F1">
        <w:rPr>
          <w:lang w:val="fr-CA"/>
        </w:rPr>
        <w:t>engager étroitement dans les processus au sein de la Convention afin de garantir que les caractéristiques distinctives des ressources génétiques pour l</w:t>
      </w:r>
      <w:r w:rsidR="00003783">
        <w:rPr>
          <w:lang w:val="fr-CA"/>
        </w:rPr>
        <w:t>’</w:t>
      </w:r>
      <w:r w:rsidRPr="00FA48F1">
        <w:rPr>
          <w:lang w:val="fr-CA"/>
        </w:rPr>
        <w:t>alimentation et l</w:t>
      </w:r>
      <w:r w:rsidR="00003783">
        <w:rPr>
          <w:lang w:val="fr-CA"/>
        </w:rPr>
        <w:t>’</w:t>
      </w:r>
      <w:r w:rsidRPr="00FA48F1">
        <w:rPr>
          <w:lang w:val="fr-CA"/>
        </w:rPr>
        <w:t>agriculture, nécessitant des solutions spécifiques en matière d</w:t>
      </w:r>
      <w:r w:rsidR="00003783">
        <w:rPr>
          <w:lang w:val="fr-CA"/>
        </w:rPr>
        <w:t>’</w:t>
      </w:r>
      <w:r w:rsidRPr="00FA48F1">
        <w:rPr>
          <w:lang w:val="fr-CA"/>
        </w:rPr>
        <w:t>accès et de partage des avantages, soient dûment reflétées dans l</w:t>
      </w:r>
      <w:r w:rsidR="00003783">
        <w:rPr>
          <w:lang w:val="fr-CA"/>
        </w:rPr>
        <w:t>’</w:t>
      </w:r>
      <w:r w:rsidRPr="00FA48F1">
        <w:rPr>
          <w:lang w:val="fr-CA"/>
        </w:rPr>
        <w:t>élaboration des règles et mécanismes pertinents pour le partage des avantages découlant de l</w:t>
      </w:r>
      <w:r w:rsidR="00003783">
        <w:rPr>
          <w:lang w:val="fr-CA"/>
        </w:rPr>
        <w:t>’</w:t>
      </w:r>
      <w:r w:rsidRPr="00FA48F1">
        <w:rPr>
          <w:lang w:val="fr-CA"/>
        </w:rPr>
        <w:t>utilisation des informations de séquençage numérique sur les ressources génétiques</w:t>
      </w:r>
      <w:r w:rsidR="00FF2CF8" w:rsidRPr="00FA48F1">
        <w:rPr>
          <w:lang w:val="fr-CA"/>
        </w:rPr>
        <w:t>.</w:t>
      </w:r>
    </w:p>
    <w:p w:rsidR="008028F3" w:rsidRPr="00FA48F1" w:rsidRDefault="008028F3" w:rsidP="004525B3">
      <w:pPr>
        <w:pStyle w:val="CBDH2"/>
        <w:jc w:val="left"/>
        <w:rPr>
          <w:lang w:val="fr-CA"/>
        </w:rPr>
      </w:pPr>
      <w:r w:rsidRPr="00FA48F1">
        <w:rPr>
          <w:lang w:val="fr-CA"/>
        </w:rPr>
        <w:lastRenderedPageBreak/>
        <w:t>C.</w:t>
      </w:r>
      <w:r w:rsidRPr="00FA48F1">
        <w:rPr>
          <w:lang w:val="fr-CA"/>
        </w:rPr>
        <w:tab/>
      </w:r>
      <w:r w:rsidR="00D36D42" w:rsidRPr="00FA48F1">
        <w:rPr>
          <w:rStyle w:val="Strong"/>
          <w:b/>
          <w:lang w:val="fr-CA"/>
        </w:rPr>
        <w:t>Conférence intergouvernementale sur un instrument international juridiquement contraignant se rapportant à la Convention des Nations Unies sur le droit de la mer et portant sur la conservation et l</w:t>
      </w:r>
      <w:r w:rsidR="00003783">
        <w:rPr>
          <w:rStyle w:val="Strong"/>
          <w:b/>
          <w:lang w:val="fr-CA"/>
        </w:rPr>
        <w:t>’</w:t>
      </w:r>
      <w:r w:rsidR="00D36D42" w:rsidRPr="00FA48F1">
        <w:rPr>
          <w:rStyle w:val="Strong"/>
          <w:b/>
          <w:lang w:val="fr-CA"/>
        </w:rPr>
        <w:t>utilisation durable de la biodiversité marine des zones ne relevant pas de la juridiction nationale</w:t>
      </w:r>
    </w:p>
    <w:p w:rsidR="008028F3" w:rsidRPr="00FA48F1" w:rsidRDefault="003A0CC1" w:rsidP="00CF7694">
      <w:pPr>
        <w:pStyle w:val="CBDNormalNumber"/>
        <w:rPr>
          <w:lang w:val="fr-CA"/>
        </w:rPr>
      </w:pPr>
      <w:r w:rsidRPr="00FA48F1">
        <w:rPr>
          <w:lang w:val="fr-CA"/>
        </w:rPr>
        <w:t>Au cours de la période intersessions, le Secrétariat de la Convention a continué de suivre les développements concernant l</w:t>
      </w:r>
      <w:r w:rsidR="00003783">
        <w:rPr>
          <w:lang w:val="fr-CA"/>
        </w:rPr>
        <w:t>’</w:t>
      </w:r>
      <w:r w:rsidRPr="00FA48F1">
        <w:rPr>
          <w:lang w:val="fr-CA"/>
        </w:rPr>
        <w:t>accès et le partage des avantages dans le cadre des discussions sur la biodiversité marine, tenues au Siège de l</w:t>
      </w:r>
      <w:r w:rsidR="00003783">
        <w:rPr>
          <w:lang w:val="fr-CA"/>
        </w:rPr>
        <w:t>’</w:t>
      </w:r>
      <w:r w:rsidRPr="00FA48F1">
        <w:rPr>
          <w:lang w:val="fr-CA"/>
        </w:rPr>
        <w:t>Organisation des Nations Unies, à New York. Le Secrétariat de la Convention a participé à la reprise de la cinquième session, qui s</w:t>
      </w:r>
      <w:r w:rsidR="00003783">
        <w:rPr>
          <w:lang w:val="fr-CA"/>
        </w:rPr>
        <w:t>’</w:t>
      </w:r>
      <w:r w:rsidRPr="00FA48F1">
        <w:rPr>
          <w:lang w:val="fr-CA"/>
        </w:rPr>
        <w:t>est tenue du 20 février au 5 mars 2023, ainsi qu</w:t>
      </w:r>
      <w:r w:rsidR="00003783">
        <w:rPr>
          <w:lang w:val="fr-CA"/>
        </w:rPr>
        <w:t>’</w:t>
      </w:r>
      <w:r w:rsidRPr="00FA48F1">
        <w:rPr>
          <w:lang w:val="fr-CA"/>
        </w:rPr>
        <w:t>à la nouvelle reprise de la cinquième session, qui a eu lieu les 19 et 20 juin 2023, de la conférence intergouvernementale sur un instrument international juridiquement contraignant se rapportant à la Convention des Nations Unies sur le droit de la mer et portant sur la conservation et l</w:t>
      </w:r>
      <w:r w:rsidR="00003783">
        <w:rPr>
          <w:lang w:val="fr-CA"/>
        </w:rPr>
        <w:t>’</w:t>
      </w:r>
      <w:r w:rsidRPr="00FA48F1">
        <w:rPr>
          <w:lang w:val="fr-CA"/>
        </w:rPr>
        <w:t>utilisation durable de la biodiversité marine des zones ne relevant pas de la juridiction nationale.</w:t>
      </w:r>
    </w:p>
    <w:p w:rsidR="002B113D" w:rsidRPr="00FA48F1" w:rsidRDefault="00433CBC" w:rsidP="00CF7694">
      <w:pPr>
        <w:pStyle w:val="CBDNormalNumber"/>
        <w:rPr>
          <w:lang w:val="fr-CA"/>
        </w:rPr>
      </w:pPr>
      <w:r w:rsidRPr="00FA48F1">
        <w:rPr>
          <w:lang w:val="fr-CA"/>
        </w:rPr>
        <w:t>Après une vingtaine d</w:t>
      </w:r>
      <w:r w:rsidR="00003783">
        <w:rPr>
          <w:lang w:val="fr-CA"/>
        </w:rPr>
        <w:t>’</w:t>
      </w:r>
      <w:r w:rsidRPr="00FA48F1">
        <w:rPr>
          <w:lang w:val="fr-CA"/>
        </w:rPr>
        <w:t>années de négociations, l</w:t>
      </w:r>
      <w:r w:rsidR="00003783">
        <w:rPr>
          <w:lang w:val="fr-CA"/>
        </w:rPr>
        <w:t>’</w:t>
      </w:r>
      <w:r w:rsidRPr="00FA48F1">
        <w:rPr>
          <w:lang w:val="fr-CA"/>
        </w:rPr>
        <w:t xml:space="preserve">Accord </w:t>
      </w:r>
      <w:r w:rsidR="009A06FF" w:rsidRPr="00FA48F1">
        <w:rPr>
          <w:lang w:val="fr-CA"/>
        </w:rPr>
        <w:t>au titre</w:t>
      </w:r>
      <w:r w:rsidRPr="00FA48F1">
        <w:rPr>
          <w:lang w:val="fr-CA"/>
        </w:rPr>
        <w:t xml:space="preserve"> de la Convention des Nations Unies sur le droit de la mer sur la conservation et l</w:t>
      </w:r>
      <w:r w:rsidR="00003783">
        <w:rPr>
          <w:lang w:val="fr-CA"/>
        </w:rPr>
        <w:t>’</w:t>
      </w:r>
      <w:r w:rsidRPr="00FA48F1">
        <w:rPr>
          <w:lang w:val="fr-CA"/>
        </w:rPr>
        <w:t>utilisation durable de la biodiv</w:t>
      </w:r>
      <w:r w:rsidR="009A06FF" w:rsidRPr="00FA48F1">
        <w:rPr>
          <w:lang w:val="fr-CA"/>
        </w:rPr>
        <w:t>ersité marine des zones ne relevant pas de la juridiction</w:t>
      </w:r>
      <w:r w:rsidRPr="00FA48F1">
        <w:rPr>
          <w:lang w:val="fr-CA"/>
        </w:rPr>
        <w:t xml:space="preserve"> n</w:t>
      </w:r>
      <w:r w:rsidR="009A06FF" w:rsidRPr="00FA48F1">
        <w:rPr>
          <w:lang w:val="fr-CA"/>
        </w:rPr>
        <w:t>ationale a été adopté le 19 juin </w:t>
      </w:r>
      <w:r w:rsidRPr="00FA48F1">
        <w:rPr>
          <w:lang w:val="fr-CA"/>
        </w:rPr>
        <w:t>2023. La Partie</w:t>
      </w:r>
      <w:r w:rsidR="009A06FF" w:rsidRPr="00FA48F1">
        <w:rPr>
          <w:lang w:val="fr-CA"/>
        </w:rPr>
        <w:t> II de l</w:t>
      </w:r>
      <w:r w:rsidR="00003783">
        <w:rPr>
          <w:lang w:val="fr-CA"/>
        </w:rPr>
        <w:t>’</w:t>
      </w:r>
      <w:r w:rsidR="009A06FF" w:rsidRPr="00FA48F1">
        <w:rPr>
          <w:lang w:val="fr-CA"/>
        </w:rPr>
        <w:t>Accord traite des « </w:t>
      </w:r>
      <w:r w:rsidRPr="00FA48F1">
        <w:rPr>
          <w:lang w:val="fr-CA"/>
        </w:rPr>
        <w:t>ressources génétiques marines, y compris le partage ju</w:t>
      </w:r>
      <w:r w:rsidR="009A06FF" w:rsidRPr="00FA48F1">
        <w:rPr>
          <w:lang w:val="fr-CA"/>
        </w:rPr>
        <w:t>ste et équitable des avantages »</w:t>
      </w:r>
      <w:r w:rsidRPr="00FA48F1">
        <w:rPr>
          <w:lang w:val="fr-CA"/>
        </w:rPr>
        <w:t xml:space="preserve">, et comprend également des dispositions relatives aux informations de séquençage numérique sur les ressources génétiques marines des zones </w:t>
      </w:r>
      <w:r w:rsidR="009A06FF" w:rsidRPr="00FA48F1">
        <w:rPr>
          <w:lang w:val="fr-CA"/>
        </w:rPr>
        <w:t>ne relevant pas de la juridiction nationale</w:t>
      </w:r>
      <w:r w:rsidRPr="00FA48F1">
        <w:rPr>
          <w:lang w:val="fr-CA"/>
        </w:rPr>
        <w:t>. Entre autres, le texte définit les modalités de partage des avantages non monétaires et une modalité initiale pour le partage des avantages monétaires, jusqu</w:t>
      </w:r>
      <w:r w:rsidR="00003783">
        <w:rPr>
          <w:lang w:val="fr-CA"/>
        </w:rPr>
        <w:t>’</w:t>
      </w:r>
      <w:r w:rsidRPr="00FA48F1">
        <w:rPr>
          <w:lang w:val="fr-CA"/>
        </w:rPr>
        <w:t>à ce que la Conférence des Parties à l</w:t>
      </w:r>
      <w:r w:rsidR="00003783">
        <w:rPr>
          <w:lang w:val="fr-CA"/>
        </w:rPr>
        <w:t>’</w:t>
      </w:r>
      <w:r w:rsidRPr="00FA48F1">
        <w:rPr>
          <w:lang w:val="fr-CA"/>
        </w:rPr>
        <w:t>Accord décide des modalités pour le partage des avantages monétaires découlant de l</w:t>
      </w:r>
      <w:r w:rsidR="00003783">
        <w:rPr>
          <w:lang w:val="fr-CA"/>
        </w:rPr>
        <w:t>’</w:t>
      </w:r>
      <w:r w:rsidRPr="00FA48F1">
        <w:rPr>
          <w:lang w:val="fr-CA"/>
        </w:rPr>
        <w:t xml:space="preserve">utilisation des ressources génétiques marines et des informations de séquençage numérique sur les ressources génétiques marines des zones </w:t>
      </w:r>
      <w:r w:rsidR="009A06FF" w:rsidRPr="00FA48F1">
        <w:rPr>
          <w:lang w:val="fr-CA"/>
        </w:rPr>
        <w:t>ne relevant pas de la juridiction nationale</w:t>
      </w:r>
      <w:r w:rsidRPr="00FA48F1">
        <w:rPr>
          <w:lang w:val="fr-CA"/>
        </w:rPr>
        <w:t>.</w:t>
      </w:r>
    </w:p>
    <w:p w:rsidR="003B66E4" w:rsidRPr="00FA48F1" w:rsidRDefault="00D801F9" w:rsidP="00CF7694">
      <w:pPr>
        <w:pStyle w:val="CBDNormalNumber"/>
        <w:rPr>
          <w:lang w:val="fr-CA"/>
        </w:rPr>
      </w:pPr>
      <w:r w:rsidRPr="00FA48F1">
        <w:rPr>
          <w:lang w:val="fr-CA"/>
        </w:rPr>
        <w:t>L</w:t>
      </w:r>
      <w:r w:rsidR="00003783">
        <w:rPr>
          <w:lang w:val="fr-CA"/>
        </w:rPr>
        <w:t>’</w:t>
      </w:r>
      <w:r w:rsidRPr="00FA48F1">
        <w:rPr>
          <w:lang w:val="fr-CA"/>
        </w:rPr>
        <w:t>Accord est actuellement ouvert à la signature jusqu</w:t>
      </w:r>
      <w:r w:rsidR="00003783">
        <w:rPr>
          <w:lang w:val="fr-CA"/>
        </w:rPr>
        <w:t>’</w:t>
      </w:r>
      <w:r w:rsidRPr="00FA48F1">
        <w:rPr>
          <w:lang w:val="fr-CA"/>
        </w:rPr>
        <w:t>au 20 septembre 2025, et 60 ratifications sont nécessaires pour son entrée en vigueur. Huit pays avaient ratifié l</w:t>
      </w:r>
      <w:r w:rsidR="00003783">
        <w:rPr>
          <w:lang w:val="fr-CA"/>
        </w:rPr>
        <w:t>’</w:t>
      </w:r>
      <w:r w:rsidRPr="00FA48F1">
        <w:rPr>
          <w:lang w:val="fr-CA"/>
        </w:rPr>
        <w:t>Accord au 22 août 2024.</w:t>
      </w:r>
    </w:p>
    <w:p w:rsidR="006F2DB5" w:rsidRPr="00FA48F1" w:rsidRDefault="00D801F9" w:rsidP="00CF7694">
      <w:pPr>
        <w:pStyle w:val="CBDNormalNumber"/>
        <w:rPr>
          <w:lang w:val="fr-CA"/>
        </w:rPr>
      </w:pPr>
      <w:r w:rsidRPr="00FA48F1">
        <w:rPr>
          <w:lang w:val="fr-CA"/>
        </w:rPr>
        <w:t>Le 24 avril 2024, l</w:t>
      </w:r>
      <w:r w:rsidR="00003783">
        <w:rPr>
          <w:lang w:val="fr-CA"/>
        </w:rPr>
        <w:t>’</w:t>
      </w:r>
      <w:r w:rsidRPr="00FA48F1">
        <w:rPr>
          <w:lang w:val="fr-CA"/>
        </w:rPr>
        <w:t>Assemblée générale a adopté la résolution 78/272, dans laquelle elle a décidé d</w:t>
      </w:r>
      <w:r w:rsidR="00003783">
        <w:rPr>
          <w:lang w:val="fr-CA"/>
        </w:rPr>
        <w:t>’</w:t>
      </w:r>
      <w:r w:rsidRPr="00FA48F1">
        <w:rPr>
          <w:lang w:val="fr-CA"/>
        </w:rPr>
        <w:t>établir une commission préparatoire pour préparer l</w:t>
      </w:r>
      <w:r w:rsidR="00003783">
        <w:rPr>
          <w:lang w:val="fr-CA"/>
        </w:rPr>
        <w:t>’</w:t>
      </w:r>
      <w:r w:rsidRPr="00FA48F1">
        <w:rPr>
          <w:lang w:val="fr-CA"/>
        </w:rPr>
        <w:t>entrée en vigueur de l</w:t>
      </w:r>
      <w:r w:rsidR="00003783">
        <w:rPr>
          <w:lang w:val="fr-CA"/>
        </w:rPr>
        <w:t>’</w:t>
      </w:r>
      <w:r w:rsidRPr="00FA48F1">
        <w:rPr>
          <w:lang w:val="fr-CA"/>
        </w:rPr>
        <w:t>Accord et pour préparer la convocation de la première réunion de la Conférence des Parties à l</w:t>
      </w:r>
      <w:r w:rsidR="00003783">
        <w:rPr>
          <w:lang w:val="fr-CA"/>
        </w:rPr>
        <w:t>’</w:t>
      </w:r>
      <w:r w:rsidRPr="00FA48F1">
        <w:rPr>
          <w:lang w:val="fr-CA"/>
        </w:rPr>
        <w:t>Accord. Une réunion organisationnelle de la Commission préparatoire s</w:t>
      </w:r>
      <w:r w:rsidR="00003783">
        <w:rPr>
          <w:lang w:val="fr-CA"/>
        </w:rPr>
        <w:t>’</w:t>
      </w:r>
      <w:r w:rsidRPr="00FA48F1">
        <w:rPr>
          <w:lang w:val="fr-CA"/>
        </w:rPr>
        <w:t>est tenue du 24 au 26 juin 2024. Au cours de cette réunion, la Commission préparatoire a décidé qu</w:t>
      </w:r>
      <w:r w:rsidR="00003783">
        <w:rPr>
          <w:lang w:val="fr-CA"/>
        </w:rPr>
        <w:t>’</w:t>
      </w:r>
      <w:r w:rsidRPr="00FA48F1">
        <w:rPr>
          <w:lang w:val="fr-CA"/>
        </w:rPr>
        <w:t>elle se réunirait pour au moins deux sessions en 2025 (en avril et en août) et au moins une session en 2026.</w:t>
      </w:r>
    </w:p>
    <w:p w:rsidR="004701EE" w:rsidRPr="00FA48F1" w:rsidRDefault="00D801F9" w:rsidP="00CF7694">
      <w:pPr>
        <w:pStyle w:val="CBDNormalNumber"/>
        <w:rPr>
          <w:lang w:val="fr-CA"/>
        </w:rPr>
      </w:pPr>
      <w:r w:rsidRPr="00FA48F1">
        <w:rPr>
          <w:lang w:val="fr-CA"/>
        </w:rPr>
        <w:t>Le Secrétariat échange régulièrement des informations concernant l</w:t>
      </w:r>
      <w:r w:rsidR="00003783">
        <w:rPr>
          <w:lang w:val="fr-CA"/>
        </w:rPr>
        <w:t>’</w:t>
      </w:r>
      <w:r w:rsidRPr="00FA48F1">
        <w:rPr>
          <w:lang w:val="fr-CA"/>
        </w:rPr>
        <w:t>accès et le partage des avantages et le Protocole de Nagoya avec la Division des affaires maritimes et du droit de la mer du Bureau des affair</w:t>
      </w:r>
      <w:r w:rsidR="00C30A2E" w:rsidRPr="00FA48F1">
        <w:rPr>
          <w:lang w:val="fr-CA"/>
        </w:rPr>
        <w:t>es juridiques du Secrétariat de l</w:t>
      </w:r>
      <w:r w:rsidR="00003783">
        <w:rPr>
          <w:lang w:val="fr-CA"/>
        </w:rPr>
        <w:t>’</w:t>
      </w:r>
      <w:r w:rsidR="00C30A2E" w:rsidRPr="00FA48F1">
        <w:rPr>
          <w:lang w:val="fr-CA"/>
        </w:rPr>
        <w:t>ONU</w:t>
      </w:r>
      <w:r w:rsidRPr="00FA48F1">
        <w:rPr>
          <w:lang w:val="fr-CA"/>
        </w:rPr>
        <w:t>.</w:t>
      </w:r>
    </w:p>
    <w:p w:rsidR="008028F3" w:rsidRPr="00FA48F1" w:rsidRDefault="008028F3" w:rsidP="006E2339">
      <w:pPr>
        <w:pStyle w:val="CBDH2"/>
        <w:rPr>
          <w:lang w:val="fr-CA"/>
        </w:rPr>
      </w:pPr>
      <w:r w:rsidRPr="00FA48F1">
        <w:rPr>
          <w:lang w:val="fr-CA"/>
        </w:rPr>
        <w:t>D.</w:t>
      </w:r>
      <w:r w:rsidRPr="00FA48F1">
        <w:rPr>
          <w:lang w:val="fr-CA"/>
        </w:rPr>
        <w:tab/>
      </w:r>
      <w:r w:rsidR="00F3018C" w:rsidRPr="00FA48F1">
        <w:rPr>
          <w:rFonts w:eastAsia="Times New Roman"/>
          <w:bCs/>
          <w:szCs w:val="24"/>
          <w:lang w:val="fr-CA" w:eastAsia="fr-CA"/>
        </w:rPr>
        <w:t>Union internationale pour la protection des obtentions végétales</w:t>
      </w:r>
    </w:p>
    <w:p w:rsidR="008028F3" w:rsidRPr="00FA48F1" w:rsidRDefault="00F3018C" w:rsidP="00CF7694">
      <w:pPr>
        <w:pStyle w:val="CBDNormalNumber"/>
        <w:rPr>
          <w:noProof/>
          <w:lang w:val="fr-CA"/>
        </w:rPr>
      </w:pPr>
      <w:r w:rsidRPr="00FA48F1">
        <w:rPr>
          <w:rFonts w:eastAsia="Times New Roman"/>
          <w:lang w:val="fr-CA" w:eastAsia="fr-CA"/>
        </w:rPr>
        <w:t>Pendant la période intersessions, l</w:t>
      </w:r>
      <w:r w:rsidR="00003783">
        <w:rPr>
          <w:rFonts w:eastAsia="Times New Roman"/>
          <w:lang w:val="fr-CA" w:eastAsia="fr-CA"/>
        </w:rPr>
        <w:t>’</w:t>
      </w:r>
      <w:r w:rsidRPr="00FA48F1">
        <w:rPr>
          <w:rFonts w:eastAsia="Times New Roman"/>
          <w:lang w:val="fr-CA" w:eastAsia="fr-CA"/>
        </w:rPr>
        <w:t>Union internationale pour la protection des obtentions végétales, le Secrétariat de la Convention et le Secrétariat du Traité international ont collaboré à l</w:t>
      </w:r>
      <w:r w:rsidR="00003783">
        <w:rPr>
          <w:rFonts w:eastAsia="Times New Roman"/>
          <w:lang w:val="fr-CA" w:eastAsia="fr-CA"/>
        </w:rPr>
        <w:t>’</w:t>
      </w:r>
      <w:r w:rsidRPr="00FA48F1">
        <w:rPr>
          <w:rFonts w:eastAsia="Times New Roman"/>
          <w:lang w:val="fr-CA" w:eastAsia="fr-CA"/>
        </w:rPr>
        <w:t>élaboration d</w:t>
      </w:r>
      <w:r w:rsidR="00003783">
        <w:rPr>
          <w:rFonts w:eastAsia="Times New Roman"/>
          <w:lang w:val="fr-CA" w:eastAsia="fr-CA"/>
        </w:rPr>
        <w:t>’</w:t>
      </w:r>
      <w:r w:rsidRPr="00FA48F1">
        <w:rPr>
          <w:rFonts w:eastAsia="Times New Roman"/>
          <w:lang w:val="fr-CA" w:eastAsia="fr-CA"/>
        </w:rPr>
        <w:t xml:space="preserve">un document sur les complémentarités entre les trois entités, et ont échangé des informations sur </w:t>
      </w:r>
      <w:r w:rsidRPr="00FA48F1">
        <w:rPr>
          <w:rFonts w:eastAsia="Times New Roman"/>
          <w:noProof/>
          <w:lang w:val="fr-CA" w:eastAsia="fr-CA"/>
        </w:rPr>
        <w:t>des questions à l</w:t>
      </w:r>
      <w:r w:rsidR="00003783">
        <w:rPr>
          <w:rFonts w:eastAsia="Times New Roman"/>
          <w:noProof/>
          <w:lang w:val="fr-CA" w:eastAsia="fr-CA"/>
        </w:rPr>
        <w:t>’</w:t>
      </w:r>
      <w:r w:rsidRPr="00FA48F1">
        <w:rPr>
          <w:rFonts w:eastAsia="Times New Roman"/>
          <w:noProof/>
          <w:lang w:val="fr-CA" w:eastAsia="fr-CA"/>
        </w:rPr>
        <w:t>interface des différents instruments. Le document sur les complémentarités a été approuvé par le Conseil de l</w:t>
      </w:r>
      <w:r w:rsidR="00003783">
        <w:rPr>
          <w:rFonts w:eastAsia="Times New Roman"/>
          <w:noProof/>
          <w:lang w:val="fr-CA" w:eastAsia="fr-CA"/>
        </w:rPr>
        <w:t>’</w:t>
      </w:r>
      <w:r w:rsidRPr="00FA48F1">
        <w:rPr>
          <w:rFonts w:eastAsia="Times New Roman"/>
          <w:noProof/>
          <w:lang w:val="fr-CA" w:eastAsia="fr-CA"/>
        </w:rPr>
        <w:t>Union internationale lors de sa cinquante</w:t>
      </w:r>
      <w:r w:rsidR="00003783">
        <w:rPr>
          <w:rFonts w:eastAsia="Times New Roman"/>
          <w:noProof/>
          <w:lang w:val="fr-CA" w:eastAsia="fr-CA"/>
        </w:rPr>
        <w:noBreakHyphen/>
      </w:r>
      <w:r w:rsidRPr="00FA48F1">
        <w:rPr>
          <w:rFonts w:eastAsia="Times New Roman"/>
          <w:noProof/>
          <w:lang w:val="fr-CA" w:eastAsia="fr-CA"/>
        </w:rPr>
        <w:t>septième session ordinaire en octobre 2023.</w:t>
      </w:r>
      <w:r w:rsidRPr="00FA48F1">
        <w:rPr>
          <w:rStyle w:val="FootnoteReference"/>
          <w:noProof/>
          <w:lang w:val="fr-CA"/>
        </w:rPr>
        <w:footnoteReference w:id="9"/>
      </w:r>
    </w:p>
    <w:p w:rsidR="00E459A5" w:rsidRPr="00FA48F1" w:rsidRDefault="00765860" w:rsidP="006E2339">
      <w:pPr>
        <w:pStyle w:val="CBDH2"/>
        <w:rPr>
          <w:noProof/>
          <w:lang w:val="fr-CA"/>
        </w:rPr>
      </w:pPr>
      <w:r w:rsidRPr="00FA48F1">
        <w:rPr>
          <w:noProof/>
          <w:lang w:val="fr-CA"/>
        </w:rPr>
        <w:lastRenderedPageBreak/>
        <w:t>E.</w:t>
      </w:r>
      <w:r w:rsidRPr="00FA48F1">
        <w:rPr>
          <w:noProof/>
          <w:lang w:val="fr-CA"/>
        </w:rPr>
        <w:tab/>
      </w:r>
      <w:r w:rsidR="00652075" w:rsidRPr="00FA48F1">
        <w:rPr>
          <w:rFonts w:eastAsia="Times New Roman"/>
          <w:bCs/>
          <w:noProof/>
          <w:szCs w:val="24"/>
          <w:lang w:val="fr-CA" w:eastAsia="fr-CA"/>
        </w:rPr>
        <w:t>Réunion de haut niveau de l</w:t>
      </w:r>
      <w:r w:rsidR="00003783">
        <w:rPr>
          <w:rFonts w:eastAsia="Times New Roman"/>
          <w:bCs/>
          <w:noProof/>
          <w:szCs w:val="24"/>
          <w:lang w:val="fr-CA" w:eastAsia="fr-CA"/>
        </w:rPr>
        <w:t>’</w:t>
      </w:r>
      <w:r w:rsidR="00652075" w:rsidRPr="00FA48F1">
        <w:rPr>
          <w:rFonts w:eastAsia="Times New Roman"/>
          <w:bCs/>
          <w:noProof/>
          <w:szCs w:val="24"/>
          <w:lang w:val="fr-CA" w:eastAsia="fr-CA"/>
        </w:rPr>
        <w:t>Assemblée générale sur la prévention, la préparation et la riposte face aux pandémies</w:t>
      </w:r>
    </w:p>
    <w:p w:rsidR="005C3CE8" w:rsidRPr="00FA48F1" w:rsidRDefault="00863389" w:rsidP="00CF7694">
      <w:pPr>
        <w:pStyle w:val="CBDNormalNumber"/>
        <w:rPr>
          <w:noProof/>
          <w:lang w:val="fr-CA"/>
        </w:rPr>
      </w:pPr>
      <w:r w:rsidRPr="00FA48F1">
        <w:rPr>
          <w:rFonts w:eastAsia="Times New Roman"/>
          <w:noProof/>
          <w:lang w:val="fr-CA" w:eastAsia="fr-CA"/>
        </w:rPr>
        <w:t>Dans sa résolution 77/275, l</w:t>
      </w:r>
      <w:r w:rsidR="00003783">
        <w:rPr>
          <w:rFonts w:eastAsia="Times New Roman"/>
          <w:noProof/>
          <w:lang w:val="fr-CA" w:eastAsia="fr-CA"/>
        </w:rPr>
        <w:t>’</w:t>
      </w:r>
      <w:r w:rsidRPr="00FA48F1">
        <w:rPr>
          <w:rFonts w:eastAsia="Times New Roman"/>
          <w:noProof/>
          <w:lang w:val="fr-CA" w:eastAsia="fr-CA"/>
        </w:rPr>
        <w:t>Assemblée générale a décidé qu</w:t>
      </w:r>
      <w:r w:rsidR="00003783">
        <w:rPr>
          <w:rFonts w:eastAsia="Times New Roman"/>
          <w:noProof/>
          <w:lang w:val="fr-CA" w:eastAsia="fr-CA"/>
        </w:rPr>
        <w:t>’</w:t>
      </w:r>
      <w:r w:rsidRPr="00FA48F1">
        <w:rPr>
          <w:rFonts w:eastAsia="Times New Roman"/>
          <w:noProof/>
          <w:lang w:val="fr-CA" w:eastAsia="fr-CA"/>
        </w:rPr>
        <w:t>une réunion de haut niveau d</w:t>
      </w:r>
      <w:r w:rsidR="00003783">
        <w:rPr>
          <w:rFonts w:eastAsia="Times New Roman"/>
          <w:noProof/>
          <w:lang w:val="fr-CA" w:eastAsia="fr-CA"/>
        </w:rPr>
        <w:t>’</w:t>
      </w:r>
      <w:r w:rsidRPr="00FA48F1">
        <w:rPr>
          <w:rFonts w:eastAsia="Times New Roman"/>
          <w:noProof/>
          <w:lang w:val="fr-CA" w:eastAsia="fr-CA"/>
        </w:rPr>
        <w:t>une journée sur la prévention, la préparation et la riposte face aux pandémies serait convoquée par le Président de l</w:t>
      </w:r>
      <w:r w:rsidR="00003783">
        <w:rPr>
          <w:rFonts w:eastAsia="Times New Roman"/>
          <w:noProof/>
          <w:lang w:val="fr-CA" w:eastAsia="fr-CA"/>
        </w:rPr>
        <w:t>’</w:t>
      </w:r>
      <w:r w:rsidRPr="00FA48F1">
        <w:rPr>
          <w:rFonts w:eastAsia="Times New Roman"/>
          <w:noProof/>
          <w:lang w:val="fr-CA" w:eastAsia="fr-CA"/>
        </w:rPr>
        <w:t>Assemblée en collaboration avec l</w:t>
      </w:r>
      <w:r w:rsidR="00003783">
        <w:rPr>
          <w:rFonts w:eastAsia="Times New Roman"/>
          <w:noProof/>
          <w:lang w:val="fr-CA" w:eastAsia="fr-CA"/>
        </w:rPr>
        <w:t>’</w:t>
      </w:r>
      <w:r w:rsidRPr="00FA48F1">
        <w:rPr>
          <w:rFonts w:eastAsia="Times New Roman"/>
          <w:noProof/>
          <w:lang w:val="fr-CA" w:eastAsia="fr-CA"/>
        </w:rPr>
        <w:t>Organisation mondial</w:t>
      </w:r>
      <w:r w:rsidR="00CE1ECD" w:rsidRPr="00FA48F1">
        <w:rPr>
          <w:rFonts w:eastAsia="Times New Roman"/>
          <w:noProof/>
          <w:lang w:val="fr-CA" w:eastAsia="fr-CA"/>
        </w:rPr>
        <w:t>e de la santé (OMS) au S</w:t>
      </w:r>
      <w:r w:rsidRPr="00FA48F1">
        <w:rPr>
          <w:rFonts w:eastAsia="Times New Roman"/>
          <w:noProof/>
          <w:lang w:val="fr-CA" w:eastAsia="fr-CA"/>
        </w:rPr>
        <w:t xml:space="preserve">iège </w:t>
      </w:r>
      <w:r w:rsidR="00CE1ECD" w:rsidRPr="00FA48F1">
        <w:rPr>
          <w:rFonts w:eastAsia="Times New Roman"/>
          <w:noProof/>
          <w:lang w:val="fr-CA" w:eastAsia="fr-CA"/>
        </w:rPr>
        <w:t>de l</w:t>
      </w:r>
      <w:r w:rsidR="00003783">
        <w:rPr>
          <w:rFonts w:eastAsia="Times New Roman"/>
          <w:noProof/>
          <w:lang w:val="fr-CA" w:eastAsia="fr-CA"/>
        </w:rPr>
        <w:t>’</w:t>
      </w:r>
      <w:r w:rsidR="00CE1ECD" w:rsidRPr="00FA48F1">
        <w:rPr>
          <w:rFonts w:eastAsia="Times New Roman"/>
          <w:noProof/>
          <w:lang w:val="fr-CA" w:eastAsia="fr-CA"/>
        </w:rPr>
        <w:t xml:space="preserve">Organisation </w:t>
      </w:r>
      <w:r w:rsidRPr="00FA48F1">
        <w:rPr>
          <w:rFonts w:eastAsia="Times New Roman"/>
          <w:noProof/>
          <w:lang w:val="fr-CA" w:eastAsia="fr-CA"/>
        </w:rPr>
        <w:t>des Nations Unies à New York</w:t>
      </w:r>
      <w:r w:rsidR="00CE1ECD" w:rsidRPr="00FA48F1">
        <w:rPr>
          <w:rFonts w:eastAsia="Times New Roman"/>
          <w:noProof/>
          <w:lang w:val="fr-CA" w:eastAsia="fr-CA"/>
        </w:rPr>
        <w:t>, le 20 septembre </w:t>
      </w:r>
      <w:r w:rsidRPr="00FA48F1">
        <w:rPr>
          <w:rFonts w:eastAsia="Times New Roman"/>
          <w:noProof/>
          <w:lang w:val="fr-CA" w:eastAsia="fr-CA"/>
        </w:rPr>
        <w:t>2023. L</w:t>
      </w:r>
      <w:r w:rsidR="00003783">
        <w:rPr>
          <w:rFonts w:eastAsia="Times New Roman"/>
          <w:noProof/>
          <w:lang w:val="fr-CA" w:eastAsia="fr-CA"/>
        </w:rPr>
        <w:t>’</w:t>
      </w:r>
      <w:r w:rsidRPr="00FA48F1">
        <w:rPr>
          <w:rFonts w:eastAsia="Times New Roman"/>
          <w:noProof/>
          <w:lang w:val="fr-CA" w:eastAsia="fr-CA"/>
        </w:rPr>
        <w:t>Assemblée a également décidé que la réunion de haut niveau adopterait une déclaration politique, notamment sur la mobilisation de la volonté politique aux niveaux national, régional et international pour la prévention, la préparation et la r</w:t>
      </w:r>
      <w:r w:rsidR="00CE1ECD" w:rsidRPr="00FA48F1">
        <w:rPr>
          <w:rFonts w:eastAsia="Times New Roman"/>
          <w:noProof/>
          <w:lang w:val="fr-CA" w:eastAsia="fr-CA"/>
        </w:rPr>
        <w:t>iposte face</w:t>
      </w:r>
      <w:r w:rsidRPr="00FA48F1">
        <w:rPr>
          <w:rFonts w:eastAsia="Times New Roman"/>
          <w:noProof/>
          <w:lang w:val="fr-CA" w:eastAsia="fr-CA"/>
        </w:rPr>
        <w:t xml:space="preserve"> aux pandémies</w:t>
      </w:r>
      <w:r w:rsidR="00CE1ECD" w:rsidRPr="00FA48F1">
        <w:rPr>
          <w:rFonts w:eastAsia="Times New Roman"/>
          <w:noProof/>
          <w:lang w:val="fr-CA" w:eastAsia="fr-CA"/>
        </w:rPr>
        <w:t>.</w:t>
      </w:r>
    </w:p>
    <w:p w:rsidR="006B5906" w:rsidRPr="00FA48F1" w:rsidRDefault="008835F1" w:rsidP="00CF7694">
      <w:pPr>
        <w:pStyle w:val="CBDNormalNumber"/>
        <w:rPr>
          <w:noProof/>
          <w:lang w:val="fr-CA"/>
        </w:rPr>
      </w:pPr>
      <w:r w:rsidRPr="00FA48F1">
        <w:rPr>
          <w:rFonts w:eastAsia="Times New Roman"/>
          <w:noProof/>
          <w:lang w:val="fr-CA" w:eastAsia="fr-CA"/>
        </w:rPr>
        <w:t>Par sa résolution 78/3 du 5 octobre 2023, l</w:t>
      </w:r>
      <w:r w:rsidR="00003783">
        <w:rPr>
          <w:rFonts w:eastAsia="Times New Roman"/>
          <w:noProof/>
          <w:lang w:val="fr-CA" w:eastAsia="fr-CA"/>
        </w:rPr>
        <w:t>’</w:t>
      </w:r>
      <w:r w:rsidRPr="00FA48F1">
        <w:rPr>
          <w:rFonts w:eastAsia="Times New Roman"/>
          <w:noProof/>
          <w:lang w:val="fr-CA" w:eastAsia="fr-CA"/>
        </w:rPr>
        <w:t>Assemblée générale a adopté la déclaration politique de la réunion de haut niveau de l</w:t>
      </w:r>
      <w:r w:rsidR="00003783">
        <w:rPr>
          <w:rFonts w:eastAsia="Times New Roman"/>
          <w:noProof/>
          <w:lang w:val="fr-CA" w:eastAsia="fr-CA"/>
        </w:rPr>
        <w:t>’</w:t>
      </w:r>
      <w:r w:rsidRPr="00FA48F1">
        <w:rPr>
          <w:rFonts w:eastAsia="Times New Roman"/>
          <w:noProof/>
          <w:lang w:val="fr-CA" w:eastAsia="fr-CA"/>
        </w:rPr>
        <w:t>Assemblée générale sur la prévention, la préparation et la riposte face aux pandémies. Dans leur appel à l</w:t>
      </w:r>
      <w:r w:rsidR="00003783">
        <w:rPr>
          <w:rFonts w:eastAsia="Times New Roman"/>
          <w:noProof/>
          <w:lang w:val="fr-CA" w:eastAsia="fr-CA"/>
        </w:rPr>
        <w:t>’</w:t>
      </w:r>
      <w:r w:rsidRPr="00FA48F1">
        <w:rPr>
          <w:rFonts w:eastAsia="Times New Roman"/>
          <w:noProof/>
          <w:lang w:val="fr-CA" w:eastAsia="fr-CA"/>
        </w:rPr>
        <w:t>action, les chefs d</w:t>
      </w:r>
      <w:r w:rsidR="00003783">
        <w:rPr>
          <w:rFonts w:eastAsia="Times New Roman"/>
          <w:noProof/>
          <w:lang w:val="fr-CA" w:eastAsia="fr-CA"/>
        </w:rPr>
        <w:t>’</w:t>
      </w:r>
      <w:r w:rsidRPr="00FA48F1">
        <w:rPr>
          <w:rFonts w:eastAsia="Times New Roman"/>
          <w:noProof/>
          <w:lang w:val="fr-CA" w:eastAsia="fr-CA"/>
        </w:rPr>
        <w:t>État et de gouvernement et les représentants des États et</w:t>
      </w:r>
      <w:r w:rsidR="00A52CD6" w:rsidRPr="00FA48F1">
        <w:rPr>
          <w:rFonts w:eastAsia="Times New Roman"/>
          <w:noProof/>
          <w:lang w:val="fr-CA" w:eastAsia="fr-CA"/>
        </w:rPr>
        <w:t xml:space="preserve"> des</w:t>
      </w:r>
      <w:r w:rsidRPr="00FA48F1">
        <w:rPr>
          <w:rFonts w:eastAsia="Times New Roman"/>
          <w:noProof/>
          <w:lang w:val="fr-CA" w:eastAsia="fr-CA"/>
        </w:rPr>
        <w:t xml:space="preserve"> gouvernements se sont engagés à intensifier leurs efforts pour renforcer la prévention, la préparation et la riposte face aux pandémies et à mettre en œuvre un certain nombre d</w:t>
      </w:r>
      <w:r w:rsidR="00003783">
        <w:rPr>
          <w:rFonts w:eastAsia="Times New Roman"/>
          <w:noProof/>
          <w:lang w:val="fr-CA" w:eastAsia="fr-CA"/>
        </w:rPr>
        <w:t>’</w:t>
      </w:r>
      <w:r w:rsidRPr="00FA48F1">
        <w:rPr>
          <w:rFonts w:eastAsia="Times New Roman"/>
          <w:noProof/>
          <w:lang w:val="fr-CA" w:eastAsia="fr-CA"/>
        </w:rPr>
        <w:t xml:space="preserve">actions. </w:t>
      </w:r>
      <w:r w:rsidR="006C21FB" w:rsidRPr="00FA48F1">
        <w:rPr>
          <w:rFonts w:eastAsia="Times New Roman"/>
          <w:noProof/>
          <w:lang w:val="fr-CA" w:eastAsia="fr-CA"/>
        </w:rPr>
        <w:t>Par ailleurs</w:t>
      </w:r>
      <w:r w:rsidRPr="00FA48F1">
        <w:rPr>
          <w:rFonts w:eastAsia="Times New Roman"/>
          <w:noProof/>
          <w:lang w:val="fr-CA" w:eastAsia="fr-CA"/>
        </w:rPr>
        <w:t>, ils ont exprimé leur ferme volonté de promouvoir, entre autres, le partage juste, équitable et en temps opportun des avantages découlant de l</w:t>
      </w:r>
      <w:r w:rsidR="00003783">
        <w:rPr>
          <w:rFonts w:eastAsia="Times New Roman"/>
          <w:noProof/>
          <w:lang w:val="fr-CA" w:eastAsia="fr-CA"/>
        </w:rPr>
        <w:t>’</w:t>
      </w:r>
      <w:r w:rsidRPr="00FA48F1">
        <w:rPr>
          <w:rFonts w:eastAsia="Times New Roman"/>
          <w:noProof/>
          <w:lang w:val="fr-CA" w:eastAsia="fr-CA"/>
        </w:rPr>
        <w:t>utilisation des agents pathogènes, des séquences ou de tout autre matériel ayant un potentiel pandémique, à travers un système multilatéral, en tenant compte des lois, réglementations, obligations et cadres nationaux et internationaux pertinents, conformément aux travaux en cours dans d</w:t>
      </w:r>
      <w:r w:rsidR="00003783">
        <w:rPr>
          <w:rFonts w:eastAsia="Times New Roman"/>
          <w:noProof/>
          <w:lang w:val="fr-CA" w:eastAsia="fr-CA"/>
        </w:rPr>
        <w:t>’</w:t>
      </w:r>
      <w:r w:rsidRPr="00FA48F1">
        <w:rPr>
          <w:rFonts w:eastAsia="Times New Roman"/>
          <w:noProof/>
          <w:lang w:val="fr-CA" w:eastAsia="fr-CA"/>
        </w:rPr>
        <w:t>autres domaines pertinents et sous l</w:t>
      </w:r>
      <w:r w:rsidR="00003783">
        <w:rPr>
          <w:rFonts w:eastAsia="Times New Roman"/>
          <w:noProof/>
          <w:lang w:val="fr-CA" w:eastAsia="fr-CA"/>
        </w:rPr>
        <w:t>’</w:t>
      </w:r>
      <w:r w:rsidRPr="00FA48F1">
        <w:rPr>
          <w:rFonts w:eastAsia="Times New Roman"/>
          <w:noProof/>
          <w:lang w:val="fr-CA" w:eastAsia="fr-CA"/>
        </w:rPr>
        <w:t>égide d</w:t>
      </w:r>
      <w:r w:rsidR="00003783">
        <w:rPr>
          <w:rFonts w:eastAsia="Times New Roman"/>
          <w:noProof/>
          <w:lang w:val="fr-CA" w:eastAsia="fr-CA"/>
        </w:rPr>
        <w:t>’</w:t>
      </w:r>
      <w:r w:rsidRPr="00FA48F1">
        <w:rPr>
          <w:rFonts w:eastAsia="Times New Roman"/>
          <w:noProof/>
          <w:lang w:val="fr-CA" w:eastAsia="fr-CA"/>
        </w:rPr>
        <w:t>autres organisations ou agences de l</w:t>
      </w:r>
      <w:r w:rsidR="00003783">
        <w:rPr>
          <w:rFonts w:eastAsia="Times New Roman"/>
          <w:noProof/>
          <w:lang w:val="fr-CA" w:eastAsia="fr-CA"/>
        </w:rPr>
        <w:t>’</w:t>
      </w:r>
      <w:r w:rsidRPr="00FA48F1">
        <w:rPr>
          <w:rFonts w:eastAsia="Times New Roman"/>
          <w:noProof/>
          <w:lang w:val="fr-CA" w:eastAsia="fr-CA"/>
        </w:rPr>
        <w:t>ONU et multilatérales (paragraphe 43)</w:t>
      </w:r>
      <w:r w:rsidR="006C21FB" w:rsidRPr="00FA48F1">
        <w:rPr>
          <w:rFonts w:eastAsia="Times New Roman"/>
          <w:noProof/>
          <w:lang w:val="fr-CA" w:eastAsia="fr-CA"/>
        </w:rPr>
        <w:t>.</w:t>
      </w:r>
    </w:p>
    <w:p w:rsidR="00642BEB" w:rsidRPr="00FA48F1" w:rsidRDefault="00A52CD6" w:rsidP="00AF2F29">
      <w:pPr>
        <w:pStyle w:val="CBDNormalNumber"/>
        <w:rPr>
          <w:noProof/>
          <w:lang w:val="fr-CA"/>
        </w:rPr>
      </w:pPr>
      <w:r w:rsidRPr="00FA48F1">
        <w:rPr>
          <w:rFonts w:eastAsia="Times New Roman"/>
          <w:noProof/>
          <w:lang w:val="fr-CA" w:eastAsia="fr-CA"/>
        </w:rPr>
        <w:t>Dans la déclaration politique, les chefs d</w:t>
      </w:r>
      <w:r w:rsidR="00003783">
        <w:rPr>
          <w:rFonts w:eastAsia="Times New Roman"/>
          <w:noProof/>
          <w:lang w:val="fr-CA" w:eastAsia="fr-CA"/>
        </w:rPr>
        <w:t>’</w:t>
      </w:r>
      <w:r w:rsidRPr="00FA48F1">
        <w:rPr>
          <w:rFonts w:eastAsia="Times New Roman"/>
          <w:noProof/>
          <w:lang w:val="fr-CA" w:eastAsia="fr-CA"/>
        </w:rPr>
        <w:t>État et de gouvernement et les représentants des États et des gouvernements ont décidé de convoquer une réunion de haut niveau sur la prévention, la préparation et la riposte face aux pandémies en 2026, visant à entreprendre un examen complet de la mise en œuvre de la déclaration (paragraphe 78). En outre, ils ont demandé au Secrétaire général de fournir, en consultation avec l</w:t>
      </w:r>
      <w:r w:rsidR="00003783">
        <w:rPr>
          <w:rFonts w:eastAsia="Times New Roman"/>
          <w:noProof/>
          <w:lang w:val="fr-CA" w:eastAsia="fr-CA"/>
        </w:rPr>
        <w:t>’</w:t>
      </w:r>
      <w:r w:rsidRPr="00FA48F1">
        <w:rPr>
          <w:rFonts w:eastAsia="Times New Roman"/>
          <w:noProof/>
          <w:lang w:val="fr-CA" w:eastAsia="fr-CA"/>
        </w:rPr>
        <w:t>OMS et d</w:t>
      </w:r>
      <w:r w:rsidR="00003783">
        <w:rPr>
          <w:rFonts w:eastAsia="Times New Roman"/>
          <w:noProof/>
          <w:lang w:val="fr-CA" w:eastAsia="fr-CA"/>
        </w:rPr>
        <w:t>’</w:t>
      </w:r>
      <w:r w:rsidRPr="00FA48F1">
        <w:rPr>
          <w:rFonts w:eastAsia="Times New Roman"/>
          <w:noProof/>
          <w:lang w:val="fr-CA" w:eastAsia="fr-CA"/>
        </w:rPr>
        <w:t>autres agences concernées, un rapport contenant des recommandations sur la mise en œuvre de la déclaration lors de la soixante</w:t>
      </w:r>
      <w:r w:rsidR="00003783">
        <w:rPr>
          <w:rFonts w:eastAsia="Times New Roman"/>
          <w:noProof/>
          <w:lang w:val="fr-CA" w:eastAsia="fr-CA"/>
        </w:rPr>
        <w:noBreakHyphen/>
      </w:r>
      <w:r w:rsidRPr="00FA48F1">
        <w:rPr>
          <w:rFonts w:eastAsia="Times New Roman"/>
          <w:noProof/>
          <w:lang w:val="fr-CA" w:eastAsia="fr-CA"/>
        </w:rPr>
        <w:t>dix</w:t>
      </w:r>
      <w:r w:rsidR="00003783">
        <w:rPr>
          <w:rFonts w:eastAsia="Times New Roman"/>
          <w:noProof/>
          <w:lang w:val="fr-CA" w:eastAsia="fr-CA"/>
        </w:rPr>
        <w:noBreakHyphen/>
      </w:r>
      <w:r w:rsidRPr="00FA48F1">
        <w:rPr>
          <w:rFonts w:eastAsia="Times New Roman"/>
          <w:noProof/>
          <w:lang w:val="fr-CA" w:eastAsia="fr-CA"/>
        </w:rPr>
        <w:t>neuvième session de l</w:t>
      </w:r>
      <w:r w:rsidR="00003783">
        <w:rPr>
          <w:rFonts w:eastAsia="Times New Roman"/>
          <w:noProof/>
          <w:lang w:val="fr-CA" w:eastAsia="fr-CA"/>
        </w:rPr>
        <w:t>’</w:t>
      </w:r>
      <w:r w:rsidRPr="00FA48F1">
        <w:rPr>
          <w:rFonts w:eastAsia="Times New Roman"/>
          <w:noProof/>
          <w:lang w:val="fr-CA" w:eastAsia="fr-CA"/>
        </w:rPr>
        <w:t>Assemblée générale, afin d</w:t>
      </w:r>
      <w:r w:rsidR="00003783">
        <w:rPr>
          <w:rFonts w:eastAsia="Times New Roman"/>
          <w:noProof/>
          <w:lang w:val="fr-CA" w:eastAsia="fr-CA"/>
        </w:rPr>
        <w:t>’</w:t>
      </w:r>
      <w:r w:rsidRPr="00FA48F1">
        <w:rPr>
          <w:rFonts w:eastAsia="Times New Roman"/>
          <w:noProof/>
          <w:lang w:val="fr-CA" w:eastAsia="fr-CA"/>
        </w:rPr>
        <w:t>éclairer la réunion de haut niveau de 2026 (paragraphe 77).</w:t>
      </w:r>
    </w:p>
    <w:p w:rsidR="008028F3" w:rsidRPr="00FA48F1" w:rsidRDefault="00E459A5" w:rsidP="006E2339">
      <w:pPr>
        <w:pStyle w:val="CBDH2"/>
        <w:rPr>
          <w:noProof/>
          <w:lang w:val="fr-CA"/>
        </w:rPr>
      </w:pPr>
      <w:r w:rsidRPr="00FA48F1">
        <w:rPr>
          <w:noProof/>
          <w:lang w:val="fr-CA"/>
        </w:rPr>
        <w:t>F.</w:t>
      </w:r>
      <w:r w:rsidRPr="00FA48F1">
        <w:rPr>
          <w:noProof/>
          <w:lang w:val="fr-CA"/>
        </w:rPr>
        <w:tab/>
      </w:r>
      <w:r w:rsidR="006B6CF0" w:rsidRPr="00FA48F1">
        <w:rPr>
          <w:noProof/>
          <w:lang w:val="fr-CA"/>
        </w:rPr>
        <w:t>Organisation mondiale de la santé</w:t>
      </w:r>
    </w:p>
    <w:p w:rsidR="00D51664" w:rsidRPr="00FA48F1" w:rsidRDefault="00D42AD8" w:rsidP="00CF7694">
      <w:pPr>
        <w:pStyle w:val="CBDNormalNumber"/>
        <w:rPr>
          <w:noProof/>
          <w:lang w:val="fr-CA"/>
        </w:rPr>
      </w:pPr>
      <w:r w:rsidRPr="00FA48F1">
        <w:rPr>
          <w:rFonts w:eastAsia="Times New Roman"/>
          <w:noProof/>
          <w:lang w:val="fr-CA" w:eastAsia="fr-CA"/>
        </w:rPr>
        <w:t>Les développements pertinents et considérables qui ont eu lieu à l</w:t>
      </w:r>
      <w:r w:rsidR="00003783">
        <w:rPr>
          <w:rFonts w:eastAsia="Times New Roman"/>
          <w:noProof/>
          <w:lang w:val="fr-CA" w:eastAsia="fr-CA"/>
        </w:rPr>
        <w:t>’</w:t>
      </w:r>
      <w:r w:rsidRPr="00FA48F1">
        <w:rPr>
          <w:rFonts w:eastAsia="Times New Roman"/>
          <w:noProof/>
          <w:lang w:val="fr-CA" w:eastAsia="fr-CA"/>
        </w:rPr>
        <w:t>OMS entre 2019 et 2022 sont décrits dans les documents CBD/NP/MOP/4/8 et CBD/NP/MOP/4/INF/4. À la suite de la pandémie de coronavirus (COVID</w:t>
      </w:r>
      <w:r w:rsidR="00003783">
        <w:rPr>
          <w:rFonts w:eastAsia="Times New Roman"/>
          <w:noProof/>
          <w:lang w:val="fr-CA" w:eastAsia="fr-CA"/>
        </w:rPr>
        <w:noBreakHyphen/>
      </w:r>
      <w:r w:rsidRPr="00FA48F1">
        <w:rPr>
          <w:rFonts w:eastAsia="Times New Roman"/>
          <w:noProof/>
          <w:lang w:val="fr-CA" w:eastAsia="fr-CA"/>
        </w:rPr>
        <w:t>19), l</w:t>
      </w:r>
      <w:r w:rsidR="00003783">
        <w:rPr>
          <w:rFonts w:eastAsia="Times New Roman"/>
          <w:noProof/>
          <w:lang w:val="fr-CA" w:eastAsia="fr-CA"/>
        </w:rPr>
        <w:t>’</w:t>
      </w:r>
      <w:r w:rsidRPr="00FA48F1">
        <w:rPr>
          <w:rFonts w:eastAsia="Times New Roman"/>
          <w:noProof/>
          <w:lang w:val="fr-CA" w:eastAsia="fr-CA"/>
        </w:rPr>
        <w:t>Assemblée mondiale de la santé a notamment établi deux processus distincts pour renforcer la préventi</w:t>
      </w:r>
      <w:r w:rsidR="00C7007F" w:rsidRPr="00FA48F1">
        <w:rPr>
          <w:rFonts w:eastAsia="Times New Roman"/>
          <w:noProof/>
          <w:lang w:val="fr-CA" w:eastAsia="fr-CA"/>
        </w:rPr>
        <w:t>on, la préparation et la riposte face</w:t>
      </w:r>
      <w:r w:rsidRPr="00FA48F1">
        <w:rPr>
          <w:rFonts w:eastAsia="Times New Roman"/>
          <w:noProof/>
          <w:lang w:val="fr-CA" w:eastAsia="fr-CA"/>
        </w:rPr>
        <w:t xml:space="preserve"> aux pandémies, à savoir l</w:t>
      </w:r>
      <w:r w:rsidR="00003783">
        <w:rPr>
          <w:rFonts w:eastAsia="Times New Roman"/>
          <w:noProof/>
          <w:lang w:val="fr-CA" w:eastAsia="fr-CA"/>
        </w:rPr>
        <w:t>’</w:t>
      </w:r>
      <w:r w:rsidRPr="00FA48F1">
        <w:rPr>
          <w:rFonts w:eastAsia="Times New Roman"/>
          <w:noProof/>
          <w:lang w:val="fr-CA" w:eastAsia="fr-CA"/>
        </w:rPr>
        <w:t>Organe de négociation intergouvernemental pour rédiger et négocier une convention, un accord ou un autre instrument international de l</w:t>
      </w:r>
      <w:r w:rsidR="00003783">
        <w:rPr>
          <w:rFonts w:eastAsia="Times New Roman"/>
          <w:noProof/>
          <w:lang w:val="fr-CA" w:eastAsia="fr-CA"/>
        </w:rPr>
        <w:t>’</w:t>
      </w:r>
      <w:r w:rsidRPr="00FA48F1">
        <w:rPr>
          <w:rFonts w:eastAsia="Times New Roman"/>
          <w:noProof/>
          <w:lang w:val="fr-CA" w:eastAsia="fr-CA"/>
        </w:rPr>
        <w:t>OMS sur la préventi</w:t>
      </w:r>
      <w:r w:rsidR="00C7007F" w:rsidRPr="00FA48F1">
        <w:rPr>
          <w:rFonts w:eastAsia="Times New Roman"/>
          <w:noProof/>
          <w:lang w:val="fr-CA" w:eastAsia="fr-CA"/>
        </w:rPr>
        <w:t>on, la préparation et la riposte face</w:t>
      </w:r>
      <w:r w:rsidRPr="00FA48F1">
        <w:rPr>
          <w:rFonts w:eastAsia="Times New Roman"/>
          <w:noProof/>
          <w:lang w:val="fr-CA" w:eastAsia="fr-CA"/>
        </w:rPr>
        <w:t xml:space="preserve"> aux pandémies, et le Groupe de travail sur les amendements au Règlement sanitaire international (2005)</w:t>
      </w:r>
      <w:r w:rsidR="00C7007F" w:rsidRPr="00FA48F1">
        <w:rPr>
          <w:rFonts w:eastAsia="Times New Roman"/>
          <w:noProof/>
          <w:lang w:val="fr-CA" w:eastAsia="fr-CA"/>
        </w:rPr>
        <w:t>.</w:t>
      </w:r>
    </w:p>
    <w:p w:rsidR="00C34D3D" w:rsidRPr="00FA48F1" w:rsidRDefault="006E2339" w:rsidP="006E2339">
      <w:pPr>
        <w:pStyle w:val="CBDH3"/>
        <w:rPr>
          <w:noProof/>
          <w:lang w:val="fr-CA"/>
        </w:rPr>
      </w:pPr>
      <w:r w:rsidRPr="00FA48F1">
        <w:rPr>
          <w:noProof/>
          <w:lang w:val="fr-CA"/>
        </w:rPr>
        <w:t>1.</w:t>
      </w:r>
      <w:r w:rsidRPr="00FA48F1">
        <w:rPr>
          <w:noProof/>
          <w:lang w:val="fr-CA"/>
        </w:rPr>
        <w:tab/>
      </w:r>
      <w:r w:rsidR="005D68E6" w:rsidRPr="00FA48F1">
        <w:rPr>
          <w:rFonts w:eastAsia="Times New Roman"/>
          <w:bCs/>
          <w:noProof/>
          <w:lang w:val="fr-CA" w:eastAsia="fr-CA"/>
        </w:rPr>
        <w:t>Organe de négociation intergouvernemental pour rédiger et négocier une convention, un accord ou un autre instrument international de l</w:t>
      </w:r>
      <w:r w:rsidR="00003783">
        <w:rPr>
          <w:rFonts w:eastAsia="Times New Roman"/>
          <w:bCs/>
          <w:noProof/>
          <w:lang w:val="fr-CA" w:eastAsia="fr-CA"/>
        </w:rPr>
        <w:t>’</w:t>
      </w:r>
      <w:r w:rsidR="005D68E6" w:rsidRPr="00FA48F1">
        <w:rPr>
          <w:rFonts w:eastAsia="Times New Roman"/>
          <w:bCs/>
          <w:noProof/>
          <w:lang w:val="fr-CA" w:eastAsia="fr-CA"/>
        </w:rPr>
        <w:t>OMS sur la prévention, la préparation et la riposte face aux pandémies</w:t>
      </w:r>
    </w:p>
    <w:p w:rsidR="00191028" w:rsidRPr="00FA48F1" w:rsidRDefault="00C41C0F" w:rsidP="00CF7694">
      <w:pPr>
        <w:pStyle w:val="CBDNormalNumber"/>
        <w:rPr>
          <w:noProof/>
          <w:lang w:val="fr-CA"/>
        </w:rPr>
      </w:pPr>
      <w:r w:rsidRPr="00FA48F1">
        <w:rPr>
          <w:rFonts w:eastAsia="Times New Roman"/>
          <w:noProof/>
          <w:lang w:val="fr-CA" w:eastAsia="fr-CA"/>
        </w:rPr>
        <w:t>L</w:t>
      </w:r>
      <w:r w:rsidR="00003783">
        <w:rPr>
          <w:rFonts w:eastAsia="Times New Roman"/>
          <w:noProof/>
          <w:lang w:val="fr-CA" w:eastAsia="fr-CA"/>
        </w:rPr>
        <w:t>’</w:t>
      </w:r>
      <w:r w:rsidRPr="00FA48F1">
        <w:rPr>
          <w:rFonts w:eastAsia="Times New Roman"/>
          <w:noProof/>
          <w:lang w:val="fr-CA" w:eastAsia="fr-CA"/>
        </w:rPr>
        <w:t>Organe de négociation intergouvernemental a tenu neuf réunions entre février 2022 et mai 2024 pour rédiger et négocier l</w:t>
      </w:r>
      <w:r w:rsidR="00003783">
        <w:rPr>
          <w:rFonts w:eastAsia="Times New Roman"/>
          <w:noProof/>
          <w:lang w:val="fr-CA" w:eastAsia="fr-CA"/>
        </w:rPr>
        <w:t>’</w:t>
      </w:r>
      <w:r w:rsidRPr="00FA48F1">
        <w:rPr>
          <w:rFonts w:eastAsia="Times New Roman"/>
          <w:noProof/>
          <w:lang w:val="fr-CA" w:eastAsia="fr-CA"/>
        </w:rPr>
        <w:t>Accord sur les pandémies de l</w:t>
      </w:r>
      <w:r w:rsidR="00003783">
        <w:rPr>
          <w:rFonts w:eastAsia="Times New Roman"/>
          <w:noProof/>
          <w:lang w:val="fr-CA" w:eastAsia="fr-CA"/>
        </w:rPr>
        <w:t>’</w:t>
      </w:r>
      <w:r w:rsidRPr="00FA48F1">
        <w:rPr>
          <w:rFonts w:eastAsia="Times New Roman"/>
          <w:noProof/>
          <w:lang w:val="fr-CA" w:eastAsia="fr-CA"/>
        </w:rPr>
        <w:t>OMS. Les résultats de ses travaux, y compris le projet de texte de l</w:t>
      </w:r>
      <w:r w:rsidR="00003783">
        <w:rPr>
          <w:rFonts w:eastAsia="Times New Roman"/>
          <w:noProof/>
          <w:lang w:val="fr-CA" w:eastAsia="fr-CA"/>
        </w:rPr>
        <w:t>’</w:t>
      </w:r>
      <w:r w:rsidRPr="00FA48F1">
        <w:rPr>
          <w:rFonts w:eastAsia="Times New Roman"/>
          <w:noProof/>
          <w:lang w:val="fr-CA" w:eastAsia="fr-CA"/>
        </w:rPr>
        <w:t>Accord sur les pandémies de l</w:t>
      </w:r>
      <w:r w:rsidR="00003783">
        <w:rPr>
          <w:rFonts w:eastAsia="Times New Roman"/>
          <w:noProof/>
          <w:lang w:val="fr-CA" w:eastAsia="fr-CA"/>
        </w:rPr>
        <w:t>’</w:t>
      </w:r>
      <w:r w:rsidRPr="00FA48F1">
        <w:rPr>
          <w:rFonts w:eastAsia="Times New Roman"/>
          <w:noProof/>
          <w:lang w:val="fr-CA" w:eastAsia="fr-CA"/>
        </w:rPr>
        <w:t>OMS, ont été soumis à la soixante</w:t>
      </w:r>
      <w:r w:rsidR="00003783">
        <w:rPr>
          <w:rFonts w:eastAsia="Times New Roman"/>
          <w:noProof/>
          <w:lang w:val="fr-CA" w:eastAsia="fr-CA"/>
        </w:rPr>
        <w:noBreakHyphen/>
      </w:r>
      <w:r w:rsidRPr="00FA48F1">
        <w:rPr>
          <w:rFonts w:eastAsia="Times New Roman"/>
          <w:noProof/>
          <w:lang w:val="fr-CA" w:eastAsia="fr-CA"/>
        </w:rPr>
        <w:t>dix</w:t>
      </w:r>
      <w:r w:rsidR="00003783">
        <w:rPr>
          <w:rFonts w:eastAsia="Times New Roman"/>
          <w:noProof/>
          <w:lang w:val="fr-CA" w:eastAsia="fr-CA"/>
        </w:rPr>
        <w:noBreakHyphen/>
      </w:r>
      <w:r w:rsidRPr="00FA48F1">
        <w:rPr>
          <w:rFonts w:eastAsia="Times New Roman"/>
          <w:noProof/>
          <w:lang w:val="fr-CA" w:eastAsia="fr-CA"/>
        </w:rPr>
        <w:t>septième Assemblée mondiale de la santé en mai 2024 (voir document A77/10). L</w:t>
      </w:r>
      <w:r w:rsidR="00003783">
        <w:rPr>
          <w:rFonts w:eastAsia="Times New Roman"/>
          <w:noProof/>
          <w:lang w:val="fr-CA" w:eastAsia="fr-CA"/>
        </w:rPr>
        <w:t>’</w:t>
      </w:r>
      <w:r w:rsidRPr="00FA48F1">
        <w:rPr>
          <w:rFonts w:eastAsia="Times New Roman"/>
          <w:noProof/>
          <w:lang w:val="fr-CA" w:eastAsia="fr-CA"/>
        </w:rPr>
        <w:t>Organe de négociation intergouvernemental n</w:t>
      </w:r>
      <w:r w:rsidR="00003783">
        <w:rPr>
          <w:rFonts w:eastAsia="Times New Roman"/>
          <w:noProof/>
          <w:lang w:val="fr-CA" w:eastAsia="fr-CA"/>
        </w:rPr>
        <w:t>’</w:t>
      </w:r>
      <w:r w:rsidRPr="00FA48F1">
        <w:rPr>
          <w:rFonts w:eastAsia="Times New Roman"/>
          <w:noProof/>
          <w:lang w:val="fr-CA" w:eastAsia="fr-CA"/>
        </w:rPr>
        <w:t>a pas encore atteint de consensus sur le texte</w:t>
      </w:r>
      <w:r w:rsidRPr="00FA48F1">
        <w:rPr>
          <w:noProof/>
          <w:lang w:val="fr-CA"/>
        </w:rPr>
        <w:t>.</w:t>
      </w:r>
    </w:p>
    <w:p w:rsidR="00DE2729" w:rsidRPr="00FA48F1" w:rsidRDefault="00C41C0F" w:rsidP="00CF7694">
      <w:pPr>
        <w:pStyle w:val="CBDNormalNumber"/>
        <w:rPr>
          <w:lang w:val="fr-CA"/>
        </w:rPr>
      </w:pPr>
      <w:r w:rsidRPr="00FA48F1">
        <w:rPr>
          <w:rFonts w:eastAsia="Times New Roman"/>
          <w:noProof/>
          <w:lang w:val="fr-CA" w:eastAsia="fr-CA"/>
        </w:rPr>
        <w:t>À cet égard, l</w:t>
      </w:r>
      <w:r w:rsidR="00003783">
        <w:rPr>
          <w:rFonts w:eastAsia="Times New Roman"/>
          <w:noProof/>
          <w:lang w:val="fr-CA" w:eastAsia="fr-CA"/>
        </w:rPr>
        <w:t>’</w:t>
      </w:r>
      <w:r w:rsidRPr="00FA48F1">
        <w:rPr>
          <w:rFonts w:eastAsia="Times New Roman"/>
          <w:noProof/>
          <w:lang w:val="fr-CA" w:eastAsia="fr-CA"/>
        </w:rPr>
        <w:t>Assemblée mondiale de la santé a adopté la décision WHA77(20), dans laquelle elle a décidé de prolonger le mandat de l</w:t>
      </w:r>
      <w:r w:rsidR="00003783">
        <w:rPr>
          <w:rFonts w:eastAsia="Times New Roman"/>
          <w:noProof/>
          <w:lang w:val="fr-CA" w:eastAsia="fr-CA"/>
        </w:rPr>
        <w:t>’</w:t>
      </w:r>
      <w:r w:rsidRPr="00FA48F1">
        <w:rPr>
          <w:rFonts w:eastAsia="Times New Roman"/>
          <w:noProof/>
          <w:lang w:val="fr-CA" w:eastAsia="fr-CA"/>
        </w:rPr>
        <w:t>Organe de négociation intergouvernemental</w:t>
      </w:r>
      <w:r w:rsidR="002B51EC" w:rsidRPr="00FA48F1">
        <w:rPr>
          <w:rFonts w:eastAsia="Times New Roman"/>
          <w:noProof/>
          <w:lang w:val="fr-CA" w:eastAsia="fr-CA"/>
        </w:rPr>
        <w:t>,</w:t>
      </w:r>
      <w:r w:rsidRPr="00FA48F1">
        <w:rPr>
          <w:rFonts w:eastAsia="Times New Roman"/>
          <w:noProof/>
          <w:lang w:val="fr-CA" w:eastAsia="fr-CA"/>
        </w:rPr>
        <w:t xml:space="preserve"> </w:t>
      </w:r>
      <w:r w:rsidR="002B51EC" w:rsidRPr="00FA48F1">
        <w:rPr>
          <w:rFonts w:eastAsia="Times New Roman"/>
          <w:noProof/>
          <w:lang w:val="fr-CA" w:eastAsia="fr-CA"/>
        </w:rPr>
        <w:t>afin qu</w:t>
      </w:r>
      <w:r w:rsidR="00003783">
        <w:rPr>
          <w:rFonts w:eastAsia="Times New Roman"/>
          <w:noProof/>
          <w:lang w:val="fr-CA" w:eastAsia="fr-CA"/>
        </w:rPr>
        <w:t>’</w:t>
      </w:r>
      <w:r w:rsidR="002B51EC" w:rsidRPr="00FA48F1">
        <w:rPr>
          <w:rFonts w:eastAsia="Times New Roman"/>
          <w:noProof/>
          <w:lang w:val="fr-CA" w:eastAsia="fr-CA"/>
        </w:rPr>
        <w:t>il termine</w:t>
      </w:r>
      <w:r w:rsidRPr="00FA48F1">
        <w:rPr>
          <w:rFonts w:eastAsia="Times New Roman"/>
          <w:noProof/>
          <w:lang w:val="fr-CA" w:eastAsia="fr-CA"/>
        </w:rPr>
        <w:t xml:space="preserve"> ses trav</w:t>
      </w:r>
      <w:r w:rsidR="002B51EC" w:rsidRPr="00FA48F1">
        <w:rPr>
          <w:rFonts w:eastAsia="Times New Roman"/>
          <w:noProof/>
          <w:lang w:val="fr-CA" w:eastAsia="fr-CA"/>
        </w:rPr>
        <w:t>aux dès que possible et soumett</w:t>
      </w:r>
      <w:r w:rsidRPr="00FA48F1">
        <w:rPr>
          <w:rFonts w:eastAsia="Times New Roman"/>
          <w:noProof/>
          <w:lang w:val="fr-CA" w:eastAsia="fr-CA"/>
        </w:rPr>
        <w:t xml:space="preserve">e ses résultats </w:t>
      </w:r>
      <w:r w:rsidR="002B51EC" w:rsidRPr="00FA48F1">
        <w:rPr>
          <w:rFonts w:eastAsia="Times New Roman"/>
          <w:noProof/>
          <w:lang w:val="fr-CA" w:eastAsia="fr-CA"/>
        </w:rPr>
        <w:t>aux fins</w:t>
      </w:r>
      <w:r w:rsidRPr="00FA48F1">
        <w:rPr>
          <w:rFonts w:eastAsia="Times New Roman"/>
          <w:noProof/>
          <w:lang w:val="fr-CA" w:eastAsia="fr-CA"/>
        </w:rPr>
        <w:t xml:space="preserve"> </w:t>
      </w:r>
      <w:r w:rsidR="002B51EC" w:rsidRPr="00FA48F1">
        <w:rPr>
          <w:rFonts w:eastAsia="Times New Roman"/>
          <w:noProof/>
          <w:lang w:val="fr-CA" w:eastAsia="fr-CA"/>
        </w:rPr>
        <w:t>d</w:t>
      </w:r>
      <w:r w:rsidR="00003783">
        <w:rPr>
          <w:rFonts w:eastAsia="Times New Roman"/>
          <w:noProof/>
          <w:lang w:val="fr-CA" w:eastAsia="fr-CA"/>
        </w:rPr>
        <w:t>’</w:t>
      </w:r>
      <w:r w:rsidRPr="00FA48F1">
        <w:rPr>
          <w:rFonts w:eastAsia="Times New Roman"/>
          <w:noProof/>
          <w:lang w:val="fr-CA" w:eastAsia="fr-CA"/>
        </w:rPr>
        <w:t xml:space="preserve">examen lors de la </w:t>
      </w:r>
      <w:r w:rsidRPr="00FA48F1">
        <w:rPr>
          <w:rFonts w:eastAsia="Times New Roman"/>
          <w:noProof/>
          <w:lang w:val="fr-CA" w:eastAsia="fr-CA"/>
        </w:rPr>
        <w:lastRenderedPageBreak/>
        <w:t>soixante</w:t>
      </w:r>
      <w:r w:rsidR="00003783">
        <w:rPr>
          <w:rFonts w:eastAsia="Times New Roman"/>
          <w:noProof/>
          <w:lang w:val="fr-CA" w:eastAsia="fr-CA"/>
        </w:rPr>
        <w:noBreakHyphen/>
      </w:r>
      <w:r w:rsidRPr="00FA48F1">
        <w:rPr>
          <w:rFonts w:eastAsia="Times New Roman"/>
          <w:noProof/>
          <w:lang w:val="fr-CA" w:eastAsia="fr-CA"/>
        </w:rPr>
        <w:t>dix</w:t>
      </w:r>
      <w:r w:rsidR="00003783">
        <w:rPr>
          <w:rFonts w:eastAsia="Times New Roman"/>
          <w:noProof/>
          <w:lang w:val="fr-CA" w:eastAsia="fr-CA"/>
        </w:rPr>
        <w:noBreakHyphen/>
      </w:r>
      <w:r w:rsidRPr="00FA48F1">
        <w:rPr>
          <w:rFonts w:eastAsia="Times New Roman"/>
          <w:noProof/>
          <w:lang w:val="fr-CA" w:eastAsia="fr-CA"/>
        </w:rPr>
        <w:t>huitième As</w:t>
      </w:r>
      <w:r w:rsidR="002B51EC" w:rsidRPr="00FA48F1">
        <w:rPr>
          <w:rFonts w:eastAsia="Times New Roman"/>
          <w:noProof/>
          <w:lang w:val="fr-CA" w:eastAsia="fr-CA"/>
        </w:rPr>
        <w:t>semblée mondiale de la santé en </w:t>
      </w:r>
      <w:r w:rsidRPr="00FA48F1">
        <w:rPr>
          <w:rFonts w:eastAsia="Times New Roman"/>
          <w:noProof/>
          <w:lang w:val="fr-CA" w:eastAsia="fr-CA"/>
        </w:rPr>
        <w:t>2025, ou plus tôt</w:t>
      </w:r>
      <w:r w:rsidR="002B51EC" w:rsidRPr="00FA48F1">
        <w:rPr>
          <w:rFonts w:eastAsia="Times New Roman"/>
          <w:noProof/>
          <w:lang w:val="fr-CA" w:eastAsia="fr-CA"/>
        </w:rPr>
        <w:t>,</w:t>
      </w:r>
      <w:r w:rsidRPr="00FA48F1">
        <w:rPr>
          <w:rFonts w:eastAsia="Times New Roman"/>
          <w:noProof/>
          <w:lang w:val="fr-CA" w:eastAsia="fr-CA"/>
        </w:rPr>
        <w:t xml:space="preserve"> lors d</w:t>
      </w:r>
      <w:r w:rsidR="00003783">
        <w:rPr>
          <w:rFonts w:eastAsia="Times New Roman"/>
          <w:noProof/>
          <w:lang w:val="fr-CA" w:eastAsia="fr-CA"/>
        </w:rPr>
        <w:t>’</w:t>
      </w:r>
      <w:r w:rsidRPr="00FA48F1">
        <w:rPr>
          <w:rFonts w:eastAsia="Times New Roman"/>
          <w:noProof/>
          <w:lang w:val="fr-CA" w:eastAsia="fr-CA"/>
        </w:rPr>
        <w:t>une session extraordinaire de l</w:t>
      </w:r>
      <w:r w:rsidR="00003783">
        <w:rPr>
          <w:rFonts w:eastAsia="Times New Roman"/>
          <w:noProof/>
          <w:lang w:val="fr-CA" w:eastAsia="fr-CA"/>
        </w:rPr>
        <w:t>’</w:t>
      </w:r>
      <w:r w:rsidRPr="00FA48F1">
        <w:rPr>
          <w:rFonts w:eastAsia="Times New Roman"/>
          <w:noProof/>
          <w:lang w:val="fr-CA" w:eastAsia="fr-CA"/>
        </w:rPr>
        <w:t>Assemblée</w:t>
      </w:r>
      <w:r w:rsidRPr="00FA48F1">
        <w:rPr>
          <w:rFonts w:eastAsia="Times New Roman"/>
          <w:lang w:val="fr-CA" w:eastAsia="fr-CA"/>
        </w:rPr>
        <w:t xml:space="preserve"> mondi</w:t>
      </w:r>
      <w:r w:rsidR="001D3FF2" w:rsidRPr="00FA48F1">
        <w:rPr>
          <w:rFonts w:eastAsia="Times New Roman"/>
          <w:lang w:val="fr-CA" w:eastAsia="fr-CA"/>
        </w:rPr>
        <w:t>ale de la santé, dans la mesure du</w:t>
      </w:r>
      <w:r w:rsidR="002B51EC" w:rsidRPr="00FA48F1">
        <w:rPr>
          <w:rFonts w:eastAsia="Times New Roman"/>
          <w:lang w:val="fr-CA" w:eastAsia="fr-CA"/>
        </w:rPr>
        <w:t xml:space="preserve"> possible en </w:t>
      </w:r>
      <w:r w:rsidRPr="00FA48F1">
        <w:rPr>
          <w:rFonts w:eastAsia="Times New Roman"/>
          <w:lang w:val="fr-CA" w:eastAsia="fr-CA"/>
        </w:rPr>
        <w:t>2024</w:t>
      </w:r>
      <w:r w:rsidR="002B51EC" w:rsidRPr="00FA48F1">
        <w:rPr>
          <w:rFonts w:eastAsia="Times New Roman"/>
          <w:lang w:val="fr-CA" w:eastAsia="fr-CA"/>
        </w:rPr>
        <w:t>.</w:t>
      </w:r>
    </w:p>
    <w:p w:rsidR="008F4080" w:rsidRPr="00FA48F1" w:rsidRDefault="007C1CC4" w:rsidP="00CF7694">
      <w:pPr>
        <w:pStyle w:val="CBDNormalNumber"/>
        <w:rPr>
          <w:lang w:val="fr-CA"/>
        </w:rPr>
      </w:pPr>
      <w:r w:rsidRPr="00FA48F1">
        <w:rPr>
          <w:rFonts w:eastAsia="Times New Roman"/>
          <w:lang w:val="fr-CA" w:eastAsia="fr-CA"/>
        </w:rPr>
        <w:t>La dixième réunion de l</w:t>
      </w:r>
      <w:r w:rsidR="00003783">
        <w:rPr>
          <w:rFonts w:eastAsia="Times New Roman"/>
          <w:lang w:val="fr-CA" w:eastAsia="fr-CA"/>
        </w:rPr>
        <w:t>’</w:t>
      </w:r>
      <w:r w:rsidRPr="00FA48F1">
        <w:rPr>
          <w:rFonts w:eastAsia="Times New Roman"/>
          <w:lang w:val="fr-CA" w:eastAsia="fr-CA"/>
        </w:rPr>
        <w:t>Organe de négociation intergouvernemental, qui portera sur un projet de plan de travail et un calendrier de réunions, s</w:t>
      </w:r>
      <w:r w:rsidR="00003783">
        <w:rPr>
          <w:rFonts w:eastAsia="Times New Roman"/>
          <w:lang w:val="fr-CA" w:eastAsia="fr-CA"/>
        </w:rPr>
        <w:t>’</w:t>
      </w:r>
      <w:r w:rsidRPr="00FA48F1">
        <w:rPr>
          <w:rFonts w:eastAsia="Times New Roman"/>
          <w:lang w:val="fr-CA" w:eastAsia="fr-CA"/>
        </w:rPr>
        <w:t>est tenue les 16 et 17 juillet 2024. La tenue de la onzième réunion de l</w:t>
      </w:r>
      <w:r w:rsidR="00003783">
        <w:rPr>
          <w:rFonts w:eastAsia="Times New Roman"/>
          <w:lang w:val="fr-CA" w:eastAsia="fr-CA"/>
        </w:rPr>
        <w:t>’</w:t>
      </w:r>
      <w:r w:rsidRPr="00FA48F1">
        <w:rPr>
          <w:rFonts w:eastAsia="Times New Roman"/>
          <w:lang w:val="fr-CA" w:eastAsia="fr-CA"/>
        </w:rPr>
        <w:t>Organe de négociation intergouvernemental est prévue du 9 au 20 septembre 2024 et celle de la douzième réunion du 4 au 15 novembre 2024.</w:t>
      </w:r>
    </w:p>
    <w:p w:rsidR="00902470" w:rsidRPr="00FA48F1" w:rsidRDefault="000659A4" w:rsidP="00CF7694">
      <w:pPr>
        <w:pStyle w:val="CBDNormalNumber"/>
        <w:rPr>
          <w:lang w:val="fr-CA"/>
        </w:rPr>
      </w:pPr>
      <w:r w:rsidRPr="00FA48F1">
        <w:rPr>
          <w:rFonts w:eastAsia="Times New Roman"/>
          <w:lang w:val="fr-CA" w:eastAsia="fr-CA"/>
        </w:rPr>
        <w:t>Selon le projet de plan de travail présenté à la dixième réunion de l</w:t>
      </w:r>
      <w:r w:rsidR="00003783">
        <w:rPr>
          <w:rFonts w:eastAsia="Times New Roman"/>
          <w:lang w:val="fr-CA" w:eastAsia="fr-CA"/>
        </w:rPr>
        <w:t>’</w:t>
      </w:r>
      <w:r w:rsidRPr="00FA48F1">
        <w:rPr>
          <w:rFonts w:eastAsia="Times New Roman"/>
          <w:lang w:val="fr-CA" w:eastAsia="fr-CA"/>
        </w:rPr>
        <w:t xml:space="preserve">Organe de négociation </w:t>
      </w:r>
      <w:r w:rsidRPr="00FA48F1">
        <w:rPr>
          <w:rFonts w:eastAsia="Times New Roman"/>
          <w:noProof/>
          <w:lang w:val="fr-CA" w:eastAsia="fr-CA"/>
        </w:rPr>
        <w:t>intergouvernemental (A/INB/10/3 Rev.1), les</w:t>
      </w:r>
      <w:r w:rsidRPr="00FA48F1">
        <w:rPr>
          <w:rFonts w:eastAsia="Times New Roman"/>
          <w:lang w:val="fr-CA" w:eastAsia="fr-CA"/>
        </w:rPr>
        <w:t xml:space="preserve"> négociations se poursuivront sur la base du texte de la proposition d</w:t>
      </w:r>
      <w:r w:rsidR="00003783">
        <w:rPr>
          <w:rFonts w:eastAsia="Times New Roman"/>
          <w:lang w:val="fr-CA" w:eastAsia="fr-CA"/>
        </w:rPr>
        <w:t>’</w:t>
      </w:r>
      <w:r w:rsidRPr="00FA48F1">
        <w:rPr>
          <w:rFonts w:eastAsia="Times New Roman"/>
          <w:lang w:val="fr-CA" w:eastAsia="fr-CA"/>
        </w:rPr>
        <w:t>Accord sur les pandémies de l</w:t>
      </w:r>
      <w:r w:rsidR="00003783">
        <w:rPr>
          <w:rFonts w:eastAsia="Times New Roman"/>
          <w:lang w:val="fr-CA" w:eastAsia="fr-CA"/>
        </w:rPr>
        <w:t>’</w:t>
      </w:r>
      <w:r w:rsidRPr="00FA48F1">
        <w:rPr>
          <w:rFonts w:eastAsia="Times New Roman"/>
          <w:lang w:val="fr-CA" w:eastAsia="fr-CA"/>
        </w:rPr>
        <w:t>OMS contenue dans l</w:t>
      </w:r>
      <w:r w:rsidR="00003783">
        <w:rPr>
          <w:rFonts w:eastAsia="Times New Roman"/>
          <w:lang w:val="fr-CA" w:eastAsia="fr-CA"/>
        </w:rPr>
        <w:t>’</w:t>
      </w:r>
      <w:r w:rsidRPr="00FA48F1">
        <w:rPr>
          <w:rFonts w:eastAsia="Times New Roman"/>
          <w:lang w:val="fr-CA" w:eastAsia="fr-CA"/>
        </w:rPr>
        <w:t>annexe du document A77/10. Cette proposition comprend du texte surligné en vert, signifiant qu</w:t>
      </w:r>
      <w:r w:rsidR="00003783">
        <w:rPr>
          <w:rFonts w:eastAsia="Times New Roman"/>
          <w:lang w:val="fr-CA" w:eastAsia="fr-CA"/>
        </w:rPr>
        <w:t>’</w:t>
      </w:r>
      <w:r w:rsidRPr="00FA48F1">
        <w:rPr>
          <w:rFonts w:eastAsia="Times New Roman"/>
          <w:lang w:val="fr-CA" w:eastAsia="fr-CA"/>
        </w:rPr>
        <w:t>un accord initial a été atteint; du texte surligné en jaune, signifiant qu</w:t>
      </w:r>
      <w:r w:rsidR="00003783">
        <w:rPr>
          <w:rFonts w:eastAsia="Times New Roman"/>
          <w:lang w:val="fr-CA" w:eastAsia="fr-CA"/>
        </w:rPr>
        <w:t>’</w:t>
      </w:r>
      <w:r w:rsidRPr="00FA48F1">
        <w:rPr>
          <w:rFonts w:eastAsia="Times New Roman"/>
          <w:lang w:val="fr-CA" w:eastAsia="fr-CA"/>
        </w:rPr>
        <w:t>une convergence initiale a été at</w:t>
      </w:r>
      <w:r w:rsidR="00A30985" w:rsidRPr="00FA48F1">
        <w:rPr>
          <w:rFonts w:eastAsia="Times New Roman"/>
          <w:lang w:val="fr-CA" w:eastAsia="fr-CA"/>
        </w:rPr>
        <w:t xml:space="preserve">teinte; du texte sans </w:t>
      </w:r>
      <w:r w:rsidR="00A30985" w:rsidRPr="00FA48F1">
        <w:rPr>
          <w:rFonts w:eastAsia="Times New Roman"/>
          <w:noProof/>
          <w:lang w:val="fr-CA" w:eastAsia="fr-CA"/>
        </w:rPr>
        <w:t>surlignage</w:t>
      </w:r>
      <w:r w:rsidRPr="00FA48F1">
        <w:rPr>
          <w:rFonts w:eastAsia="Times New Roman"/>
          <w:noProof/>
          <w:lang w:val="fr-CA" w:eastAsia="fr-CA"/>
        </w:rPr>
        <w:t>,</w:t>
      </w:r>
      <w:r w:rsidRPr="00FA48F1">
        <w:rPr>
          <w:rFonts w:eastAsia="Times New Roman"/>
          <w:lang w:val="fr-CA" w:eastAsia="fr-CA"/>
        </w:rPr>
        <w:t xml:space="preserve"> signifiant qu</w:t>
      </w:r>
      <w:r w:rsidR="00003783">
        <w:rPr>
          <w:rFonts w:eastAsia="Times New Roman"/>
          <w:lang w:val="fr-CA" w:eastAsia="fr-CA"/>
        </w:rPr>
        <w:t>’</w:t>
      </w:r>
      <w:r w:rsidRPr="00FA48F1">
        <w:rPr>
          <w:rFonts w:eastAsia="Times New Roman"/>
          <w:lang w:val="fr-CA" w:eastAsia="fr-CA"/>
        </w:rPr>
        <w:t>aucune convergence n</w:t>
      </w:r>
      <w:r w:rsidR="00003783">
        <w:rPr>
          <w:rFonts w:eastAsia="Times New Roman"/>
          <w:lang w:val="fr-CA" w:eastAsia="fr-CA"/>
        </w:rPr>
        <w:t>’</w:t>
      </w:r>
      <w:r w:rsidRPr="00FA48F1">
        <w:rPr>
          <w:rFonts w:eastAsia="Times New Roman"/>
          <w:lang w:val="fr-CA" w:eastAsia="fr-CA"/>
        </w:rPr>
        <w:t>a été atteinte; et du texte entre crochets, signifiant qu</w:t>
      </w:r>
      <w:r w:rsidR="00003783">
        <w:rPr>
          <w:rFonts w:eastAsia="Times New Roman"/>
          <w:lang w:val="fr-CA" w:eastAsia="fr-CA"/>
        </w:rPr>
        <w:t>’</w:t>
      </w:r>
      <w:r w:rsidRPr="00FA48F1">
        <w:rPr>
          <w:rFonts w:eastAsia="Times New Roman"/>
          <w:lang w:val="fr-CA" w:eastAsia="fr-CA"/>
        </w:rPr>
        <w:t xml:space="preserve">il </w:t>
      </w:r>
      <w:r w:rsidR="0056041F" w:rsidRPr="00FA48F1">
        <w:rPr>
          <w:rFonts w:eastAsia="Times New Roman"/>
          <w:lang w:val="fr-CA" w:eastAsia="fr-CA"/>
        </w:rPr>
        <w:t>existe</w:t>
      </w:r>
      <w:r w:rsidRPr="00FA48F1">
        <w:rPr>
          <w:rFonts w:eastAsia="Times New Roman"/>
          <w:lang w:val="fr-CA" w:eastAsia="fr-CA"/>
        </w:rPr>
        <w:t xml:space="preserve"> des divergences de vues.</w:t>
      </w:r>
    </w:p>
    <w:p w:rsidR="00D04CEE" w:rsidRPr="00FA48F1" w:rsidRDefault="0056041F" w:rsidP="00CF7694">
      <w:pPr>
        <w:pStyle w:val="CBDNormalNumber"/>
        <w:rPr>
          <w:lang w:val="fr-CA"/>
        </w:rPr>
      </w:pPr>
      <w:r w:rsidRPr="00FA48F1">
        <w:rPr>
          <w:rFonts w:eastAsia="Times New Roman"/>
          <w:lang w:val="fr-CA" w:eastAsia="fr-CA"/>
        </w:rPr>
        <w:t>Le projet de plan de travail prévoit que la onzième réunion de l</w:t>
      </w:r>
      <w:r w:rsidR="00003783">
        <w:rPr>
          <w:rFonts w:eastAsia="Times New Roman"/>
          <w:lang w:val="fr-CA" w:eastAsia="fr-CA"/>
        </w:rPr>
        <w:t>’</w:t>
      </w:r>
      <w:r w:rsidRPr="00FA48F1">
        <w:rPr>
          <w:rFonts w:eastAsia="Times New Roman"/>
          <w:lang w:val="fr-CA" w:eastAsia="fr-CA"/>
        </w:rPr>
        <w:t>Organe de négociation intergouvernemental se concentrera sur l</w:t>
      </w:r>
      <w:r w:rsidR="00003783">
        <w:rPr>
          <w:rFonts w:eastAsia="Times New Roman"/>
          <w:lang w:val="fr-CA" w:eastAsia="fr-CA"/>
        </w:rPr>
        <w:t>’</w:t>
      </w:r>
      <w:r w:rsidRPr="00FA48F1">
        <w:rPr>
          <w:rFonts w:eastAsia="Times New Roman"/>
          <w:lang w:val="fr-CA" w:eastAsia="fr-CA"/>
        </w:rPr>
        <w:t>article 12 du projet d</w:t>
      </w:r>
      <w:r w:rsidR="00003783">
        <w:rPr>
          <w:rFonts w:eastAsia="Times New Roman"/>
          <w:lang w:val="fr-CA" w:eastAsia="fr-CA"/>
        </w:rPr>
        <w:t>’</w:t>
      </w:r>
      <w:r w:rsidRPr="00FA48F1">
        <w:rPr>
          <w:rFonts w:eastAsia="Times New Roman"/>
          <w:lang w:val="fr-CA" w:eastAsia="fr-CA"/>
        </w:rPr>
        <w:t>Accord sur les pandémies de l</w:t>
      </w:r>
      <w:r w:rsidR="00003783">
        <w:rPr>
          <w:rFonts w:eastAsia="Times New Roman"/>
          <w:lang w:val="fr-CA" w:eastAsia="fr-CA"/>
        </w:rPr>
        <w:t>’</w:t>
      </w:r>
      <w:r w:rsidRPr="00FA48F1">
        <w:rPr>
          <w:rFonts w:eastAsia="Times New Roman"/>
          <w:lang w:val="fr-CA" w:eastAsia="fr-CA"/>
        </w:rPr>
        <w:t>OMS, qui traite du système d</w:t>
      </w:r>
      <w:r w:rsidR="00003783">
        <w:rPr>
          <w:rFonts w:eastAsia="Times New Roman"/>
          <w:lang w:val="fr-CA" w:eastAsia="fr-CA"/>
        </w:rPr>
        <w:t>’</w:t>
      </w:r>
      <w:r w:rsidRPr="00FA48F1">
        <w:rPr>
          <w:rFonts w:eastAsia="Times New Roman"/>
          <w:lang w:val="fr-CA" w:eastAsia="fr-CA"/>
        </w:rPr>
        <w:t xml:space="preserve">accès aux agents pathogènes et de partage des avantages. </w:t>
      </w:r>
      <w:r w:rsidR="00DC496E" w:rsidRPr="00FA48F1">
        <w:rPr>
          <w:rFonts w:eastAsia="Times New Roman"/>
          <w:lang w:val="fr-CA" w:eastAsia="fr-CA"/>
        </w:rPr>
        <w:t>Gardant à l</w:t>
      </w:r>
      <w:r w:rsidR="00003783">
        <w:rPr>
          <w:rFonts w:eastAsia="Times New Roman"/>
          <w:lang w:val="fr-CA" w:eastAsia="fr-CA"/>
        </w:rPr>
        <w:t>’</w:t>
      </w:r>
      <w:r w:rsidR="00DC496E" w:rsidRPr="00FA48F1">
        <w:rPr>
          <w:rFonts w:eastAsia="Times New Roman"/>
          <w:lang w:val="fr-CA" w:eastAsia="fr-CA"/>
        </w:rPr>
        <w:t>esprit que le texte est</w:t>
      </w:r>
      <w:r w:rsidRPr="00FA48F1">
        <w:rPr>
          <w:rFonts w:eastAsia="Times New Roman"/>
          <w:lang w:val="fr-CA" w:eastAsia="fr-CA"/>
        </w:rPr>
        <w:t xml:space="preserve"> encore en cours de né</w:t>
      </w:r>
      <w:r w:rsidR="00DC496E" w:rsidRPr="00FA48F1">
        <w:rPr>
          <w:rFonts w:eastAsia="Times New Roman"/>
          <w:lang w:val="fr-CA" w:eastAsia="fr-CA"/>
        </w:rPr>
        <w:t>gociation, l</w:t>
      </w:r>
      <w:r w:rsidR="00003783">
        <w:rPr>
          <w:rFonts w:eastAsia="Times New Roman"/>
          <w:lang w:val="fr-CA" w:eastAsia="fr-CA"/>
        </w:rPr>
        <w:t>’</w:t>
      </w:r>
      <w:r w:rsidR="00DC496E" w:rsidRPr="00FA48F1">
        <w:rPr>
          <w:rFonts w:eastAsia="Times New Roman"/>
          <w:lang w:val="fr-CA" w:eastAsia="fr-CA"/>
        </w:rPr>
        <w:t>article 12 </w:t>
      </w:r>
      <w:r w:rsidR="00F84142" w:rsidRPr="00FA48F1">
        <w:rPr>
          <w:rFonts w:eastAsia="Times New Roman"/>
          <w:lang w:val="fr-CA" w:eastAsia="fr-CA"/>
        </w:rPr>
        <w:t>(</w:t>
      </w:r>
      <w:r w:rsidRPr="00FA48F1">
        <w:rPr>
          <w:rFonts w:eastAsia="Times New Roman"/>
          <w:lang w:val="fr-CA" w:eastAsia="fr-CA"/>
        </w:rPr>
        <w:t>1), tel que re</w:t>
      </w:r>
      <w:r w:rsidR="00DC496E" w:rsidRPr="00FA48F1">
        <w:rPr>
          <w:rFonts w:eastAsia="Times New Roman"/>
          <w:lang w:val="fr-CA" w:eastAsia="fr-CA"/>
        </w:rPr>
        <w:t>flété dans l</w:t>
      </w:r>
      <w:r w:rsidR="00003783">
        <w:rPr>
          <w:rFonts w:eastAsia="Times New Roman"/>
          <w:lang w:val="fr-CA" w:eastAsia="fr-CA"/>
        </w:rPr>
        <w:t>’</w:t>
      </w:r>
      <w:r w:rsidR="00E95938" w:rsidRPr="00FA48F1">
        <w:rPr>
          <w:rFonts w:eastAsia="Times New Roman"/>
          <w:lang w:val="fr-CA" w:eastAsia="fr-CA"/>
        </w:rPr>
        <w:t>appendice</w:t>
      </w:r>
      <w:r w:rsidR="00DC496E" w:rsidRPr="00FA48F1">
        <w:rPr>
          <w:rFonts w:eastAsia="Times New Roman"/>
          <w:lang w:val="fr-CA" w:eastAsia="fr-CA"/>
        </w:rPr>
        <w:t xml:space="preserve"> </w:t>
      </w:r>
      <w:r w:rsidR="00E95938" w:rsidRPr="00FA48F1">
        <w:rPr>
          <w:rFonts w:eastAsia="Times New Roman"/>
          <w:lang w:val="fr-CA" w:eastAsia="fr-CA"/>
        </w:rPr>
        <w:t>d</w:t>
      </w:r>
      <w:r w:rsidR="00DC496E" w:rsidRPr="00FA48F1">
        <w:rPr>
          <w:rFonts w:eastAsia="Times New Roman"/>
          <w:lang w:val="fr-CA" w:eastAsia="fr-CA"/>
        </w:rPr>
        <w:t>u document </w:t>
      </w:r>
      <w:r w:rsidRPr="00FA48F1">
        <w:rPr>
          <w:rFonts w:eastAsia="Times New Roman"/>
          <w:lang w:val="fr-CA" w:eastAsia="fr-CA"/>
        </w:rPr>
        <w:t xml:space="preserve">A77/10, </w:t>
      </w:r>
      <w:r w:rsidR="00DC496E" w:rsidRPr="00FA48F1">
        <w:rPr>
          <w:rFonts w:eastAsia="Times New Roman"/>
          <w:lang w:val="fr-CA" w:eastAsia="fr-CA"/>
        </w:rPr>
        <w:t>prévoit</w:t>
      </w:r>
      <w:r w:rsidRPr="00FA48F1">
        <w:rPr>
          <w:rFonts w:eastAsia="Times New Roman"/>
          <w:lang w:val="fr-CA" w:eastAsia="fr-CA"/>
        </w:rPr>
        <w:t xml:space="preserve"> que les parties à l</w:t>
      </w:r>
      <w:r w:rsidR="00003783">
        <w:rPr>
          <w:rFonts w:eastAsia="Times New Roman"/>
          <w:lang w:val="fr-CA" w:eastAsia="fr-CA"/>
        </w:rPr>
        <w:t>’</w:t>
      </w:r>
      <w:r w:rsidRPr="00FA48F1">
        <w:rPr>
          <w:rFonts w:eastAsia="Times New Roman"/>
          <w:lang w:val="fr-CA" w:eastAsia="fr-CA"/>
        </w:rPr>
        <w:t>Accord sur les pandémies de l</w:t>
      </w:r>
      <w:r w:rsidR="00003783">
        <w:rPr>
          <w:rFonts w:eastAsia="Times New Roman"/>
          <w:lang w:val="fr-CA" w:eastAsia="fr-CA"/>
        </w:rPr>
        <w:t>’</w:t>
      </w:r>
      <w:r w:rsidRPr="00FA48F1">
        <w:rPr>
          <w:rFonts w:eastAsia="Times New Roman"/>
          <w:lang w:val="fr-CA" w:eastAsia="fr-CA"/>
        </w:rPr>
        <w:t>OMS établiront un système multilatéral d</w:t>
      </w:r>
      <w:r w:rsidR="00003783">
        <w:rPr>
          <w:rFonts w:eastAsia="Times New Roman"/>
          <w:lang w:val="fr-CA" w:eastAsia="fr-CA"/>
        </w:rPr>
        <w:t>’</w:t>
      </w:r>
      <w:r w:rsidRPr="00FA48F1">
        <w:rPr>
          <w:rFonts w:eastAsia="Times New Roman"/>
          <w:lang w:val="fr-CA" w:eastAsia="fr-CA"/>
        </w:rPr>
        <w:t>accès et de partage des avantages pour les agents pathogènes ayant un potentiel pandémique, appelé système OMS d</w:t>
      </w:r>
      <w:r w:rsidR="00003783">
        <w:rPr>
          <w:rFonts w:eastAsia="Times New Roman"/>
          <w:lang w:val="fr-CA" w:eastAsia="fr-CA"/>
        </w:rPr>
        <w:t>’</w:t>
      </w:r>
      <w:r w:rsidRPr="00FA48F1">
        <w:rPr>
          <w:rFonts w:eastAsia="Times New Roman"/>
          <w:lang w:val="fr-CA" w:eastAsia="fr-CA"/>
        </w:rPr>
        <w:t xml:space="preserve">accès aux agents pathogènes et de partage des avantages. Le texte prévoit que les dispositions régissant ce système seront </w:t>
      </w:r>
      <w:r w:rsidR="008B61C1" w:rsidRPr="00FA48F1">
        <w:rPr>
          <w:rFonts w:eastAsia="Times New Roman"/>
          <w:lang w:val="fr-CA" w:eastAsia="fr-CA"/>
        </w:rPr>
        <w:t>élaborées</w:t>
      </w:r>
      <w:r w:rsidRPr="00FA48F1">
        <w:rPr>
          <w:rFonts w:eastAsia="Times New Roman"/>
          <w:lang w:val="fr-CA" w:eastAsia="fr-CA"/>
        </w:rPr>
        <w:t xml:space="preserve"> et approuvées par le biais d</w:t>
      </w:r>
      <w:r w:rsidR="00003783">
        <w:rPr>
          <w:rFonts w:eastAsia="Times New Roman"/>
          <w:lang w:val="fr-CA" w:eastAsia="fr-CA"/>
        </w:rPr>
        <w:t>’</w:t>
      </w:r>
      <w:r w:rsidRPr="00FA48F1">
        <w:rPr>
          <w:rFonts w:eastAsia="Times New Roman"/>
          <w:lang w:val="fr-CA" w:eastAsia="fr-CA"/>
        </w:rPr>
        <w:t>un instrument complémentaire, énumère les éléments devant être trai</w:t>
      </w:r>
      <w:r w:rsidR="00E95938" w:rsidRPr="00FA48F1">
        <w:rPr>
          <w:rFonts w:eastAsia="Times New Roman"/>
          <w:lang w:val="fr-CA" w:eastAsia="fr-CA"/>
        </w:rPr>
        <w:t>tés dans le système (article 12 </w:t>
      </w:r>
      <w:r w:rsidRPr="00FA48F1">
        <w:rPr>
          <w:rFonts w:eastAsia="Times New Roman"/>
          <w:lang w:val="fr-CA" w:eastAsia="fr-CA"/>
        </w:rPr>
        <w:t>(3)) et définit certaines dispositions minimales sur l</w:t>
      </w:r>
      <w:r w:rsidR="00003783">
        <w:rPr>
          <w:rFonts w:eastAsia="Times New Roman"/>
          <w:lang w:val="fr-CA" w:eastAsia="fr-CA"/>
        </w:rPr>
        <w:t>’</w:t>
      </w:r>
      <w:r w:rsidRPr="00FA48F1">
        <w:rPr>
          <w:rFonts w:eastAsia="Times New Roman"/>
          <w:lang w:val="fr-CA" w:eastAsia="fr-CA"/>
        </w:rPr>
        <w:t xml:space="preserve">accès et le partage des avantages qui feront </w:t>
      </w:r>
      <w:r w:rsidR="00E95938" w:rsidRPr="00FA48F1">
        <w:rPr>
          <w:rFonts w:eastAsia="Times New Roman"/>
          <w:lang w:val="fr-CA" w:eastAsia="fr-CA"/>
        </w:rPr>
        <w:t>partie de l</w:t>
      </w:r>
      <w:r w:rsidR="00003783">
        <w:rPr>
          <w:rFonts w:eastAsia="Times New Roman"/>
          <w:lang w:val="fr-CA" w:eastAsia="fr-CA"/>
        </w:rPr>
        <w:t>’</w:t>
      </w:r>
      <w:r w:rsidR="00E95938" w:rsidRPr="00FA48F1">
        <w:rPr>
          <w:rFonts w:eastAsia="Times New Roman"/>
          <w:lang w:val="fr-CA" w:eastAsia="fr-CA"/>
        </w:rPr>
        <w:t>instrument (article 12 </w:t>
      </w:r>
      <w:r w:rsidR="00F84142" w:rsidRPr="00FA48F1">
        <w:rPr>
          <w:rFonts w:eastAsia="Times New Roman"/>
          <w:lang w:val="fr-CA" w:eastAsia="fr-CA"/>
        </w:rPr>
        <w:t>(</w:t>
      </w:r>
      <w:r w:rsidRPr="00FA48F1">
        <w:rPr>
          <w:rFonts w:eastAsia="Times New Roman"/>
          <w:lang w:val="fr-CA" w:eastAsia="fr-CA"/>
        </w:rPr>
        <w:t>4))</w:t>
      </w:r>
      <w:r w:rsidR="008B61C1" w:rsidRPr="00FA48F1">
        <w:rPr>
          <w:rFonts w:eastAsia="Times New Roman"/>
          <w:lang w:val="fr-CA" w:eastAsia="fr-CA"/>
        </w:rPr>
        <w:t>.</w:t>
      </w:r>
    </w:p>
    <w:p w:rsidR="00352191" w:rsidRPr="00FA48F1" w:rsidRDefault="008666BD" w:rsidP="00CF7694">
      <w:pPr>
        <w:pStyle w:val="CBDNormalNumber"/>
        <w:rPr>
          <w:lang w:val="fr-CA"/>
        </w:rPr>
      </w:pPr>
      <w:r w:rsidRPr="00FA48F1">
        <w:rPr>
          <w:rFonts w:eastAsia="Times New Roman"/>
          <w:lang w:val="fr-CA" w:eastAsia="fr-CA"/>
        </w:rPr>
        <w:t>L</w:t>
      </w:r>
      <w:r w:rsidR="00003783">
        <w:rPr>
          <w:rFonts w:eastAsia="Times New Roman"/>
          <w:lang w:val="fr-CA" w:eastAsia="fr-CA"/>
        </w:rPr>
        <w:t>’</w:t>
      </w:r>
      <w:r w:rsidRPr="00FA48F1">
        <w:rPr>
          <w:rFonts w:eastAsia="Times New Roman"/>
          <w:lang w:val="fr-CA" w:eastAsia="fr-CA"/>
        </w:rPr>
        <w:t>article 12 indique que le système OMS d</w:t>
      </w:r>
      <w:r w:rsidR="00003783">
        <w:rPr>
          <w:rFonts w:eastAsia="Times New Roman"/>
          <w:lang w:val="fr-CA" w:eastAsia="fr-CA"/>
        </w:rPr>
        <w:t>’</w:t>
      </w:r>
      <w:r w:rsidRPr="00FA48F1">
        <w:rPr>
          <w:rFonts w:eastAsia="Times New Roman"/>
          <w:lang w:val="fr-CA" w:eastAsia="fr-CA"/>
        </w:rPr>
        <w:t>accès aux agents pathogènes et de partage des avantages devrait être élaboré dans l</w:t>
      </w:r>
      <w:r w:rsidR="00003783">
        <w:rPr>
          <w:rFonts w:eastAsia="Times New Roman"/>
          <w:lang w:val="fr-CA" w:eastAsia="fr-CA"/>
        </w:rPr>
        <w:t>’</w:t>
      </w:r>
      <w:r w:rsidRPr="00FA48F1">
        <w:rPr>
          <w:rFonts w:eastAsia="Times New Roman"/>
          <w:lang w:val="fr-CA" w:eastAsia="fr-CA"/>
        </w:rPr>
        <w:t>optique d</w:t>
      </w:r>
      <w:r w:rsidR="00003783">
        <w:rPr>
          <w:rFonts w:eastAsia="Times New Roman"/>
          <w:lang w:val="fr-CA" w:eastAsia="fr-CA"/>
        </w:rPr>
        <w:t>’</w:t>
      </w:r>
      <w:r w:rsidRPr="00FA48F1">
        <w:rPr>
          <w:rFonts w:eastAsia="Times New Roman"/>
          <w:lang w:val="fr-CA" w:eastAsia="fr-CA"/>
        </w:rPr>
        <w:t>être reconnu ou considéré comme un instrument international spécialisé d</w:t>
      </w:r>
      <w:r w:rsidR="00003783">
        <w:rPr>
          <w:rFonts w:eastAsia="Times New Roman"/>
          <w:lang w:val="fr-CA" w:eastAsia="fr-CA"/>
        </w:rPr>
        <w:t>’</w:t>
      </w:r>
      <w:r w:rsidRPr="00FA48F1">
        <w:rPr>
          <w:rFonts w:eastAsia="Times New Roman"/>
          <w:lang w:val="fr-CA" w:eastAsia="fr-CA"/>
        </w:rPr>
        <w:t>accès et de partage des avantages au sens de l</w:t>
      </w:r>
      <w:r w:rsidR="00003783">
        <w:rPr>
          <w:rFonts w:eastAsia="Times New Roman"/>
          <w:lang w:val="fr-CA" w:eastAsia="fr-CA"/>
        </w:rPr>
        <w:t>’</w:t>
      </w:r>
      <w:r w:rsidRPr="00FA48F1">
        <w:rPr>
          <w:rFonts w:eastAsia="Times New Roman"/>
          <w:lang w:val="fr-CA" w:eastAsia="fr-CA"/>
        </w:rPr>
        <w:t>article 4 (4) du Protocole de Nagoya.</w:t>
      </w:r>
    </w:p>
    <w:p w:rsidR="00A06A1A" w:rsidRPr="00FA48F1" w:rsidRDefault="0025090B" w:rsidP="0025090B">
      <w:pPr>
        <w:pStyle w:val="CBDH3"/>
        <w:rPr>
          <w:lang w:val="fr-CA"/>
        </w:rPr>
      </w:pPr>
      <w:r w:rsidRPr="00FA48F1">
        <w:rPr>
          <w:lang w:val="fr-CA"/>
        </w:rPr>
        <w:t>2.</w:t>
      </w:r>
      <w:r w:rsidRPr="00FA48F1">
        <w:rPr>
          <w:lang w:val="fr-CA"/>
        </w:rPr>
        <w:tab/>
      </w:r>
      <w:r w:rsidR="00F84142" w:rsidRPr="00FA48F1">
        <w:rPr>
          <w:rFonts w:eastAsia="Times New Roman"/>
          <w:bCs/>
          <w:lang w:val="fr-CA" w:eastAsia="fr-CA"/>
        </w:rPr>
        <w:t>Groupe de travail sur les amendements au Règlement sanitaire international (2005)</w:t>
      </w:r>
    </w:p>
    <w:p w:rsidR="00260D2F" w:rsidRPr="00FA48F1" w:rsidRDefault="00D65847" w:rsidP="00CF7694">
      <w:pPr>
        <w:pStyle w:val="CBDNormalNumber"/>
        <w:rPr>
          <w:lang w:val="fr-CA"/>
        </w:rPr>
      </w:pPr>
      <w:r w:rsidRPr="00FA48F1">
        <w:rPr>
          <w:rFonts w:eastAsia="Times New Roman"/>
          <w:lang w:val="fr-CA" w:eastAsia="fr-CA"/>
        </w:rPr>
        <w:t>Le Groupe de travail sur les amendements au Règlement sanitaire international (2005) s</w:t>
      </w:r>
      <w:r w:rsidR="00003783">
        <w:rPr>
          <w:rFonts w:eastAsia="Times New Roman"/>
          <w:lang w:val="fr-CA" w:eastAsia="fr-CA"/>
        </w:rPr>
        <w:t>’</w:t>
      </w:r>
      <w:r w:rsidRPr="00FA48F1">
        <w:rPr>
          <w:rFonts w:eastAsia="Times New Roman"/>
          <w:lang w:val="fr-CA" w:eastAsia="fr-CA"/>
        </w:rPr>
        <w:t>est réuni huit fois entre novembre 2022 et avril/mai 2024. Une compilation des amendements proposés au Règlement sanitaire international (2005) a été publiée au quatrième trimestre de 2022. Parmi les soumissions figuraient des propositions visant à inclure un texte concernant l</w:t>
      </w:r>
      <w:r w:rsidR="00003783">
        <w:rPr>
          <w:rFonts w:eastAsia="Times New Roman"/>
          <w:lang w:val="fr-CA" w:eastAsia="fr-CA"/>
        </w:rPr>
        <w:t>’</w:t>
      </w:r>
      <w:r w:rsidRPr="00FA48F1">
        <w:rPr>
          <w:rFonts w:eastAsia="Times New Roman"/>
          <w:lang w:val="fr-CA" w:eastAsia="fr-CA"/>
        </w:rPr>
        <w:t xml:space="preserve">accès </w:t>
      </w:r>
      <w:r w:rsidR="004358B6">
        <w:rPr>
          <w:rFonts w:eastAsia="Times New Roman"/>
          <w:lang w:val="fr-CA" w:eastAsia="fr-CA"/>
        </w:rPr>
        <w:t>et le partage des avantages et d</w:t>
      </w:r>
      <w:r w:rsidRPr="00FA48F1">
        <w:rPr>
          <w:rFonts w:eastAsia="Times New Roman"/>
          <w:lang w:val="fr-CA" w:eastAsia="fr-CA"/>
        </w:rPr>
        <w:t>es données sur les séquences génétiques.</w:t>
      </w:r>
    </w:p>
    <w:p w:rsidR="00EF03B3" w:rsidRPr="00FA48F1" w:rsidRDefault="00D65847" w:rsidP="00CF7694">
      <w:pPr>
        <w:pStyle w:val="CBDNormalNumber"/>
        <w:rPr>
          <w:noProof/>
          <w:lang w:val="fr-CA"/>
        </w:rPr>
      </w:pPr>
      <w:r w:rsidRPr="00FA48F1">
        <w:rPr>
          <w:rFonts w:eastAsia="Times New Roman"/>
          <w:lang w:val="fr-CA" w:eastAsia="fr-CA"/>
        </w:rPr>
        <w:t xml:space="preserve">Bien </w:t>
      </w:r>
      <w:r w:rsidRPr="00FA48F1">
        <w:rPr>
          <w:rFonts w:eastAsia="Times New Roman"/>
          <w:noProof/>
          <w:lang w:val="fr-CA" w:eastAsia="fr-CA"/>
        </w:rPr>
        <w:t>que le Groupe de travail n</w:t>
      </w:r>
      <w:r w:rsidR="00003783">
        <w:rPr>
          <w:rFonts w:eastAsia="Times New Roman"/>
          <w:noProof/>
          <w:lang w:val="fr-CA" w:eastAsia="fr-CA"/>
        </w:rPr>
        <w:t>’</w:t>
      </w:r>
      <w:r w:rsidRPr="00FA48F1">
        <w:rPr>
          <w:rFonts w:eastAsia="Times New Roman"/>
          <w:noProof/>
          <w:lang w:val="fr-CA" w:eastAsia="fr-CA"/>
        </w:rPr>
        <w:t>ait pas atteint de consensus sur un ensemble d</w:t>
      </w:r>
      <w:r w:rsidR="00003783">
        <w:rPr>
          <w:rFonts w:eastAsia="Times New Roman"/>
          <w:noProof/>
          <w:lang w:val="fr-CA" w:eastAsia="fr-CA"/>
        </w:rPr>
        <w:t>’</w:t>
      </w:r>
      <w:r w:rsidRPr="00FA48F1">
        <w:rPr>
          <w:rFonts w:eastAsia="Times New Roman"/>
          <w:noProof/>
          <w:lang w:val="fr-CA" w:eastAsia="fr-CA"/>
        </w:rPr>
        <w:t>amendements ciblés au Règlement sanitaire international (2005), un « texte proposé par le bureau » a été soumis à la soixante</w:t>
      </w:r>
      <w:r w:rsidR="00003783">
        <w:rPr>
          <w:rFonts w:eastAsia="Times New Roman"/>
          <w:noProof/>
          <w:lang w:val="fr-CA" w:eastAsia="fr-CA"/>
        </w:rPr>
        <w:noBreakHyphen/>
      </w:r>
      <w:r w:rsidRPr="00FA48F1">
        <w:rPr>
          <w:rFonts w:eastAsia="Times New Roman"/>
          <w:noProof/>
          <w:lang w:val="fr-CA" w:eastAsia="fr-CA"/>
        </w:rPr>
        <w:t>dix</w:t>
      </w:r>
      <w:r w:rsidR="00003783">
        <w:rPr>
          <w:rFonts w:eastAsia="Times New Roman"/>
          <w:noProof/>
          <w:lang w:val="fr-CA" w:eastAsia="fr-CA"/>
        </w:rPr>
        <w:noBreakHyphen/>
      </w:r>
      <w:r w:rsidRPr="00FA48F1">
        <w:rPr>
          <w:rFonts w:eastAsia="Times New Roman"/>
          <w:noProof/>
          <w:lang w:val="fr-CA" w:eastAsia="fr-CA"/>
        </w:rPr>
        <w:t>septième Assemblée mondiale de la santé aux fins d</w:t>
      </w:r>
      <w:r w:rsidR="00003783">
        <w:rPr>
          <w:rFonts w:eastAsia="Times New Roman"/>
          <w:noProof/>
          <w:lang w:val="fr-CA" w:eastAsia="fr-CA"/>
        </w:rPr>
        <w:t>’</w:t>
      </w:r>
      <w:r w:rsidRPr="00FA48F1">
        <w:rPr>
          <w:rFonts w:eastAsia="Times New Roman"/>
          <w:noProof/>
          <w:lang w:val="fr-CA" w:eastAsia="fr-CA"/>
        </w:rPr>
        <w:t>examen.</w:t>
      </w:r>
    </w:p>
    <w:p w:rsidR="00747B09" w:rsidRPr="00FA48F1" w:rsidRDefault="00D65847" w:rsidP="00CF7694">
      <w:pPr>
        <w:pStyle w:val="CBDNormalNumber"/>
        <w:rPr>
          <w:lang w:val="fr-CA"/>
        </w:rPr>
      </w:pPr>
      <w:r w:rsidRPr="00FA48F1">
        <w:rPr>
          <w:rFonts w:eastAsia="Times New Roman"/>
          <w:noProof/>
          <w:lang w:val="fr-CA" w:eastAsia="fr-CA"/>
        </w:rPr>
        <w:t>La soixante</w:t>
      </w:r>
      <w:r w:rsidR="00003783">
        <w:rPr>
          <w:rFonts w:eastAsia="Times New Roman"/>
          <w:noProof/>
          <w:lang w:val="fr-CA" w:eastAsia="fr-CA"/>
        </w:rPr>
        <w:noBreakHyphen/>
      </w:r>
      <w:r w:rsidRPr="00FA48F1">
        <w:rPr>
          <w:rFonts w:eastAsia="Times New Roman"/>
          <w:noProof/>
          <w:lang w:val="fr-CA" w:eastAsia="fr-CA"/>
        </w:rPr>
        <w:t>dix</w:t>
      </w:r>
      <w:r w:rsidR="00003783">
        <w:rPr>
          <w:rFonts w:eastAsia="Times New Roman"/>
          <w:noProof/>
          <w:lang w:val="fr-CA" w:eastAsia="fr-CA"/>
        </w:rPr>
        <w:noBreakHyphen/>
      </w:r>
      <w:r w:rsidRPr="00FA48F1">
        <w:rPr>
          <w:rFonts w:eastAsia="Times New Roman"/>
          <w:noProof/>
          <w:lang w:val="fr-CA" w:eastAsia="fr-CA"/>
        </w:rPr>
        <w:t>septième Assemblée mondiale de la santé a adopté des amendements au Règlement sanitaire international (2005), tels que contenus dans l</w:t>
      </w:r>
      <w:r w:rsidR="00003783">
        <w:rPr>
          <w:rFonts w:eastAsia="Times New Roman"/>
          <w:noProof/>
          <w:lang w:val="fr-CA" w:eastAsia="fr-CA"/>
        </w:rPr>
        <w:t>’</w:t>
      </w:r>
      <w:r w:rsidRPr="00FA48F1">
        <w:rPr>
          <w:rFonts w:eastAsia="Times New Roman"/>
          <w:noProof/>
          <w:lang w:val="fr-CA" w:eastAsia="fr-CA"/>
        </w:rPr>
        <w:t>annexe à la résolution WHA77.17. Si les amendements finaux ne contiennent pas de dispositions spécifiques sur les données de séquence</w:t>
      </w:r>
      <w:r w:rsidRPr="00FA48F1">
        <w:rPr>
          <w:rFonts w:eastAsia="Times New Roman"/>
          <w:lang w:val="fr-CA" w:eastAsia="fr-CA"/>
        </w:rPr>
        <w:t xml:space="preserve"> génétique, ils abordent toutefois la question de l</w:t>
      </w:r>
      <w:r w:rsidR="00003783">
        <w:rPr>
          <w:rFonts w:eastAsia="Times New Roman"/>
          <w:lang w:val="fr-CA" w:eastAsia="fr-CA"/>
        </w:rPr>
        <w:t>’</w:t>
      </w:r>
      <w:r w:rsidRPr="00FA48F1">
        <w:rPr>
          <w:rFonts w:eastAsia="Times New Roman"/>
          <w:lang w:val="fr-CA" w:eastAsia="fr-CA"/>
        </w:rPr>
        <w:t>équité</w:t>
      </w:r>
      <w:r w:rsidR="00B5561A" w:rsidRPr="00FA48F1">
        <w:rPr>
          <w:rFonts w:eastAsia="Times New Roman"/>
          <w:lang w:val="fr-CA" w:eastAsia="fr-CA"/>
        </w:rPr>
        <w:t>;</w:t>
      </w:r>
      <w:r w:rsidRPr="00FA48F1">
        <w:rPr>
          <w:rFonts w:eastAsia="Times New Roman"/>
          <w:lang w:val="fr-CA" w:eastAsia="fr-CA"/>
        </w:rPr>
        <w:t xml:space="preserve"> par exemple, l</w:t>
      </w:r>
      <w:r w:rsidR="00003783">
        <w:rPr>
          <w:rFonts w:eastAsia="Times New Roman"/>
          <w:lang w:val="fr-CA" w:eastAsia="fr-CA"/>
        </w:rPr>
        <w:t>’</w:t>
      </w:r>
      <w:r w:rsidRPr="00FA48F1">
        <w:rPr>
          <w:rFonts w:eastAsia="Times New Roman"/>
          <w:lang w:val="fr-CA" w:eastAsia="fr-CA"/>
        </w:rPr>
        <w:t xml:space="preserve">article 13 a été modifié de manière à ne plus </w:t>
      </w:r>
      <w:r w:rsidR="00B5561A" w:rsidRPr="00FA48F1">
        <w:rPr>
          <w:rFonts w:eastAsia="Times New Roman"/>
          <w:lang w:val="fr-CA" w:eastAsia="fr-CA"/>
        </w:rPr>
        <w:t>se limiter à</w:t>
      </w:r>
      <w:r w:rsidRPr="00FA48F1">
        <w:rPr>
          <w:rFonts w:eastAsia="Times New Roman"/>
          <w:lang w:val="fr-CA" w:eastAsia="fr-CA"/>
        </w:rPr>
        <w:t xml:space="preserve"> la réponse de santé publique, mais plutôt à aborder la réponse de santé publique de concert </w:t>
      </w:r>
      <w:r w:rsidR="00B5561A" w:rsidRPr="00FA48F1">
        <w:rPr>
          <w:rFonts w:eastAsia="Times New Roman"/>
          <w:lang w:val="fr-CA" w:eastAsia="fr-CA"/>
        </w:rPr>
        <w:t>avec</w:t>
      </w:r>
      <w:r w:rsidRPr="00FA48F1">
        <w:rPr>
          <w:rFonts w:eastAsia="Times New Roman"/>
          <w:lang w:val="fr-CA" w:eastAsia="fr-CA"/>
        </w:rPr>
        <w:t xml:space="preserve"> l</w:t>
      </w:r>
      <w:r w:rsidR="00003783">
        <w:rPr>
          <w:rFonts w:eastAsia="Times New Roman"/>
          <w:lang w:val="fr-CA" w:eastAsia="fr-CA"/>
        </w:rPr>
        <w:t>’</w:t>
      </w:r>
      <w:r w:rsidRPr="00FA48F1">
        <w:rPr>
          <w:rFonts w:eastAsia="Times New Roman"/>
          <w:lang w:val="fr-CA" w:eastAsia="fr-CA"/>
        </w:rPr>
        <w:t>accès équitable aux produits de santé pertinents.</w:t>
      </w:r>
    </w:p>
    <w:p w:rsidR="00152845" w:rsidRPr="00FA48F1" w:rsidRDefault="003D4BAA" w:rsidP="00CF7694">
      <w:pPr>
        <w:pStyle w:val="CBDNormalNumber"/>
        <w:rPr>
          <w:lang w:val="fr-CA"/>
        </w:rPr>
      </w:pPr>
      <w:r w:rsidRPr="00FA48F1">
        <w:rPr>
          <w:rFonts w:eastAsia="Times New Roman"/>
          <w:lang w:val="fr-CA" w:eastAsia="fr-CA"/>
        </w:rPr>
        <w:t>Les amendements entreront en vigueur pour tous les membres de l</w:t>
      </w:r>
      <w:r w:rsidR="00003783">
        <w:rPr>
          <w:rFonts w:eastAsia="Times New Roman"/>
          <w:lang w:val="fr-CA" w:eastAsia="fr-CA"/>
        </w:rPr>
        <w:t>’</w:t>
      </w:r>
      <w:r w:rsidRPr="00FA48F1">
        <w:rPr>
          <w:rFonts w:eastAsia="Times New Roman"/>
          <w:lang w:val="fr-CA" w:eastAsia="fr-CA"/>
        </w:rPr>
        <w:t>OMS 24 mois après notification de leur adoption par l</w:t>
      </w:r>
      <w:r w:rsidR="00003783">
        <w:rPr>
          <w:rFonts w:eastAsia="Times New Roman"/>
          <w:lang w:val="fr-CA" w:eastAsia="fr-CA"/>
        </w:rPr>
        <w:t>’</w:t>
      </w:r>
      <w:r w:rsidRPr="00FA48F1">
        <w:rPr>
          <w:rFonts w:eastAsia="Times New Roman"/>
          <w:lang w:val="fr-CA" w:eastAsia="fr-CA"/>
        </w:rPr>
        <w:t>Assemblée mondiale de la santé, sauf pour les membres qui notifieront au Directeur général leur rejet ou leurs réserves concernant les amendements dans les 18 mois suivant la date de notification.</w:t>
      </w:r>
    </w:p>
    <w:p w:rsidR="00765860" w:rsidRPr="00FA48F1" w:rsidRDefault="0002030C" w:rsidP="0025090B">
      <w:pPr>
        <w:pStyle w:val="CBDH2"/>
        <w:rPr>
          <w:lang w:val="fr-CA"/>
        </w:rPr>
      </w:pPr>
      <w:r w:rsidRPr="00FA48F1">
        <w:rPr>
          <w:lang w:val="fr-CA"/>
        </w:rPr>
        <w:lastRenderedPageBreak/>
        <w:t>G</w:t>
      </w:r>
      <w:r w:rsidR="00765860" w:rsidRPr="00FA48F1">
        <w:rPr>
          <w:lang w:val="fr-CA"/>
        </w:rPr>
        <w:t>.</w:t>
      </w:r>
      <w:r w:rsidR="00765860" w:rsidRPr="00FA48F1">
        <w:rPr>
          <w:lang w:val="fr-CA"/>
        </w:rPr>
        <w:tab/>
      </w:r>
      <w:r w:rsidR="0073032C" w:rsidRPr="00FA48F1">
        <w:rPr>
          <w:rFonts w:eastAsia="Times New Roman"/>
          <w:bCs/>
          <w:lang w:val="fr-CA" w:eastAsia="fr-CA"/>
        </w:rPr>
        <w:t>Organisation mondiale de la propriété intellectuelle</w:t>
      </w:r>
    </w:p>
    <w:p w:rsidR="00765860" w:rsidRPr="00FA48F1" w:rsidRDefault="004C7016" w:rsidP="00CF7694">
      <w:pPr>
        <w:pStyle w:val="CBDNormalNumber"/>
        <w:rPr>
          <w:noProof/>
          <w:lang w:val="fr-CA"/>
        </w:rPr>
      </w:pPr>
      <w:r w:rsidRPr="00FA48F1">
        <w:rPr>
          <w:rFonts w:eastAsia="Times New Roman"/>
          <w:lang w:val="fr-CA" w:eastAsia="fr-CA"/>
        </w:rPr>
        <w:t>Le Secrétariat de la Convention échange régulièrement des informations avec l</w:t>
      </w:r>
      <w:r w:rsidR="00003783">
        <w:rPr>
          <w:rFonts w:eastAsia="Times New Roman"/>
          <w:lang w:val="fr-CA" w:eastAsia="fr-CA"/>
        </w:rPr>
        <w:t>’</w:t>
      </w:r>
      <w:r w:rsidRPr="00FA48F1">
        <w:rPr>
          <w:rFonts w:eastAsia="Times New Roman"/>
          <w:lang w:val="fr-CA" w:eastAsia="fr-CA"/>
        </w:rPr>
        <w:t xml:space="preserve">Organisation mondiale de la propriété intellectuelle (OMPI). Dans le cadre du Protocole de Nagoya, le Secrétariat suit </w:t>
      </w:r>
      <w:r w:rsidRPr="00FA48F1">
        <w:rPr>
          <w:rFonts w:eastAsia="Times New Roman"/>
          <w:noProof/>
          <w:lang w:val="fr-CA" w:eastAsia="fr-CA"/>
        </w:rPr>
        <w:t>le processus en cours du Comité intergouvernemental de la propriété intellectuelle relative aux ressources génétiques, aux savoirs traditionnels et au folklore de l</w:t>
      </w:r>
      <w:r w:rsidR="00003783">
        <w:rPr>
          <w:rFonts w:eastAsia="Times New Roman"/>
          <w:noProof/>
          <w:lang w:val="fr-CA" w:eastAsia="fr-CA"/>
        </w:rPr>
        <w:t>’</w:t>
      </w:r>
      <w:r w:rsidRPr="00FA48F1">
        <w:rPr>
          <w:rFonts w:eastAsia="Times New Roman"/>
          <w:noProof/>
          <w:lang w:val="fr-CA" w:eastAsia="fr-CA"/>
        </w:rPr>
        <w:t>OMPI.</w:t>
      </w:r>
    </w:p>
    <w:p w:rsidR="000407F5" w:rsidRPr="00FA48F1" w:rsidRDefault="00721A8B" w:rsidP="00CF7694">
      <w:pPr>
        <w:pStyle w:val="CBDNormalNumber"/>
        <w:rPr>
          <w:lang w:val="fr-CA"/>
        </w:rPr>
      </w:pPr>
      <w:r w:rsidRPr="00FA48F1">
        <w:rPr>
          <w:rFonts w:eastAsia="Times New Roman"/>
          <w:noProof/>
          <w:lang w:val="fr-CA" w:eastAsia="fr-CA"/>
        </w:rPr>
        <w:t>La quarante</w:t>
      </w:r>
      <w:r w:rsidR="00003783">
        <w:rPr>
          <w:rFonts w:eastAsia="Times New Roman"/>
          <w:noProof/>
          <w:lang w:val="fr-CA" w:eastAsia="fr-CA"/>
        </w:rPr>
        <w:noBreakHyphen/>
      </w:r>
      <w:r w:rsidRPr="00FA48F1">
        <w:rPr>
          <w:rFonts w:eastAsia="Times New Roman"/>
          <w:noProof/>
          <w:lang w:val="fr-CA" w:eastAsia="fr-CA"/>
        </w:rPr>
        <w:t>septième session du Comité intergouvernemental s</w:t>
      </w:r>
      <w:r w:rsidR="00003783">
        <w:rPr>
          <w:rFonts w:eastAsia="Times New Roman"/>
          <w:noProof/>
          <w:lang w:val="fr-CA" w:eastAsia="fr-CA"/>
        </w:rPr>
        <w:t>’</w:t>
      </w:r>
      <w:r w:rsidRPr="00FA48F1">
        <w:rPr>
          <w:rFonts w:eastAsia="Times New Roman"/>
          <w:noProof/>
          <w:lang w:val="fr-CA" w:eastAsia="fr-CA"/>
        </w:rPr>
        <w:t>est tenue en juin 2023. La quarante</w:t>
      </w:r>
      <w:r w:rsidR="00003783">
        <w:rPr>
          <w:rFonts w:eastAsia="Times New Roman"/>
          <w:noProof/>
          <w:lang w:val="fr-CA" w:eastAsia="fr-CA"/>
        </w:rPr>
        <w:noBreakHyphen/>
      </w:r>
      <w:r w:rsidRPr="00FA48F1">
        <w:rPr>
          <w:rFonts w:eastAsia="Times New Roman"/>
          <w:noProof/>
          <w:lang w:val="fr-CA" w:eastAsia="fr-CA"/>
        </w:rPr>
        <w:t>huitième session du Comité intergouvernemental s</w:t>
      </w:r>
      <w:r w:rsidR="00003783">
        <w:rPr>
          <w:rFonts w:eastAsia="Times New Roman"/>
          <w:noProof/>
          <w:lang w:val="fr-CA" w:eastAsia="fr-CA"/>
        </w:rPr>
        <w:t>’</w:t>
      </w:r>
      <w:r w:rsidRPr="00FA48F1">
        <w:rPr>
          <w:rFonts w:eastAsia="Times New Roman"/>
          <w:noProof/>
          <w:lang w:val="fr-CA" w:eastAsia="fr-CA"/>
        </w:rPr>
        <w:t>est tenue en novembre 2023, la quarante</w:t>
      </w:r>
      <w:r w:rsidR="00003783">
        <w:rPr>
          <w:rFonts w:eastAsia="Times New Roman"/>
          <w:noProof/>
          <w:lang w:val="fr-CA" w:eastAsia="fr-CA"/>
        </w:rPr>
        <w:noBreakHyphen/>
      </w:r>
      <w:r w:rsidRPr="00FA48F1">
        <w:rPr>
          <w:rFonts w:eastAsia="Times New Roman"/>
          <w:noProof/>
          <w:lang w:val="fr-CA" w:eastAsia="fr-CA"/>
        </w:rPr>
        <w:t>neuvième session en décembre 2023, et une session extraordinaire en septembre 2023. La session extraordinaire a abouti à un texte révisé pour un nouveau traité, qui a été examiné lors de la Conférence diplomatique</w:t>
      </w:r>
      <w:r w:rsidRPr="00FA48F1">
        <w:rPr>
          <w:rFonts w:eastAsia="Times New Roman"/>
          <w:lang w:val="fr-CA" w:eastAsia="fr-CA"/>
        </w:rPr>
        <w:t xml:space="preserve"> en mai 2024 pour conclure un instrument juridique international relatif à la propriété intellectuelle, aux ressources génétiques et aux savoirs traditionnels associés aux ressources génétiques. Le 24 mai 2024, la Conférence diplomatique a adopté le Traité de l</w:t>
      </w:r>
      <w:r w:rsidR="00003783">
        <w:rPr>
          <w:rFonts w:eastAsia="Times New Roman"/>
          <w:lang w:val="fr-CA" w:eastAsia="fr-CA"/>
        </w:rPr>
        <w:t>’</w:t>
      </w:r>
      <w:r w:rsidRPr="00FA48F1">
        <w:rPr>
          <w:rFonts w:eastAsia="Times New Roman"/>
          <w:lang w:val="fr-CA" w:eastAsia="fr-CA"/>
        </w:rPr>
        <w:t>Organisation mondiale de la propriété intellectuelle sur la propriété intellectuelle, les ressources génétiques et les savoirs traditionnels associés.</w:t>
      </w:r>
      <w:r w:rsidRPr="00FA48F1">
        <w:rPr>
          <w:rStyle w:val="FootnoteReference"/>
          <w:lang w:val="fr-CA"/>
        </w:rPr>
        <w:footnoteReference w:id="10"/>
      </w:r>
    </w:p>
    <w:p w:rsidR="004654A2" w:rsidRPr="00FA48F1" w:rsidRDefault="00A02225" w:rsidP="00CF7694">
      <w:pPr>
        <w:pStyle w:val="CBDNormalNumber"/>
        <w:rPr>
          <w:lang w:val="fr-CA"/>
        </w:rPr>
      </w:pPr>
      <w:r w:rsidRPr="00FA48F1">
        <w:rPr>
          <w:rFonts w:eastAsia="Times New Roman"/>
          <w:lang w:val="fr-CA" w:eastAsia="fr-CA"/>
        </w:rPr>
        <w:t>La principale disposition du Traité est contenue dans l</w:t>
      </w:r>
      <w:r w:rsidR="00003783">
        <w:rPr>
          <w:rFonts w:eastAsia="Times New Roman"/>
          <w:lang w:val="fr-CA" w:eastAsia="fr-CA"/>
        </w:rPr>
        <w:t>’</w:t>
      </w:r>
      <w:r w:rsidRPr="00FA48F1">
        <w:rPr>
          <w:rFonts w:eastAsia="Times New Roman"/>
          <w:lang w:val="fr-CA" w:eastAsia="fr-CA"/>
        </w:rPr>
        <w:t>article 3, relatif à l</w:t>
      </w:r>
      <w:r w:rsidR="00003783">
        <w:rPr>
          <w:rFonts w:eastAsia="Times New Roman"/>
          <w:lang w:val="fr-CA" w:eastAsia="fr-CA"/>
        </w:rPr>
        <w:t>’</w:t>
      </w:r>
      <w:r w:rsidRPr="00FA48F1">
        <w:rPr>
          <w:rFonts w:eastAsia="Times New Roman"/>
          <w:lang w:val="fr-CA" w:eastAsia="fr-CA"/>
        </w:rPr>
        <w:t>exigence de divulgation dans les demandes de brevet. Conformément à cet article, les Parties au Traité doivent exiger des demandeurs qu</w:t>
      </w:r>
      <w:r w:rsidR="00003783">
        <w:rPr>
          <w:rFonts w:eastAsia="Times New Roman"/>
          <w:lang w:val="fr-CA" w:eastAsia="fr-CA"/>
        </w:rPr>
        <w:t>’</w:t>
      </w:r>
      <w:r w:rsidRPr="00FA48F1">
        <w:rPr>
          <w:rFonts w:eastAsia="Times New Roman"/>
          <w:lang w:val="fr-CA" w:eastAsia="fr-CA"/>
        </w:rPr>
        <w:t>ils divulguent certaines informations lorsque l</w:t>
      </w:r>
      <w:r w:rsidR="00003783">
        <w:rPr>
          <w:rFonts w:eastAsia="Times New Roman"/>
          <w:lang w:val="fr-CA" w:eastAsia="fr-CA"/>
        </w:rPr>
        <w:t>’</w:t>
      </w:r>
      <w:r w:rsidRPr="00FA48F1">
        <w:rPr>
          <w:rFonts w:eastAsia="Times New Roman"/>
          <w:lang w:val="fr-CA" w:eastAsia="fr-CA"/>
        </w:rPr>
        <w:t>invention revendiquée dans une demande de brevet est basée sur des ressources génétiques ou sur des savoirs traditionnels associés aux ressources génétiques. Dans le cas des inventions basées sur des ressources génétiques, les informations à divulguer sont le pays d</w:t>
      </w:r>
      <w:r w:rsidR="00003783">
        <w:rPr>
          <w:rFonts w:eastAsia="Times New Roman"/>
          <w:lang w:val="fr-CA" w:eastAsia="fr-CA"/>
        </w:rPr>
        <w:t>’</w:t>
      </w:r>
      <w:r w:rsidRPr="00FA48F1">
        <w:rPr>
          <w:rFonts w:eastAsia="Times New Roman"/>
          <w:lang w:val="fr-CA" w:eastAsia="fr-CA"/>
        </w:rPr>
        <w:t xml:space="preserve">origine des ressources génétiques. Dans le cas des inventions basées sur des savoirs traditionnels associés aux ressources génétiques, les informations à divulguer sont les peuples autochtones ou la communauté locale qui ont fourni les savoirs traditionnels associés aux ressources génétiques. Dans les deux cas, lorsque ces informations ne sont pas connues, le demandeur doit divulguer la source des ressources génétiques ou la source des savoirs traditionnels associés aux </w:t>
      </w:r>
      <w:r w:rsidR="000E3C8F" w:rsidRPr="00FA48F1">
        <w:rPr>
          <w:rFonts w:eastAsia="Times New Roman"/>
          <w:lang w:val="fr-CA" w:eastAsia="fr-CA"/>
        </w:rPr>
        <w:t>ressources génétiques (articles 3.1 et </w:t>
      </w:r>
      <w:r w:rsidRPr="00FA48F1">
        <w:rPr>
          <w:rFonts w:eastAsia="Times New Roman"/>
          <w:lang w:val="fr-CA" w:eastAsia="fr-CA"/>
        </w:rPr>
        <w:t>3.2). Dans les cas où aucune de ces informations n</w:t>
      </w:r>
      <w:r w:rsidR="00003783">
        <w:rPr>
          <w:rFonts w:eastAsia="Times New Roman"/>
          <w:lang w:val="fr-CA" w:eastAsia="fr-CA"/>
        </w:rPr>
        <w:t>’</w:t>
      </w:r>
      <w:r w:rsidRPr="00FA48F1">
        <w:rPr>
          <w:rFonts w:eastAsia="Times New Roman"/>
          <w:lang w:val="fr-CA" w:eastAsia="fr-CA"/>
        </w:rPr>
        <w:t>est connue du demandeur, les Parties doivent exiger que le demandeur fasse une déclaration à cet effet, affirmant que le contenu de la déclaration est véridique et exact au meill</w:t>
      </w:r>
      <w:r w:rsidR="000E3C8F" w:rsidRPr="00FA48F1">
        <w:rPr>
          <w:rFonts w:eastAsia="Times New Roman"/>
          <w:lang w:val="fr-CA" w:eastAsia="fr-CA"/>
        </w:rPr>
        <w:t>eur de sa connaissance (article </w:t>
      </w:r>
      <w:r w:rsidRPr="00FA48F1">
        <w:rPr>
          <w:rFonts w:eastAsia="Times New Roman"/>
          <w:lang w:val="fr-CA" w:eastAsia="fr-CA"/>
        </w:rPr>
        <w:t>3.3)</w:t>
      </w:r>
      <w:r w:rsidR="000E3C8F" w:rsidRPr="00FA48F1">
        <w:rPr>
          <w:lang w:val="fr-CA"/>
        </w:rPr>
        <w:t>.</w:t>
      </w:r>
    </w:p>
    <w:p w:rsidR="00E7155A" w:rsidRPr="00FA48F1" w:rsidRDefault="004659C9" w:rsidP="00CF7694">
      <w:pPr>
        <w:pStyle w:val="CBDNormalNumber"/>
        <w:rPr>
          <w:lang w:val="fr-CA"/>
        </w:rPr>
      </w:pPr>
      <w:r w:rsidRPr="00FA48F1">
        <w:rPr>
          <w:rFonts w:eastAsia="Times New Roman"/>
          <w:lang w:val="fr-CA" w:eastAsia="fr-CA"/>
        </w:rPr>
        <w:t>À l</w:t>
      </w:r>
      <w:r w:rsidR="00003783">
        <w:rPr>
          <w:rFonts w:eastAsia="Times New Roman"/>
          <w:lang w:val="fr-CA" w:eastAsia="fr-CA"/>
        </w:rPr>
        <w:t>’</w:t>
      </w:r>
      <w:r w:rsidRPr="00FA48F1">
        <w:rPr>
          <w:rFonts w:eastAsia="Times New Roman"/>
          <w:lang w:val="fr-CA" w:eastAsia="fr-CA"/>
        </w:rPr>
        <w:t>article 2 du Traité, « fondé sur » est défini comme signifiant « que les ressources génétiques et/ou les savoirs traditionnels associés aux ressources génétiques doivent avoir été nécessaires à l</w:t>
      </w:r>
      <w:r w:rsidR="00003783">
        <w:rPr>
          <w:rFonts w:eastAsia="Times New Roman"/>
          <w:lang w:val="fr-CA" w:eastAsia="fr-CA"/>
        </w:rPr>
        <w:t>’</w:t>
      </w:r>
      <w:r w:rsidRPr="00FA48F1">
        <w:rPr>
          <w:rFonts w:eastAsia="Times New Roman"/>
          <w:lang w:val="fr-CA" w:eastAsia="fr-CA"/>
        </w:rPr>
        <w:t>invention revendiquée, et que l</w:t>
      </w:r>
      <w:r w:rsidR="00003783">
        <w:rPr>
          <w:rFonts w:eastAsia="Times New Roman"/>
          <w:lang w:val="fr-CA" w:eastAsia="fr-CA"/>
        </w:rPr>
        <w:t>’</w:t>
      </w:r>
      <w:r w:rsidRPr="00FA48F1">
        <w:rPr>
          <w:rFonts w:eastAsia="Times New Roman"/>
          <w:lang w:val="fr-CA" w:eastAsia="fr-CA"/>
        </w:rPr>
        <w:t>invention revendiquée doit dépendre des propriétés spécifiques des ressources génétiques et/ou des savoirs traditionnels associés aux ressources génétiques ». Dans le même article, il est précisé que la « source des ressources génétiques » désigne toute source à partir de laquelle le proposant a obtenu les ressources génétiques, tel qu</w:t>
      </w:r>
      <w:r w:rsidR="00003783">
        <w:rPr>
          <w:rFonts w:eastAsia="Times New Roman"/>
          <w:lang w:val="fr-CA" w:eastAsia="fr-CA"/>
        </w:rPr>
        <w:t>’</w:t>
      </w:r>
      <w:r w:rsidRPr="00FA48F1">
        <w:rPr>
          <w:rFonts w:eastAsia="Times New Roman"/>
          <w:lang w:val="fr-CA" w:eastAsia="fr-CA"/>
        </w:rPr>
        <w:t xml:space="preserve">un centre de recherche, une banque de gènes, des peuples autochtones et des communautés locales, le Système multilatéral du Traité international sur les </w:t>
      </w:r>
      <w:r w:rsidRPr="00FA48F1">
        <w:rPr>
          <w:rFonts w:eastAsia="Times New Roman"/>
          <w:noProof/>
          <w:lang w:val="fr-CA" w:eastAsia="fr-CA"/>
        </w:rPr>
        <w:t>ressources phytogénétiques</w:t>
      </w:r>
      <w:r w:rsidRPr="00FA48F1">
        <w:rPr>
          <w:rFonts w:eastAsia="Times New Roman"/>
          <w:lang w:val="fr-CA" w:eastAsia="fr-CA"/>
        </w:rPr>
        <w:t xml:space="preserve"> pour l</w:t>
      </w:r>
      <w:r w:rsidR="00003783">
        <w:rPr>
          <w:rFonts w:eastAsia="Times New Roman"/>
          <w:lang w:val="fr-CA" w:eastAsia="fr-CA"/>
        </w:rPr>
        <w:t>’</w:t>
      </w:r>
      <w:r w:rsidRPr="00FA48F1">
        <w:rPr>
          <w:rFonts w:eastAsia="Times New Roman"/>
          <w:lang w:val="fr-CA" w:eastAsia="fr-CA"/>
        </w:rPr>
        <w:t>alimentation et l</w:t>
      </w:r>
      <w:r w:rsidR="00003783">
        <w:rPr>
          <w:rFonts w:eastAsia="Times New Roman"/>
          <w:lang w:val="fr-CA" w:eastAsia="fr-CA"/>
        </w:rPr>
        <w:t>’</w:t>
      </w:r>
      <w:r w:rsidRPr="00FA48F1">
        <w:rPr>
          <w:rFonts w:eastAsia="Times New Roman"/>
          <w:lang w:val="fr-CA" w:eastAsia="fr-CA"/>
        </w:rPr>
        <w:t xml:space="preserve">agriculture, ou toute autre collection ou tout autre dépôt de ressources génétiques </w:t>
      </w:r>
      <w:r w:rsidRPr="00FA48F1">
        <w:rPr>
          <w:rFonts w:eastAsia="Times New Roman"/>
          <w:i/>
          <w:lang w:val="fr-CA" w:eastAsia="fr-CA"/>
        </w:rPr>
        <w:t>ex situ</w:t>
      </w:r>
      <w:r w:rsidRPr="00FA48F1">
        <w:rPr>
          <w:rFonts w:eastAsia="Times New Roman"/>
          <w:lang w:val="fr-CA" w:eastAsia="fr-CA"/>
        </w:rPr>
        <w:t>.</w:t>
      </w:r>
      <w:r w:rsidR="007E4B26" w:rsidRPr="00FA48F1">
        <w:rPr>
          <w:rFonts w:eastAsia="Times New Roman"/>
          <w:lang w:val="fr-CA" w:eastAsia="fr-CA"/>
        </w:rPr>
        <w:t xml:space="preserve"> Également</w:t>
      </w:r>
      <w:r w:rsidRPr="00FA48F1">
        <w:rPr>
          <w:rFonts w:eastAsia="Times New Roman"/>
          <w:lang w:val="fr-CA" w:eastAsia="fr-CA"/>
        </w:rPr>
        <w:t xml:space="preserve"> </w:t>
      </w:r>
      <w:r w:rsidR="007E4B26" w:rsidRPr="00FA48F1">
        <w:rPr>
          <w:rFonts w:eastAsia="Times New Roman"/>
          <w:lang w:val="fr-CA" w:eastAsia="fr-CA"/>
        </w:rPr>
        <w:t>à</w:t>
      </w:r>
      <w:r w:rsidRPr="00FA48F1">
        <w:rPr>
          <w:rFonts w:eastAsia="Times New Roman"/>
          <w:lang w:val="fr-CA" w:eastAsia="fr-CA"/>
        </w:rPr>
        <w:t xml:space="preserve"> l</w:t>
      </w:r>
      <w:r w:rsidR="00003783">
        <w:rPr>
          <w:rFonts w:eastAsia="Times New Roman"/>
          <w:lang w:val="fr-CA" w:eastAsia="fr-CA"/>
        </w:rPr>
        <w:t>’</w:t>
      </w:r>
      <w:r w:rsidRPr="00FA48F1">
        <w:rPr>
          <w:rFonts w:eastAsia="Times New Roman"/>
          <w:lang w:val="fr-CA" w:eastAsia="fr-CA"/>
        </w:rPr>
        <w:t xml:space="preserve">article 2, la « source des savoirs traditionnels associés aux ressources génétiques » est définie comme « toute source à partir de laquelle le </w:t>
      </w:r>
      <w:r w:rsidR="007E4B26" w:rsidRPr="00FA48F1">
        <w:rPr>
          <w:rFonts w:eastAsia="Times New Roman"/>
          <w:lang w:val="fr-CA" w:eastAsia="fr-CA"/>
        </w:rPr>
        <w:t xml:space="preserve">proposant </w:t>
      </w:r>
      <w:r w:rsidRPr="00FA48F1">
        <w:rPr>
          <w:rFonts w:eastAsia="Times New Roman"/>
          <w:lang w:val="fr-CA" w:eastAsia="fr-CA"/>
        </w:rPr>
        <w:t xml:space="preserve">a obtenu les savoirs traditionnels associés aux ressources génétiques, </w:t>
      </w:r>
      <w:r w:rsidR="007E4B26" w:rsidRPr="00FA48F1">
        <w:rPr>
          <w:rFonts w:eastAsia="Times New Roman"/>
          <w:lang w:val="fr-CA" w:eastAsia="fr-CA"/>
        </w:rPr>
        <w:t>comme</w:t>
      </w:r>
      <w:r w:rsidRPr="00FA48F1">
        <w:rPr>
          <w:rFonts w:eastAsia="Times New Roman"/>
          <w:lang w:val="fr-CA" w:eastAsia="fr-CA"/>
        </w:rPr>
        <w:t xml:space="preserve"> la littérature scientifique, les bases de données accessibles au public, </w:t>
      </w:r>
      <w:r w:rsidR="007E4B26" w:rsidRPr="00FA48F1">
        <w:rPr>
          <w:rFonts w:eastAsia="Times New Roman"/>
          <w:lang w:val="fr-CA" w:eastAsia="fr-CA"/>
        </w:rPr>
        <w:t>ou encore les demandes de brevet et</w:t>
      </w:r>
      <w:r w:rsidRPr="00FA48F1">
        <w:rPr>
          <w:rFonts w:eastAsia="Times New Roman"/>
          <w:lang w:val="fr-CA" w:eastAsia="fr-CA"/>
        </w:rPr>
        <w:t xml:space="preserve"> </w:t>
      </w:r>
      <w:r w:rsidR="007E4B26" w:rsidRPr="00FA48F1">
        <w:rPr>
          <w:rFonts w:eastAsia="Times New Roman"/>
          <w:lang w:val="fr-CA" w:eastAsia="fr-CA"/>
        </w:rPr>
        <w:t>documents</w:t>
      </w:r>
      <w:r w:rsidRPr="00FA48F1">
        <w:rPr>
          <w:rFonts w:eastAsia="Times New Roman"/>
          <w:lang w:val="fr-CA" w:eastAsia="fr-CA"/>
        </w:rPr>
        <w:t xml:space="preserve"> de brevet</w:t>
      </w:r>
      <w:r w:rsidR="00D44B2F" w:rsidRPr="00FA48F1">
        <w:rPr>
          <w:rFonts w:eastAsia="Times New Roman"/>
          <w:lang w:val="fr-CA" w:eastAsia="fr-CA"/>
        </w:rPr>
        <w:t>.</w:t>
      </w:r>
      <w:r w:rsidRPr="00FA48F1">
        <w:rPr>
          <w:rFonts w:eastAsia="Times New Roman"/>
          <w:lang w:val="fr-CA" w:eastAsia="fr-CA"/>
        </w:rPr>
        <w:t> »</w:t>
      </w:r>
    </w:p>
    <w:p w:rsidR="00A6260C" w:rsidRPr="00FA48F1" w:rsidRDefault="005E4088" w:rsidP="00CF7694">
      <w:pPr>
        <w:pStyle w:val="CBDNormalNumber"/>
        <w:rPr>
          <w:lang w:val="fr-CA"/>
        </w:rPr>
      </w:pPr>
      <w:r w:rsidRPr="00FA48F1">
        <w:rPr>
          <w:rFonts w:eastAsia="Times New Roman"/>
          <w:lang w:val="fr-CA" w:eastAsia="fr-CA"/>
        </w:rPr>
        <w:t>L</w:t>
      </w:r>
      <w:r w:rsidR="00003783">
        <w:rPr>
          <w:rFonts w:eastAsia="Times New Roman"/>
          <w:lang w:val="fr-CA" w:eastAsia="fr-CA"/>
        </w:rPr>
        <w:t>’</w:t>
      </w:r>
      <w:r w:rsidRPr="00FA48F1">
        <w:rPr>
          <w:rFonts w:eastAsia="Times New Roman"/>
          <w:lang w:val="fr-CA" w:eastAsia="fr-CA"/>
        </w:rPr>
        <w:t>article 3.5 stipule que les Parties ne doivent pas obliger les offices de</w:t>
      </w:r>
      <w:r w:rsidR="006D017B" w:rsidRPr="00FA48F1">
        <w:rPr>
          <w:rFonts w:eastAsia="Times New Roman"/>
          <w:lang w:val="fr-CA" w:eastAsia="fr-CA"/>
        </w:rPr>
        <w:t>s</w:t>
      </w:r>
      <w:r w:rsidRPr="00FA48F1">
        <w:rPr>
          <w:rFonts w:eastAsia="Times New Roman"/>
          <w:lang w:val="fr-CA" w:eastAsia="fr-CA"/>
        </w:rPr>
        <w:t xml:space="preserve"> brevets à </w:t>
      </w:r>
      <w:r w:rsidR="00D44B2F" w:rsidRPr="00FA48F1">
        <w:rPr>
          <w:rFonts w:eastAsia="Times New Roman"/>
          <w:lang w:val="fr-CA" w:eastAsia="fr-CA"/>
        </w:rPr>
        <w:t>« </w:t>
      </w:r>
      <w:r w:rsidRPr="00FA48F1">
        <w:rPr>
          <w:rFonts w:eastAsia="Times New Roman"/>
          <w:lang w:val="fr-CA" w:eastAsia="fr-CA"/>
        </w:rPr>
        <w:t>vérifier l</w:t>
      </w:r>
      <w:r w:rsidR="00003783">
        <w:rPr>
          <w:rFonts w:eastAsia="Times New Roman"/>
          <w:lang w:val="fr-CA" w:eastAsia="fr-CA"/>
        </w:rPr>
        <w:t>’</w:t>
      </w:r>
      <w:r w:rsidRPr="00FA48F1">
        <w:rPr>
          <w:rFonts w:eastAsia="Times New Roman"/>
          <w:lang w:val="fr-CA" w:eastAsia="fr-CA"/>
        </w:rPr>
        <w:t>authenticité de la divulgation</w:t>
      </w:r>
      <w:r w:rsidR="00D44B2F" w:rsidRPr="00FA48F1">
        <w:rPr>
          <w:rFonts w:eastAsia="Times New Roman"/>
          <w:lang w:val="fr-CA" w:eastAsia="fr-CA"/>
        </w:rPr>
        <w:t> »</w:t>
      </w:r>
      <w:r w:rsidRPr="00FA48F1">
        <w:rPr>
          <w:rFonts w:eastAsia="Times New Roman"/>
          <w:lang w:val="fr-CA" w:eastAsia="fr-CA"/>
        </w:rPr>
        <w:t>, tandis que l</w:t>
      </w:r>
      <w:r w:rsidR="00003783">
        <w:rPr>
          <w:rFonts w:eastAsia="Times New Roman"/>
          <w:lang w:val="fr-CA" w:eastAsia="fr-CA"/>
        </w:rPr>
        <w:t>’</w:t>
      </w:r>
      <w:r w:rsidRPr="00FA48F1">
        <w:rPr>
          <w:rFonts w:eastAsia="Times New Roman"/>
          <w:lang w:val="fr-CA" w:eastAsia="fr-CA"/>
        </w:rPr>
        <w:t xml:space="preserve">article 3.6 stipule que chaque Partie doit </w:t>
      </w:r>
      <w:r w:rsidR="00D44B2F" w:rsidRPr="00FA48F1">
        <w:rPr>
          <w:rFonts w:eastAsia="Times New Roman"/>
          <w:lang w:val="fr-CA" w:eastAsia="fr-CA"/>
        </w:rPr>
        <w:t>« </w:t>
      </w:r>
      <w:r w:rsidRPr="00FA48F1">
        <w:rPr>
          <w:lang w:val="fr-CA"/>
        </w:rPr>
        <w:t>rendre l</w:t>
      </w:r>
      <w:r w:rsidR="00003783">
        <w:rPr>
          <w:lang w:val="fr-CA"/>
        </w:rPr>
        <w:t>’</w:t>
      </w:r>
      <w:r w:rsidRPr="00FA48F1">
        <w:rPr>
          <w:lang w:val="fr-CA"/>
        </w:rPr>
        <w:t>information divulguée disponible conformément aux procédures en matière de brevets, sans préjudice de la protection des informations confidentielles</w:t>
      </w:r>
      <w:r w:rsidR="00D44B2F" w:rsidRPr="00FA48F1">
        <w:rPr>
          <w:lang w:val="fr-CA"/>
        </w:rPr>
        <w:t> »</w:t>
      </w:r>
      <w:r w:rsidRPr="00FA48F1">
        <w:rPr>
          <w:lang w:val="fr-CA"/>
        </w:rPr>
        <w:t>.</w:t>
      </w:r>
    </w:p>
    <w:p w:rsidR="00AB38DA" w:rsidRPr="00FA48F1" w:rsidRDefault="00D44B2F" w:rsidP="00CF7694">
      <w:pPr>
        <w:pStyle w:val="CBDNormalNumber"/>
        <w:rPr>
          <w:lang w:val="fr-CA"/>
        </w:rPr>
      </w:pPr>
      <w:r w:rsidRPr="00FA48F1">
        <w:rPr>
          <w:rFonts w:eastAsia="Times New Roman"/>
          <w:lang w:val="fr-CA" w:eastAsia="fr-CA"/>
        </w:rPr>
        <w:t>L</w:t>
      </w:r>
      <w:r w:rsidR="00003783">
        <w:rPr>
          <w:rFonts w:eastAsia="Times New Roman"/>
          <w:lang w:val="fr-CA" w:eastAsia="fr-CA"/>
        </w:rPr>
        <w:t>’</w:t>
      </w:r>
      <w:r w:rsidRPr="00FA48F1">
        <w:rPr>
          <w:rFonts w:eastAsia="Times New Roman"/>
          <w:lang w:val="fr-CA" w:eastAsia="fr-CA"/>
        </w:rPr>
        <w:t>article 8 du Traité traite de « l</w:t>
      </w:r>
      <w:r w:rsidR="00003783">
        <w:rPr>
          <w:rFonts w:eastAsia="Times New Roman"/>
          <w:lang w:val="fr-CA" w:eastAsia="fr-CA"/>
        </w:rPr>
        <w:t>’</w:t>
      </w:r>
      <w:r w:rsidRPr="00FA48F1">
        <w:rPr>
          <w:rFonts w:eastAsia="Times New Roman"/>
          <w:lang w:val="fr-CA" w:eastAsia="fr-CA"/>
        </w:rPr>
        <w:t>examen » et stipule que les Parties « </w:t>
      </w:r>
      <w:r w:rsidRPr="00FA48F1">
        <w:rPr>
          <w:lang w:val="fr-CA"/>
        </w:rPr>
        <w:t>s</w:t>
      </w:r>
      <w:r w:rsidR="00003783">
        <w:rPr>
          <w:lang w:val="fr-CA"/>
        </w:rPr>
        <w:t>’</w:t>
      </w:r>
      <w:r w:rsidRPr="00FA48F1">
        <w:rPr>
          <w:lang w:val="fr-CA"/>
        </w:rPr>
        <w:t>engagent à examiner la portée et le contenu du [ ] traité, abordant ce faisant des questions telles que l</w:t>
      </w:r>
      <w:r w:rsidR="00003783">
        <w:rPr>
          <w:lang w:val="fr-CA"/>
        </w:rPr>
        <w:t>’</w:t>
      </w:r>
      <w:r w:rsidRPr="00FA48F1">
        <w:rPr>
          <w:lang w:val="fr-CA"/>
        </w:rPr>
        <w:t xml:space="preserve">éventuel </w:t>
      </w:r>
      <w:r w:rsidRPr="00FA48F1">
        <w:rPr>
          <w:lang w:val="fr-CA"/>
        </w:rPr>
        <w:lastRenderedPageBreak/>
        <w:t>élargissement de l</w:t>
      </w:r>
      <w:r w:rsidR="00003783">
        <w:rPr>
          <w:lang w:val="fr-CA"/>
        </w:rPr>
        <w:t>’</w:t>
      </w:r>
      <w:r w:rsidRPr="00FA48F1">
        <w:rPr>
          <w:lang w:val="fr-CA"/>
        </w:rPr>
        <w:t>exigence de divulgation visée à l</w:t>
      </w:r>
      <w:r w:rsidR="00003783">
        <w:rPr>
          <w:lang w:val="fr-CA"/>
        </w:rPr>
        <w:t>’</w:t>
      </w:r>
      <w:r w:rsidRPr="00FA48F1">
        <w:rPr>
          <w:lang w:val="fr-CA"/>
        </w:rPr>
        <w:t>article 3 à d</w:t>
      </w:r>
      <w:r w:rsidR="00003783">
        <w:rPr>
          <w:lang w:val="fr-CA"/>
        </w:rPr>
        <w:t>’</w:t>
      </w:r>
      <w:r w:rsidRPr="00FA48F1">
        <w:rPr>
          <w:lang w:val="fr-CA"/>
        </w:rPr>
        <w:t>autres domaines relevant de la propriété intellectuelle et aux dérivés, ainsi que d</w:t>
      </w:r>
      <w:r w:rsidR="00003783">
        <w:rPr>
          <w:lang w:val="fr-CA"/>
        </w:rPr>
        <w:t>’</w:t>
      </w:r>
      <w:r w:rsidRPr="00FA48F1">
        <w:rPr>
          <w:lang w:val="fr-CA"/>
        </w:rPr>
        <w:t>autres questions découlant de technologies nouvelles et émergentes pertinentes à l</w:t>
      </w:r>
      <w:r w:rsidR="00003783">
        <w:rPr>
          <w:lang w:val="fr-CA"/>
        </w:rPr>
        <w:t>’</w:t>
      </w:r>
      <w:r w:rsidRPr="00FA48F1">
        <w:rPr>
          <w:lang w:val="fr-CA"/>
        </w:rPr>
        <w:t>égard de l</w:t>
      </w:r>
      <w:r w:rsidR="00003783">
        <w:rPr>
          <w:lang w:val="fr-CA"/>
        </w:rPr>
        <w:t>’</w:t>
      </w:r>
      <w:r w:rsidRPr="00FA48F1">
        <w:rPr>
          <w:lang w:val="fr-CA"/>
        </w:rPr>
        <w:t>application du [ ] traité quatre ans après l</w:t>
      </w:r>
      <w:r w:rsidR="00003783">
        <w:rPr>
          <w:lang w:val="fr-CA"/>
        </w:rPr>
        <w:t>’</w:t>
      </w:r>
      <w:r w:rsidRPr="00FA48F1">
        <w:rPr>
          <w:lang w:val="fr-CA"/>
        </w:rPr>
        <w:t xml:space="preserve">entrée en vigueur </w:t>
      </w:r>
      <w:r w:rsidRPr="00FA48F1">
        <w:rPr>
          <w:noProof/>
          <w:lang w:val="fr-CA"/>
        </w:rPr>
        <w:t>de celui</w:t>
      </w:r>
      <w:r w:rsidR="00003783">
        <w:rPr>
          <w:noProof/>
          <w:lang w:val="fr-CA"/>
        </w:rPr>
        <w:noBreakHyphen/>
      </w:r>
      <w:r w:rsidRPr="00FA48F1">
        <w:rPr>
          <w:noProof/>
          <w:lang w:val="fr-CA"/>
        </w:rPr>
        <w:t>ci</w:t>
      </w:r>
      <w:r w:rsidRPr="00FA48F1">
        <w:rPr>
          <w:lang w:val="fr-CA"/>
        </w:rPr>
        <w:t>. »</w:t>
      </w:r>
    </w:p>
    <w:p w:rsidR="00FE2ACC" w:rsidRPr="00FA48F1" w:rsidRDefault="004F0E47" w:rsidP="00CF7694">
      <w:pPr>
        <w:pStyle w:val="CBDNormalNumber"/>
        <w:rPr>
          <w:lang w:val="fr-CA"/>
        </w:rPr>
      </w:pPr>
      <w:r w:rsidRPr="00FA48F1">
        <w:rPr>
          <w:rFonts w:eastAsia="Times New Roman"/>
          <w:lang w:val="fr-CA" w:eastAsia="fr-CA"/>
        </w:rPr>
        <w:t>Dans le préambule du Traité, il est reconnu que</w:t>
      </w:r>
      <w:r w:rsidR="006D017B" w:rsidRPr="00FA48F1">
        <w:rPr>
          <w:rFonts w:eastAsia="Times New Roman"/>
          <w:lang w:val="fr-CA" w:eastAsia="fr-CA"/>
        </w:rPr>
        <w:t xml:space="preserve"> « </w:t>
      </w:r>
      <w:r w:rsidR="006D017B" w:rsidRPr="00FA48F1">
        <w:rPr>
          <w:lang w:val="fr-CA"/>
        </w:rPr>
        <w:t>ce Traité et d</w:t>
      </w:r>
      <w:r w:rsidR="00003783">
        <w:rPr>
          <w:lang w:val="fr-CA"/>
        </w:rPr>
        <w:t>’</w:t>
      </w:r>
      <w:r w:rsidR="006D017B" w:rsidRPr="00FA48F1">
        <w:rPr>
          <w:lang w:val="fr-CA"/>
        </w:rPr>
        <w:t xml:space="preserve">autres instruments internationaux relatifs aux ressources génétiques et aux savoirs traditionnels associés aux ressources génétiques devraient être complémentaires ». </w:t>
      </w:r>
      <w:r w:rsidRPr="00FA48F1">
        <w:rPr>
          <w:rFonts w:eastAsia="Times New Roman"/>
          <w:lang w:val="fr-CA" w:eastAsia="fr-CA"/>
        </w:rPr>
        <w:t>C</w:t>
      </w:r>
      <w:r w:rsidR="006D017B" w:rsidRPr="00FA48F1">
        <w:rPr>
          <w:rFonts w:eastAsia="Times New Roman"/>
          <w:lang w:val="fr-CA" w:eastAsia="fr-CA"/>
        </w:rPr>
        <w:t>ela est renforcé à l</w:t>
      </w:r>
      <w:r w:rsidR="00003783">
        <w:rPr>
          <w:rFonts w:eastAsia="Times New Roman"/>
          <w:lang w:val="fr-CA" w:eastAsia="fr-CA"/>
        </w:rPr>
        <w:t>’</w:t>
      </w:r>
      <w:r w:rsidR="006D017B" w:rsidRPr="00FA48F1">
        <w:rPr>
          <w:rFonts w:eastAsia="Times New Roman"/>
          <w:lang w:val="fr-CA" w:eastAsia="fr-CA"/>
        </w:rPr>
        <w:t>article </w:t>
      </w:r>
      <w:r w:rsidRPr="00FA48F1">
        <w:rPr>
          <w:rFonts w:eastAsia="Times New Roman"/>
          <w:lang w:val="fr-CA" w:eastAsia="fr-CA"/>
        </w:rPr>
        <w:t>7 du Traité, qui précise que</w:t>
      </w:r>
      <w:r w:rsidR="006D017B" w:rsidRPr="00FA48F1">
        <w:rPr>
          <w:rFonts w:eastAsia="Times New Roman"/>
          <w:lang w:val="fr-CA" w:eastAsia="fr-CA"/>
        </w:rPr>
        <w:t xml:space="preserve"> « le </w:t>
      </w:r>
      <w:r w:rsidR="006D017B" w:rsidRPr="00FA48F1">
        <w:rPr>
          <w:lang w:val="fr-CA"/>
        </w:rPr>
        <w:t>présent Traité doit être mis en œuvre d</w:t>
      </w:r>
      <w:r w:rsidR="00003783">
        <w:rPr>
          <w:lang w:val="fr-CA"/>
        </w:rPr>
        <w:t>’</w:t>
      </w:r>
      <w:r w:rsidR="006D017B" w:rsidRPr="00FA48F1">
        <w:rPr>
          <w:lang w:val="fr-CA"/>
        </w:rPr>
        <w:t>une manière complémentaire par rapport aux autres accords internationaux pertinents à son égard ».</w:t>
      </w:r>
    </w:p>
    <w:p w:rsidR="00EC1DC4" w:rsidRPr="00FA48F1" w:rsidRDefault="00FA48F1" w:rsidP="00CF7694">
      <w:pPr>
        <w:pStyle w:val="CBDNormalNumber"/>
        <w:rPr>
          <w:lang w:val="fr-CA"/>
        </w:rPr>
      </w:pPr>
      <w:r w:rsidRPr="00FA48F1">
        <w:rPr>
          <w:rFonts w:eastAsia="Times New Roman"/>
          <w:lang w:val="fr-CA" w:eastAsia="fr-CA"/>
        </w:rPr>
        <w:t xml:space="preserve">Le Traité entrera en vigueur </w:t>
      </w:r>
      <w:r>
        <w:rPr>
          <w:rFonts w:eastAsia="Times New Roman"/>
          <w:lang w:val="fr-CA" w:eastAsia="fr-CA"/>
        </w:rPr>
        <w:t>trois mois après le dépôt de 15 </w:t>
      </w:r>
      <w:r w:rsidRPr="00FA48F1">
        <w:rPr>
          <w:rFonts w:eastAsia="Times New Roman"/>
          <w:lang w:val="fr-CA" w:eastAsia="fr-CA"/>
        </w:rPr>
        <w:t>instruments de rati</w:t>
      </w:r>
      <w:r>
        <w:rPr>
          <w:rFonts w:eastAsia="Times New Roman"/>
          <w:lang w:val="fr-CA" w:eastAsia="fr-CA"/>
        </w:rPr>
        <w:t>fication ou d</w:t>
      </w:r>
      <w:r w:rsidR="00003783">
        <w:rPr>
          <w:rFonts w:eastAsia="Times New Roman"/>
          <w:lang w:val="fr-CA" w:eastAsia="fr-CA"/>
        </w:rPr>
        <w:t>’</w:t>
      </w:r>
      <w:r>
        <w:rPr>
          <w:rFonts w:eastAsia="Times New Roman"/>
          <w:lang w:val="fr-CA" w:eastAsia="fr-CA"/>
        </w:rPr>
        <w:t>adhésion (Article </w:t>
      </w:r>
      <w:r w:rsidRPr="00FA48F1">
        <w:rPr>
          <w:rFonts w:eastAsia="Times New Roman"/>
          <w:lang w:val="fr-CA" w:eastAsia="fr-CA"/>
        </w:rPr>
        <w:t>17)</w:t>
      </w:r>
      <w:r>
        <w:rPr>
          <w:rFonts w:eastAsia="Times New Roman"/>
          <w:lang w:val="fr-CA" w:eastAsia="fr-CA"/>
        </w:rPr>
        <w:t>.</w:t>
      </w:r>
    </w:p>
    <w:p w:rsidR="00970FDB" w:rsidRPr="00FA48F1" w:rsidRDefault="00FA48F1" w:rsidP="00CF7694">
      <w:pPr>
        <w:pStyle w:val="CBDNormalNumber"/>
        <w:rPr>
          <w:lang w:val="fr-CA"/>
        </w:rPr>
      </w:pPr>
      <w:r w:rsidRPr="005930C7">
        <w:rPr>
          <w:rFonts w:eastAsia="Times New Roman"/>
          <w:lang w:val="fr-CA" w:eastAsia="fr-CA"/>
        </w:rPr>
        <w:t>Le Secrétariat de la Convention a participé à la session spéciale du Comité intergouvernemental sur la propriété intellectuelle, les ressources génétiques, les savoirs traditionn</w:t>
      </w:r>
      <w:r>
        <w:rPr>
          <w:rFonts w:eastAsia="Times New Roman"/>
          <w:lang w:val="fr-CA" w:eastAsia="fr-CA"/>
        </w:rPr>
        <w:t>els et le</w:t>
      </w:r>
      <w:r w:rsidR="00231CEF">
        <w:rPr>
          <w:rFonts w:eastAsia="Times New Roman"/>
          <w:lang w:val="fr-CA" w:eastAsia="fr-CA"/>
        </w:rPr>
        <w:t>s expressions du</w:t>
      </w:r>
      <w:r>
        <w:rPr>
          <w:rFonts w:eastAsia="Times New Roman"/>
          <w:lang w:val="fr-CA" w:eastAsia="fr-CA"/>
        </w:rPr>
        <w:t xml:space="preserve"> folklore, en septembre </w:t>
      </w:r>
      <w:r w:rsidRPr="005930C7">
        <w:rPr>
          <w:rFonts w:eastAsia="Times New Roman"/>
          <w:lang w:val="fr-CA" w:eastAsia="fr-CA"/>
        </w:rPr>
        <w:t>2023, ainsi qu</w:t>
      </w:r>
      <w:r w:rsidR="00003783">
        <w:rPr>
          <w:rFonts w:eastAsia="Times New Roman"/>
          <w:lang w:val="fr-CA" w:eastAsia="fr-CA"/>
        </w:rPr>
        <w:t>’</w:t>
      </w:r>
      <w:r w:rsidRPr="005930C7">
        <w:rPr>
          <w:rFonts w:eastAsia="Times New Roman"/>
          <w:lang w:val="fr-CA" w:eastAsia="fr-CA"/>
        </w:rPr>
        <w:t>à la Conférence dip</w:t>
      </w:r>
      <w:r>
        <w:rPr>
          <w:rFonts w:eastAsia="Times New Roman"/>
          <w:lang w:val="fr-CA" w:eastAsia="fr-CA"/>
        </w:rPr>
        <w:t>lomatique visant à conclure un i</w:t>
      </w:r>
      <w:r w:rsidRPr="005930C7">
        <w:rPr>
          <w:rFonts w:eastAsia="Times New Roman"/>
          <w:lang w:val="fr-CA" w:eastAsia="fr-CA"/>
        </w:rPr>
        <w:t>nstrument juridique international relatif à la propriété intellectuelle, aux ressources génétiques et aux savoirs traditionnels associés aux ressources génétiques</w:t>
      </w:r>
      <w:r>
        <w:rPr>
          <w:rFonts w:eastAsia="Times New Roman"/>
          <w:lang w:val="fr-CA" w:eastAsia="fr-CA"/>
        </w:rPr>
        <w:t>, en mai 2024, au cours de laquelle l</w:t>
      </w:r>
      <w:r w:rsidRPr="005930C7">
        <w:rPr>
          <w:rFonts w:eastAsia="Times New Roman"/>
          <w:lang w:val="fr-CA" w:eastAsia="fr-CA"/>
        </w:rPr>
        <w:t>es remarques d</w:t>
      </w:r>
      <w:r w:rsidR="00003783">
        <w:rPr>
          <w:rFonts w:eastAsia="Times New Roman"/>
          <w:lang w:val="fr-CA" w:eastAsia="fr-CA"/>
        </w:rPr>
        <w:t>’</w:t>
      </w:r>
      <w:r w:rsidRPr="005930C7">
        <w:rPr>
          <w:rFonts w:eastAsia="Times New Roman"/>
          <w:lang w:val="fr-CA" w:eastAsia="fr-CA"/>
        </w:rPr>
        <w:t>ouverture ont été prononcées par le Secrétariat de la Convention</w:t>
      </w:r>
      <w:r>
        <w:rPr>
          <w:rFonts w:eastAsia="Times New Roman"/>
          <w:lang w:val="fr-CA" w:eastAsia="fr-CA"/>
        </w:rPr>
        <w:t>.</w:t>
      </w:r>
    </w:p>
    <w:p w:rsidR="00970FDB" w:rsidRPr="00FA48F1" w:rsidRDefault="00231CEF" w:rsidP="00CF7694">
      <w:pPr>
        <w:pStyle w:val="CBDNormalNumber"/>
        <w:rPr>
          <w:lang w:val="fr-CA"/>
        </w:rPr>
      </w:pPr>
      <w:r w:rsidRPr="005930C7">
        <w:rPr>
          <w:rFonts w:eastAsia="Times New Roman"/>
          <w:lang w:val="fr-CA" w:eastAsia="fr-CA"/>
        </w:rPr>
        <w:t>L</w:t>
      </w:r>
      <w:r w:rsidR="00003783">
        <w:rPr>
          <w:rFonts w:eastAsia="Times New Roman"/>
          <w:lang w:val="fr-CA" w:eastAsia="fr-CA"/>
        </w:rPr>
        <w:t>’</w:t>
      </w:r>
      <w:r w:rsidRPr="005930C7">
        <w:rPr>
          <w:rFonts w:eastAsia="Times New Roman"/>
          <w:lang w:val="fr-CA" w:eastAsia="fr-CA"/>
        </w:rPr>
        <w:t>adoption du Traité sur la propriété intellectuelle, les ressources génétiques et les savoirs traditionnels associés n</w:t>
      </w:r>
      <w:r w:rsidR="00003783">
        <w:rPr>
          <w:rFonts w:eastAsia="Times New Roman"/>
          <w:lang w:val="fr-CA" w:eastAsia="fr-CA"/>
        </w:rPr>
        <w:t>’</w:t>
      </w:r>
      <w:r w:rsidRPr="005930C7">
        <w:rPr>
          <w:rFonts w:eastAsia="Times New Roman"/>
          <w:lang w:val="fr-CA" w:eastAsia="fr-CA"/>
        </w:rPr>
        <w:t xml:space="preserve">a pas mis fin au mandat du Comité intergouvernemental. Lors de la </w:t>
      </w:r>
      <w:proofErr w:type="spellStart"/>
      <w:r w:rsidRPr="005930C7">
        <w:rPr>
          <w:rFonts w:eastAsia="Times New Roman"/>
          <w:lang w:val="fr-CA" w:eastAsia="fr-CA"/>
        </w:rPr>
        <w:t>cinquante</w:t>
      </w:r>
      <w:r w:rsidR="00003783">
        <w:rPr>
          <w:rFonts w:eastAsia="Times New Roman"/>
          <w:lang w:val="fr-CA" w:eastAsia="fr-CA"/>
        </w:rPr>
        <w:noBreakHyphen/>
      </w:r>
      <w:r w:rsidRPr="005930C7">
        <w:rPr>
          <w:rFonts w:eastAsia="Times New Roman"/>
          <w:lang w:val="fr-CA" w:eastAsia="fr-CA"/>
        </w:rPr>
        <w:t>sixième</w:t>
      </w:r>
      <w:proofErr w:type="spellEnd"/>
      <w:r w:rsidRPr="005930C7">
        <w:rPr>
          <w:rFonts w:eastAsia="Times New Roman"/>
          <w:lang w:val="fr-CA" w:eastAsia="fr-CA"/>
        </w:rPr>
        <w:t xml:space="preserve"> session de l</w:t>
      </w:r>
      <w:r w:rsidR="00003783">
        <w:rPr>
          <w:rFonts w:eastAsia="Times New Roman"/>
          <w:lang w:val="fr-CA" w:eastAsia="fr-CA"/>
        </w:rPr>
        <w:t>’</w:t>
      </w:r>
      <w:r w:rsidRPr="005930C7">
        <w:rPr>
          <w:rFonts w:eastAsia="Times New Roman"/>
          <w:lang w:val="fr-CA" w:eastAsia="fr-CA"/>
        </w:rPr>
        <w:t>Assemblée générale de l</w:t>
      </w:r>
      <w:r w:rsidR="00003783">
        <w:rPr>
          <w:rFonts w:eastAsia="Times New Roman"/>
          <w:lang w:val="fr-CA" w:eastAsia="fr-CA"/>
        </w:rPr>
        <w:t>’</w:t>
      </w:r>
      <w:r w:rsidRPr="005930C7">
        <w:rPr>
          <w:rFonts w:eastAsia="Times New Roman"/>
          <w:lang w:val="fr-CA" w:eastAsia="fr-CA"/>
        </w:rPr>
        <w:t>OMPI</w:t>
      </w:r>
      <w:r>
        <w:rPr>
          <w:rFonts w:eastAsia="Times New Roman"/>
          <w:lang w:val="fr-CA" w:eastAsia="fr-CA"/>
        </w:rPr>
        <w:t>, en juillet </w:t>
      </w:r>
      <w:r w:rsidRPr="005930C7">
        <w:rPr>
          <w:rFonts w:eastAsia="Times New Roman"/>
          <w:lang w:val="fr-CA" w:eastAsia="fr-CA"/>
        </w:rPr>
        <w:t>2023, l</w:t>
      </w:r>
      <w:r w:rsidR="00003783">
        <w:rPr>
          <w:rFonts w:eastAsia="Times New Roman"/>
          <w:lang w:val="fr-CA" w:eastAsia="fr-CA"/>
        </w:rPr>
        <w:t>’</w:t>
      </w:r>
      <w:r w:rsidRPr="005930C7">
        <w:rPr>
          <w:rFonts w:eastAsia="Times New Roman"/>
          <w:lang w:val="fr-CA" w:eastAsia="fr-CA"/>
        </w:rPr>
        <w:t>Assemblée a adopté une décision</w:t>
      </w:r>
      <w:r w:rsidR="004E45A9" w:rsidRPr="004813AB">
        <w:rPr>
          <w:rStyle w:val="FootnoteReference"/>
        </w:rPr>
        <w:footnoteReference w:id="11"/>
      </w:r>
      <w:r w:rsidRPr="005930C7">
        <w:rPr>
          <w:rFonts w:eastAsia="Times New Roman"/>
          <w:lang w:val="fr-CA" w:eastAsia="fr-CA"/>
        </w:rPr>
        <w:t xml:space="preserve"> renouvelant le mandat du Comité intergouvernemental pour </w:t>
      </w:r>
      <w:r>
        <w:rPr>
          <w:rFonts w:eastAsia="Times New Roman"/>
          <w:lang w:val="fr-CA" w:eastAsia="fr-CA"/>
        </w:rPr>
        <w:t xml:space="preserve">la période biennale </w:t>
      </w:r>
      <w:r w:rsidRPr="005930C7">
        <w:rPr>
          <w:rFonts w:eastAsia="Times New Roman"/>
          <w:lang w:val="fr-CA" w:eastAsia="fr-CA"/>
        </w:rPr>
        <w:t>2024/2025, convenant que le Comité continuerait son travail sur la protection des ressources génétiques, des savoirs traditionnels et des expressions culturelles traditionnelles</w:t>
      </w:r>
      <w:r>
        <w:rPr>
          <w:rFonts w:eastAsia="Times New Roman"/>
          <w:lang w:val="fr-CA" w:eastAsia="fr-CA"/>
        </w:rPr>
        <w:t>.</w:t>
      </w:r>
    </w:p>
    <w:p w:rsidR="00765860" w:rsidRPr="00FA48F1" w:rsidRDefault="0025090B" w:rsidP="0025090B">
      <w:pPr>
        <w:pStyle w:val="CBDH1"/>
        <w:rPr>
          <w:lang w:val="fr-CA"/>
        </w:rPr>
      </w:pPr>
      <w:r w:rsidRPr="00FA48F1">
        <w:rPr>
          <w:lang w:val="fr-CA"/>
        </w:rPr>
        <w:t>III.</w:t>
      </w:r>
      <w:r w:rsidRPr="00FA48F1">
        <w:rPr>
          <w:lang w:val="fr-CA"/>
        </w:rPr>
        <w:tab/>
      </w:r>
      <w:r w:rsidR="00921108" w:rsidRPr="00921108">
        <w:rPr>
          <w:lang w:val="fr-CA"/>
        </w:rPr>
        <w:t>Coopération pour soutenir la ratification, sensibiliser et renforcer les capacités de mise en œuvre</w:t>
      </w:r>
    </w:p>
    <w:p w:rsidR="00765860" w:rsidRPr="00FA48F1" w:rsidRDefault="00D429D3" w:rsidP="00CF7694">
      <w:pPr>
        <w:pStyle w:val="CBDNormalNumber"/>
        <w:rPr>
          <w:noProof/>
          <w:lang w:val="fr-CA"/>
        </w:rPr>
      </w:pPr>
      <w:r w:rsidRPr="005930C7">
        <w:rPr>
          <w:rFonts w:eastAsia="Times New Roman"/>
          <w:lang w:val="fr-CA" w:eastAsia="fr-CA"/>
        </w:rPr>
        <w:t xml:space="preserve">Le Secrétariat de la Convention collabore avec un certain nombre de partenaires pour soutenir la ratification du Protocole de Nagoya, </w:t>
      </w:r>
      <w:r>
        <w:rPr>
          <w:rFonts w:eastAsia="Times New Roman"/>
          <w:lang w:val="fr-CA" w:eastAsia="fr-CA"/>
        </w:rPr>
        <w:t>mieux faire connaître le</w:t>
      </w:r>
      <w:r w:rsidRPr="005930C7">
        <w:rPr>
          <w:rFonts w:eastAsia="Times New Roman"/>
          <w:lang w:val="fr-CA" w:eastAsia="fr-CA"/>
        </w:rPr>
        <w:t xml:space="preserve"> Protocole et renforcer les capacités pour sa mise en œuvre. Certaines activités de coopération spécifiques avec </w:t>
      </w:r>
      <w:r>
        <w:rPr>
          <w:rFonts w:eastAsia="Times New Roman"/>
          <w:lang w:val="fr-CA" w:eastAsia="fr-CA"/>
        </w:rPr>
        <w:t>d</w:t>
      </w:r>
      <w:r w:rsidRPr="005930C7">
        <w:rPr>
          <w:rFonts w:eastAsia="Times New Roman"/>
          <w:lang w:val="fr-CA" w:eastAsia="fr-CA"/>
        </w:rPr>
        <w:t xml:space="preserve">es partenaires sont </w:t>
      </w:r>
      <w:r w:rsidRPr="005930C7">
        <w:rPr>
          <w:rFonts w:eastAsia="Times New Roman"/>
          <w:noProof/>
          <w:lang w:val="fr-CA" w:eastAsia="fr-CA"/>
        </w:rPr>
        <w:t>décrites ci</w:t>
      </w:r>
      <w:r w:rsidR="00003783">
        <w:rPr>
          <w:rFonts w:eastAsia="Times New Roman"/>
          <w:noProof/>
          <w:lang w:val="fr-CA" w:eastAsia="fr-CA"/>
        </w:rPr>
        <w:noBreakHyphen/>
      </w:r>
      <w:r w:rsidRPr="005930C7">
        <w:rPr>
          <w:rFonts w:eastAsia="Times New Roman"/>
          <w:noProof/>
          <w:lang w:val="fr-CA" w:eastAsia="fr-CA"/>
        </w:rPr>
        <w:t>dessous</w:t>
      </w:r>
      <w:r>
        <w:rPr>
          <w:noProof/>
          <w:lang w:val="fr-CA"/>
        </w:rPr>
        <w:t>.</w:t>
      </w:r>
    </w:p>
    <w:p w:rsidR="00765860" w:rsidRPr="00FA48F1" w:rsidRDefault="00F63076" w:rsidP="0025090B">
      <w:pPr>
        <w:pStyle w:val="CBDH2"/>
        <w:rPr>
          <w:lang w:val="fr-CA"/>
        </w:rPr>
      </w:pPr>
      <w:r w:rsidRPr="00FA48F1">
        <w:rPr>
          <w:noProof/>
          <w:lang w:val="fr-CA"/>
        </w:rPr>
        <w:t>A</w:t>
      </w:r>
      <w:r w:rsidR="00765860" w:rsidRPr="00FA48F1">
        <w:rPr>
          <w:noProof/>
          <w:lang w:val="fr-CA"/>
        </w:rPr>
        <w:t>.</w:t>
      </w:r>
      <w:r w:rsidR="00765860" w:rsidRPr="00FA48F1">
        <w:rPr>
          <w:noProof/>
          <w:lang w:val="fr-CA"/>
        </w:rPr>
        <w:tab/>
      </w:r>
      <w:r w:rsidR="00B41DED">
        <w:rPr>
          <w:noProof/>
          <w:lang w:val="fr-CA"/>
        </w:rPr>
        <w:t>Programme des Nations</w:t>
      </w:r>
      <w:r w:rsidR="00B41DED">
        <w:rPr>
          <w:lang w:val="fr-CA"/>
        </w:rPr>
        <w:t xml:space="preserve"> Unies pour l</w:t>
      </w:r>
      <w:r w:rsidR="00003783">
        <w:rPr>
          <w:lang w:val="fr-CA"/>
        </w:rPr>
        <w:t>’</w:t>
      </w:r>
      <w:r w:rsidR="00B41DED">
        <w:rPr>
          <w:lang w:val="fr-CA"/>
        </w:rPr>
        <w:t>environnement</w:t>
      </w:r>
    </w:p>
    <w:p w:rsidR="00953936" w:rsidRPr="00FA48F1" w:rsidRDefault="00685C10" w:rsidP="00CF7694">
      <w:pPr>
        <w:pStyle w:val="CBDNormalNumber"/>
        <w:rPr>
          <w:lang w:val="fr-CA"/>
        </w:rPr>
      </w:pPr>
      <w:r w:rsidRPr="005930C7">
        <w:rPr>
          <w:rFonts w:eastAsia="Times New Roman"/>
          <w:lang w:val="fr-CA" w:eastAsia="fr-CA"/>
        </w:rPr>
        <w:t>Le Programme des Nations Unies pour l</w:t>
      </w:r>
      <w:r w:rsidR="00003783">
        <w:rPr>
          <w:rFonts w:eastAsia="Times New Roman"/>
          <w:lang w:val="fr-CA" w:eastAsia="fr-CA"/>
        </w:rPr>
        <w:t>’</w:t>
      </w:r>
      <w:r w:rsidRPr="005930C7">
        <w:rPr>
          <w:rFonts w:eastAsia="Times New Roman"/>
          <w:lang w:val="fr-CA" w:eastAsia="fr-CA"/>
        </w:rPr>
        <w:t xml:space="preserve">environnement (PNUE) collabore avec le Secrétariat pour </w:t>
      </w:r>
      <w:r>
        <w:rPr>
          <w:rFonts w:eastAsia="Times New Roman"/>
          <w:lang w:val="fr-CA" w:eastAsia="fr-CA"/>
        </w:rPr>
        <w:t xml:space="preserve">prendre </w:t>
      </w:r>
      <w:r w:rsidRPr="005930C7">
        <w:rPr>
          <w:rFonts w:eastAsia="Times New Roman"/>
          <w:lang w:val="fr-CA" w:eastAsia="fr-CA"/>
        </w:rPr>
        <w:t xml:space="preserve">les dispositions nécessaires </w:t>
      </w:r>
      <w:r w:rsidR="00D81C76">
        <w:rPr>
          <w:rFonts w:eastAsia="Times New Roman"/>
          <w:lang w:val="fr-CA" w:eastAsia="fr-CA"/>
        </w:rPr>
        <w:t>qui permettront</w:t>
      </w:r>
      <w:r w:rsidRPr="005930C7">
        <w:rPr>
          <w:rFonts w:eastAsia="Times New Roman"/>
          <w:lang w:val="fr-CA" w:eastAsia="fr-CA"/>
        </w:rPr>
        <w:t xml:space="preserve"> aux Parties éligibles au Protocole de Nagoya d</w:t>
      </w:r>
      <w:r w:rsidR="00003783">
        <w:rPr>
          <w:rFonts w:eastAsia="Times New Roman"/>
          <w:lang w:val="fr-CA" w:eastAsia="fr-CA"/>
        </w:rPr>
        <w:t>’</w:t>
      </w:r>
      <w:r w:rsidRPr="005930C7">
        <w:rPr>
          <w:rFonts w:eastAsia="Times New Roman"/>
          <w:lang w:val="fr-CA" w:eastAsia="fr-CA"/>
        </w:rPr>
        <w:t xml:space="preserve">obtenir </w:t>
      </w:r>
      <w:r w:rsidR="00D81C76">
        <w:rPr>
          <w:rFonts w:eastAsia="Times New Roman"/>
          <w:lang w:val="fr-CA" w:eastAsia="fr-CA"/>
        </w:rPr>
        <w:t>un appui financier</w:t>
      </w:r>
      <w:r w:rsidRPr="005930C7">
        <w:rPr>
          <w:rFonts w:eastAsia="Times New Roman"/>
          <w:lang w:val="fr-CA" w:eastAsia="fr-CA"/>
        </w:rPr>
        <w:t xml:space="preserve"> du Fonds pour l</w:t>
      </w:r>
      <w:r w:rsidR="00003783">
        <w:rPr>
          <w:rFonts w:eastAsia="Times New Roman"/>
          <w:lang w:val="fr-CA" w:eastAsia="fr-CA"/>
        </w:rPr>
        <w:t>’</w:t>
      </w:r>
      <w:r w:rsidRPr="005930C7">
        <w:rPr>
          <w:rFonts w:eastAsia="Times New Roman"/>
          <w:lang w:val="fr-CA" w:eastAsia="fr-CA"/>
        </w:rPr>
        <w:t>environnement mondial</w:t>
      </w:r>
      <w:r w:rsidR="00D81C76">
        <w:rPr>
          <w:rFonts w:eastAsia="Times New Roman"/>
          <w:lang w:val="fr-CA" w:eastAsia="fr-CA"/>
        </w:rPr>
        <w:t>,</w:t>
      </w:r>
      <w:r w:rsidRPr="005930C7">
        <w:rPr>
          <w:rFonts w:eastAsia="Times New Roman"/>
          <w:lang w:val="fr-CA" w:eastAsia="fr-CA"/>
        </w:rPr>
        <w:t xml:space="preserve"> </w:t>
      </w:r>
      <w:r w:rsidR="00D81C76">
        <w:rPr>
          <w:rFonts w:eastAsia="Times New Roman"/>
          <w:lang w:val="fr-CA" w:eastAsia="fr-CA"/>
        </w:rPr>
        <w:t>pour les aider à</w:t>
      </w:r>
      <w:r w:rsidRPr="005930C7">
        <w:rPr>
          <w:rFonts w:eastAsia="Times New Roman"/>
          <w:lang w:val="fr-CA" w:eastAsia="fr-CA"/>
        </w:rPr>
        <w:t xml:space="preserve"> préparer et</w:t>
      </w:r>
      <w:r w:rsidR="00D81C76">
        <w:rPr>
          <w:rFonts w:eastAsia="Times New Roman"/>
          <w:lang w:val="fr-CA" w:eastAsia="fr-CA"/>
        </w:rPr>
        <w:t xml:space="preserve"> à</w:t>
      </w:r>
      <w:r w:rsidRPr="005930C7">
        <w:rPr>
          <w:rFonts w:eastAsia="Times New Roman"/>
          <w:lang w:val="fr-CA" w:eastAsia="fr-CA"/>
        </w:rPr>
        <w:t xml:space="preserve"> soumettre leurs premiers rapports nationaux sur la mise en œuvre du Protocole</w:t>
      </w:r>
      <w:r w:rsidR="00D81C76">
        <w:rPr>
          <w:rFonts w:eastAsia="Times New Roman"/>
          <w:lang w:val="fr-CA" w:eastAsia="fr-CA"/>
        </w:rPr>
        <w:t>.</w:t>
      </w:r>
      <w:r w:rsidR="00D81C76" w:rsidRPr="00FA48F1">
        <w:rPr>
          <w:rStyle w:val="FootnoteReference"/>
          <w:lang w:val="fr-CA"/>
        </w:rPr>
        <w:footnoteReference w:id="12"/>
      </w:r>
    </w:p>
    <w:p w:rsidR="00953936" w:rsidRPr="00FA48F1" w:rsidRDefault="00D81C76" w:rsidP="00CF7694">
      <w:pPr>
        <w:pStyle w:val="CBDNormalNumber"/>
        <w:rPr>
          <w:lang w:val="fr-CA"/>
        </w:rPr>
      </w:pPr>
      <w:r w:rsidRPr="005930C7">
        <w:rPr>
          <w:rFonts w:eastAsia="Times New Roman"/>
          <w:lang w:val="fr-CA" w:eastAsia="fr-CA"/>
        </w:rPr>
        <w:t>Un représentant du PNUE a participé à la cinquième réunion du Comité consultatif informel sur le renforcement des capacités pour la mise en œuvre du Protocole de Nagoya</w:t>
      </w:r>
      <w:r>
        <w:rPr>
          <w:rFonts w:eastAsia="Times New Roman"/>
          <w:lang w:val="fr-CA" w:eastAsia="fr-CA"/>
        </w:rPr>
        <w:t>, en juin </w:t>
      </w:r>
      <w:r w:rsidRPr="005930C7">
        <w:rPr>
          <w:rFonts w:eastAsia="Times New Roman"/>
          <w:lang w:val="fr-CA" w:eastAsia="fr-CA"/>
        </w:rPr>
        <w:t>2023</w:t>
      </w:r>
      <w:r>
        <w:rPr>
          <w:rFonts w:eastAsia="Times New Roman"/>
          <w:lang w:val="fr-CA" w:eastAsia="fr-CA"/>
        </w:rPr>
        <w:t>.</w:t>
      </w:r>
    </w:p>
    <w:p w:rsidR="00765860" w:rsidRPr="00FA48F1" w:rsidRDefault="00F63076" w:rsidP="00602B6D">
      <w:pPr>
        <w:pStyle w:val="CBDH2"/>
        <w:rPr>
          <w:lang w:val="fr-CA"/>
        </w:rPr>
      </w:pPr>
      <w:r w:rsidRPr="00FA48F1">
        <w:rPr>
          <w:lang w:val="fr-CA"/>
        </w:rPr>
        <w:t>B</w:t>
      </w:r>
      <w:r w:rsidR="00765860" w:rsidRPr="00FA48F1">
        <w:rPr>
          <w:lang w:val="fr-CA"/>
        </w:rPr>
        <w:t>.</w:t>
      </w:r>
      <w:r w:rsidR="00765860" w:rsidRPr="00FA48F1">
        <w:rPr>
          <w:lang w:val="fr-CA"/>
        </w:rPr>
        <w:tab/>
      </w:r>
      <w:r w:rsidR="00D81C76" w:rsidRPr="00D81C76">
        <w:rPr>
          <w:lang w:val="fr-CA"/>
        </w:rPr>
        <w:t xml:space="preserve">Secrétariat du Programme régional océanien </w:t>
      </w:r>
      <w:r w:rsidR="00D81C76">
        <w:rPr>
          <w:lang w:val="fr-CA"/>
        </w:rPr>
        <w:t>de</w:t>
      </w:r>
      <w:r w:rsidR="00D81C76" w:rsidRPr="00D81C76">
        <w:rPr>
          <w:lang w:val="fr-CA"/>
        </w:rPr>
        <w:t xml:space="preserve"> l</w:t>
      </w:r>
      <w:r w:rsidR="00003783">
        <w:rPr>
          <w:lang w:val="fr-CA"/>
        </w:rPr>
        <w:t>’</w:t>
      </w:r>
      <w:r w:rsidR="00D81C76" w:rsidRPr="00D81C76">
        <w:rPr>
          <w:lang w:val="fr-CA"/>
        </w:rPr>
        <w:t>environnement</w:t>
      </w:r>
    </w:p>
    <w:p w:rsidR="007146BC" w:rsidRPr="00FA48F1" w:rsidRDefault="000211C1" w:rsidP="00CF7694">
      <w:pPr>
        <w:pStyle w:val="CBDNormalNumber"/>
        <w:rPr>
          <w:lang w:val="fr-CA"/>
        </w:rPr>
      </w:pPr>
      <w:r w:rsidRPr="005930C7">
        <w:rPr>
          <w:rFonts w:eastAsia="Times New Roman"/>
          <w:lang w:val="fr-CA" w:eastAsia="fr-CA"/>
        </w:rPr>
        <w:t>Un protocole d</w:t>
      </w:r>
      <w:r w:rsidR="00003783">
        <w:rPr>
          <w:rFonts w:eastAsia="Times New Roman"/>
          <w:lang w:val="fr-CA" w:eastAsia="fr-CA"/>
        </w:rPr>
        <w:t>’</w:t>
      </w:r>
      <w:r w:rsidRPr="005930C7">
        <w:rPr>
          <w:rFonts w:eastAsia="Times New Roman"/>
          <w:lang w:val="fr-CA" w:eastAsia="fr-CA"/>
        </w:rPr>
        <w:t xml:space="preserve">accord entre le Secrétariat du Programme régional océanien </w:t>
      </w:r>
      <w:r>
        <w:rPr>
          <w:rFonts w:eastAsia="Times New Roman"/>
          <w:lang w:val="fr-CA" w:eastAsia="fr-CA"/>
        </w:rPr>
        <w:t>de</w:t>
      </w:r>
      <w:r w:rsidRPr="005930C7">
        <w:rPr>
          <w:rFonts w:eastAsia="Times New Roman"/>
          <w:lang w:val="fr-CA" w:eastAsia="fr-CA"/>
        </w:rPr>
        <w:t xml:space="preserve"> l</w:t>
      </w:r>
      <w:r w:rsidR="00003783">
        <w:rPr>
          <w:rFonts w:eastAsia="Times New Roman"/>
          <w:lang w:val="fr-CA" w:eastAsia="fr-CA"/>
        </w:rPr>
        <w:t>’</w:t>
      </w:r>
      <w:r w:rsidRPr="005930C7">
        <w:rPr>
          <w:rFonts w:eastAsia="Times New Roman"/>
          <w:lang w:val="fr-CA" w:eastAsia="fr-CA"/>
        </w:rPr>
        <w:t>environnement et le Secrétariat de la Convention a été renouvelé en marge de la quinzième réunion de la Conférence des Parties</w:t>
      </w:r>
      <w:r>
        <w:rPr>
          <w:rFonts w:eastAsia="Times New Roman"/>
          <w:lang w:val="fr-CA" w:eastAsia="fr-CA"/>
        </w:rPr>
        <w:t>, en décembre </w:t>
      </w:r>
      <w:r w:rsidRPr="005930C7">
        <w:rPr>
          <w:rFonts w:eastAsia="Times New Roman"/>
          <w:lang w:val="fr-CA" w:eastAsia="fr-CA"/>
        </w:rPr>
        <w:t>2022</w:t>
      </w:r>
      <w:r>
        <w:rPr>
          <w:rFonts w:eastAsia="Times New Roman"/>
          <w:lang w:val="fr-CA" w:eastAsia="fr-CA"/>
        </w:rPr>
        <w:t>.</w:t>
      </w:r>
    </w:p>
    <w:p w:rsidR="001E5BCE" w:rsidRPr="00FA48F1" w:rsidRDefault="00F32FE8" w:rsidP="00CF7694">
      <w:pPr>
        <w:pStyle w:val="CBDNormalNumber"/>
        <w:rPr>
          <w:lang w:val="fr-CA"/>
        </w:rPr>
      </w:pPr>
      <w:r>
        <w:rPr>
          <w:rFonts w:eastAsia="Times New Roman"/>
          <w:lang w:val="fr-CA" w:eastAsia="fr-CA"/>
        </w:rPr>
        <w:lastRenderedPageBreak/>
        <w:t>Pendant</w:t>
      </w:r>
      <w:r w:rsidR="00F62E7F" w:rsidRPr="005930C7">
        <w:rPr>
          <w:rFonts w:eastAsia="Times New Roman"/>
          <w:lang w:val="fr-CA" w:eastAsia="fr-CA"/>
        </w:rPr>
        <w:t xml:space="preserve"> la période intersessions, le Secrétariat a collaboré avec le Secrétariat du Programme régional océanien pour l</w:t>
      </w:r>
      <w:r w:rsidR="00003783">
        <w:rPr>
          <w:rFonts w:eastAsia="Times New Roman"/>
          <w:lang w:val="fr-CA" w:eastAsia="fr-CA"/>
        </w:rPr>
        <w:t>’</w:t>
      </w:r>
      <w:r w:rsidR="00F62E7F" w:rsidRPr="005930C7">
        <w:rPr>
          <w:rFonts w:eastAsia="Times New Roman"/>
          <w:lang w:val="fr-CA" w:eastAsia="fr-CA"/>
        </w:rPr>
        <w:t>environnement</w:t>
      </w:r>
      <w:r w:rsidR="00F62E7F">
        <w:rPr>
          <w:rFonts w:eastAsia="Times New Roman"/>
          <w:lang w:val="fr-CA" w:eastAsia="fr-CA"/>
        </w:rPr>
        <w:t>,</w:t>
      </w:r>
      <w:r w:rsidR="00F62E7F" w:rsidRPr="005930C7">
        <w:rPr>
          <w:rFonts w:eastAsia="Times New Roman"/>
          <w:lang w:val="fr-CA" w:eastAsia="fr-CA"/>
        </w:rPr>
        <w:t xml:space="preserve"> </w:t>
      </w:r>
      <w:r>
        <w:rPr>
          <w:rFonts w:eastAsia="Times New Roman"/>
          <w:lang w:val="fr-CA" w:eastAsia="fr-CA"/>
        </w:rPr>
        <w:t xml:space="preserve">spécifiquement </w:t>
      </w:r>
      <w:r w:rsidR="00F62E7F" w:rsidRPr="005930C7">
        <w:rPr>
          <w:rFonts w:eastAsia="Times New Roman"/>
          <w:lang w:val="fr-CA" w:eastAsia="fr-CA"/>
        </w:rPr>
        <w:t xml:space="preserve">afin de promouvoir la ratification et la conformité au Protocole </w:t>
      </w:r>
      <w:r>
        <w:rPr>
          <w:rFonts w:eastAsia="Times New Roman"/>
          <w:lang w:val="fr-CA" w:eastAsia="fr-CA"/>
        </w:rPr>
        <w:t>au sein des</w:t>
      </w:r>
      <w:r w:rsidR="00F62E7F" w:rsidRPr="005930C7">
        <w:rPr>
          <w:rFonts w:eastAsia="Times New Roman"/>
          <w:lang w:val="fr-CA" w:eastAsia="fr-CA"/>
        </w:rPr>
        <w:t xml:space="preserve"> pays du Pacifique</w:t>
      </w:r>
      <w:r w:rsidR="00F62E7F">
        <w:rPr>
          <w:rFonts w:eastAsia="Times New Roman"/>
          <w:lang w:val="fr-CA" w:eastAsia="fr-CA"/>
        </w:rPr>
        <w:t>,</w:t>
      </w:r>
      <w:r w:rsidR="00F62E7F" w:rsidRPr="005930C7">
        <w:rPr>
          <w:rFonts w:eastAsia="Times New Roman"/>
          <w:lang w:val="fr-CA" w:eastAsia="fr-CA"/>
        </w:rPr>
        <w:t xml:space="preserve"> ainsi que la publication </w:t>
      </w:r>
      <w:r w:rsidR="00F62E7F">
        <w:rPr>
          <w:rFonts w:eastAsia="Times New Roman"/>
          <w:lang w:val="fr-CA" w:eastAsia="fr-CA"/>
        </w:rPr>
        <w:t>des informations pertinentes dans</w:t>
      </w:r>
      <w:r w:rsidR="00F62E7F" w:rsidRPr="005930C7">
        <w:rPr>
          <w:rFonts w:eastAsia="Times New Roman"/>
          <w:lang w:val="fr-CA" w:eastAsia="fr-CA"/>
        </w:rPr>
        <w:t xml:space="preserve"> le Centre d</w:t>
      </w:r>
      <w:r w:rsidR="00003783">
        <w:rPr>
          <w:rFonts w:eastAsia="Times New Roman"/>
          <w:lang w:val="fr-CA" w:eastAsia="fr-CA"/>
        </w:rPr>
        <w:t>’</w:t>
      </w:r>
      <w:r w:rsidR="00F62E7F" w:rsidRPr="005930C7">
        <w:rPr>
          <w:rFonts w:eastAsia="Times New Roman"/>
          <w:lang w:val="fr-CA" w:eastAsia="fr-CA"/>
        </w:rPr>
        <w:t>échange sur l</w:t>
      </w:r>
      <w:r w:rsidR="00003783">
        <w:rPr>
          <w:rFonts w:eastAsia="Times New Roman"/>
          <w:lang w:val="fr-CA" w:eastAsia="fr-CA"/>
        </w:rPr>
        <w:t>’</w:t>
      </w:r>
      <w:r w:rsidR="00F62E7F" w:rsidRPr="005930C7">
        <w:rPr>
          <w:rFonts w:eastAsia="Times New Roman"/>
          <w:lang w:val="fr-CA" w:eastAsia="fr-CA"/>
        </w:rPr>
        <w:t>accès et le partage des avantages (</w:t>
      </w:r>
      <w:r w:rsidR="00F62E7F">
        <w:rPr>
          <w:rFonts w:eastAsia="Times New Roman"/>
          <w:lang w:val="fr-CA" w:eastAsia="fr-CA"/>
        </w:rPr>
        <w:t>Centre d</w:t>
      </w:r>
      <w:r w:rsidR="00003783">
        <w:rPr>
          <w:rFonts w:eastAsia="Times New Roman"/>
          <w:lang w:val="fr-CA" w:eastAsia="fr-CA"/>
        </w:rPr>
        <w:t>’</w:t>
      </w:r>
      <w:r w:rsidR="00F62E7F">
        <w:rPr>
          <w:rFonts w:eastAsia="Times New Roman"/>
          <w:lang w:val="fr-CA" w:eastAsia="fr-CA"/>
        </w:rPr>
        <w:t>échange sur l</w:t>
      </w:r>
      <w:r w:rsidR="00003783">
        <w:rPr>
          <w:rFonts w:eastAsia="Times New Roman"/>
          <w:lang w:val="fr-CA" w:eastAsia="fr-CA"/>
        </w:rPr>
        <w:t>’</w:t>
      </w:r>
      <w:r w:rsidR="00F62E7F">
        <w:rPr>
          <w:rFonts w:eastAsia="Times New Roman"/>
          <w:lang w:val="fr-CA" w:eastAsia="fr-CA"/>
        </w:rPr>
        <w:t>APA</w:t>
      </w:r>
      <w:r w:rsidR="00A955F0">
        <w:rPr>
          <w:rFonts w:eastAsia="Times New Roman"/>
          <w:lang w:val="fr-CA" w:eastAsia="fr-CA"/>
        </w:rPr>
        <w:t>). À cet effet</w:t>
      </w:r>
      <w:r>
        <w:rPr>
          <w:rFonts w:eastAsia="Times New Roman"/>
          <w:lang w:val="fr-CA" w:eastAsia="fr-CA"/>
        </w:rPr>
        <w:t xml:space="preserve">, les deux secrétariats </w:t>
      </w:r>
      <w:r>
        <w:rPr>
          <w:rFonts w:eastAsia="Times New Roman"/>
          <w:noProof/>
          <w:lang w:val="fr-CA" w:eastAsia="fr-CA"/>
        </w:rPr>
        <w:t>ont co</w:t>
      </w:r>
      <w:r w:rsidR="00F62E7F" w:rsidRPr="005930C7">
        <w:rPr>
          <w:rFonts w:eastAsia="Times New Roman"/>
          <w:noProof/>
          <w:lang w:val="fr-CA" w:eastAsia="fr-CA"/>
        </w:rPr>
        <w:t>organisé un</w:t>
      </w:r>
      <w:r w:rsidR="00F62E7F" w:rsidRPr="005930C7">
        <w:rPr>
          <w:rFonts w:eastAsia="Times New Roman"/>
          <w:lang w:val="fr-CA" w:eastAsia="fr-CA"/>
        </w:rPr>
        <w:t xml:space="preserve"> atelier pour les pays du Pacifique</w:t>
      </w:r>
      <w:r w:rsidR="00F62E7F">
        <w:rPr>
          <w:rFonts w:eastAsia="Times New Roman"/>
          <w:lang w:val="fr-CA" w:eastAsia="fr-CA"/>
        </w:rPr>
        <w:t>, en août </w:t>
      </w:r>
      <w:r w:rsidR="00F62E7F" w:rsidRPr="005930C7">
        <w:rPr>
          <w:rFonts w:eastAsia="Times New Roman"/>
          <w:lang w:val="fr-CA" w:eastAsia="fr-CA"/>
        </w:rPr>
        <w:t>2023</w:t>
      </w:r>
      <w:r>
        <w:rPr>
          <w:rFonts w:eastAsia="Times New Roman"/>
          <w:lang w:val="fr-CA" w:eastAsia="fr-CA"/>
        </w:rPr>
        <w:t>.</w:t>
      </w:r>
    </w:p>
    <w:p w:rsidR="00765860" w:rsidRPr="00FA48F1" w:rsidRDefault="0003672C" w:rsidP="00CF7694">
      <w:pPr>
        <w:pStyle w:val="CBDNormalNumber"/>
        <w:rPr>
          <w:lang w:val="fr-CA"/>
        </w:rPr>
      </w:pPr>
      <w:r w:rsidRPr="005930C7">
        <w:rPr>
          <w:rFonts w:eastAsia="Times New Roman"/>
          <w:lang w:val="fr-CA" w:eastAsia="fr-CA"/>
        </w:rPr>
        <w:t>Le Secrétariat de la Convention a été invité à participer à une réuni</w:t>
      </w:r>
      <w:r w:rsidR="00C23242">
        <w:rPr>
          <w:rFonts w:eastAsia="Times New Roman"/>
          <w:lang w:val="fr-CA" w:eastAsia="fr-CA"/>
        </w:rPr>
        <w:t>on préparatoire régionale, région</w:t>
      </w:r>
      <w:r w:rsidRPr="005930C7">
        <w:rPr>
          <w:rFonts w:eastAsia="Times New Roman"/>
          <w:lang w:val="fr-CA" w:eastAsia="fr-CA"/>
        </w:rPr>
        <w:t xml:space="preserve"> Pacifique</w:t>
      </w:r>
      <w:r w:rsidR="00C23242">
        <w:rPr>
          <w:rFonts w:eastAsia="Times New Roman"/>
          <w:lang w:val="fr-CA" w:eastAsia="fr-CA"/>
        </w:rPr>
        <w:t>,</w:t>
      </w:r>
      <w:r w:rsidRPr="005930C7">
        <w:rPr>
          <w:rFonts w:eastAsia="Times New Roman"/>
          <w:lang w:val="fr-CA" w:eastAsia="fr-CA"/>
        </w:rPr>
        <w:t xml:space="preserve"> pour la seizième réunion de la Conférence des Parties, organisée par le Secrétariat du Programme régional océanien pour l</w:t>
      </w:r>
      <w:r w:rsidR="00003783">
        <w:rPr>
          <w:rFonts w:eastAsia="Times New Roman"/>
          <w:lang w:val="fr-CA" w:eastAsia="fr-CA"/>
        </w:rPr>
        <w:t>’</w:t>
      </w:r>
      <w:r w:rsidRPr="005930C7">
        <w:rPr>
          <w:rFonts w:eastAsia="Times New Roman"/>
          <w:lang w:val="fr-CA" w:eastAsia="fr-CA"/>
        </w:rPr>
        <w:t>environnement en collaboration avec l</w:t>
      </w:r>
      <w:r w:rsidR="00003783">
        <w:rPr>
          <w:rFonts w:eastAsia="Times New Roman"/>
          <w:lang w:val="fr-CA" w:eastAsia="fr-CA"/>
        </w:rPr>
        <w:t>’</w:t>
      </w:r>
      <w:r w:rsidRPr="005930C7">
        <w:rPr>
          <w:rFonts w:eastAsia="Times New Roman"/>
          <w:lang w:val="fr-CA" w:eastAsia="fr-CA"/>
        </w:rPr>
        <w:t>Organisation des Nations Unies pour l</w:t>
      </w:r>
      <w:r w:rsidR="00003783">
        <w:rPr>
          <w:rFonts w:eastAsia="Times New Roman"/>
          <w:lang w:val="fr-CA" w:eastAsia="fr-CA"/>
        </w:rPr>
        <w:t>’</w:t>
      </w:r>
      <w:r w:rsidRPr="005930C7">
        <w:rPr>
          <w:rFonts w:eastAsia="Times New Roman"/>
          <w:lang w:val="fr-CA" w:eastAsia="fr-CA"/>
        </w:rPr>
        <w:t>alimentation et l</w:t>
      </w:r>
      <w:r w:rsidR="00003783">
        <w:rPr>
          <w:rFonts w:eastAsia="Times New Roman"/>
          <w:lang w:val="fr-CA" w:eastAsia="fr-CA"/>
        </w:rPr>
        <w:t>’</w:t>
      </w:r>
      <w:r w:rsidRPr="005930C7">
        <w:rPr>
          <w:rFonts w:eastAsia="Times New Roman"/>
          <w:lang w:val="fr-CA" w:eastAsia="fr-CA"/>
        </w:rPr>
        <w:t>agriculture</w:t>
      </w:r>
      <w:r>
        <w:rPr>
          <w:rFonts w:eastAsia="Times New Roman"/>
          <w:lang w:val="fr-CA" w:eastAsia="fr-CA"/>
        </w:rPr>
        <w:t>, en septembre </w:t>
      </w:r>
      <w:r w:rsidRPr="005930C7">
        <w:rPr>
          <w:rFonts w:eastAsia="Times New Roman"/>
          <w:lang w:val="fr-CA" w:eastAsia="fr-CA"/>
        </w:rPr>
        <w:t xml:space="preserve">2024. Le Secrétariat de la Convention participera virtuellement à cette réunion pour fournir des informations, notamment sur le Protocole de Nagoya </w:t>
      </w:r>
      <w:r w:rsidR="00C23242">
        <w:rPr>
          <w:rFonts w:eastAsia="Times New Roman"/>
          <w:lang w:val="fr-CA" w:eastAsia="fr-CA"/>
        </w:rPr>
        <w:t>et l</w:t>
      </w:r>
      <w:r w:rsidR="00003783">
        <w:rPr>
          <w:rFonts w:eastAsia="Times New Roman"/>
          <w:lang w:val="fr-CA" w:eastAsia="fr-CA"/>
        </w:rPr>
        <w:t>’</w:t>
      </w:r>
      <w:r w:rsidR="00E857A6">
        <w:rPr>
          <w:rFonts w:eastAsia="Times New Roman"/>
          <w:lang w:val="fr-CA" w:eastAsia="fr-CA"/>
        </w:rPr>
        <w:t>informatio</w:t>
      </w:r>
      <w:r w:rsidR="00C23242">
        <w:rPr>
          <w:rFonts w:eastAsia="Times New Roman"/>
          <w:lang w:val="fr-CA" w:eastAsia="fr-CA"/>
        </w:rPr>
        <w:t>n</w:t>
      </w:r>
      <w:r w:rsidR="00E857A6">
        <w:rPr>
          <w:rFonts w:eastAsia="Times New Roman"/>
          <w:lang w:val="fr-CA" w:eastAsia="fr-CA"/>
        </w:rPr>
        <w:t xml:space="preserve"> de séquençage numérique</w:t>
      </w:r>
      <w:r w:rsidRPr="005930C7">
        <w:rPr>
          <w:rFonts w:eastAsia="Times New Roman"/>
          <w:lang w:val="fr-CA" w:eastAsia="fr-CA"/>
        </w:rPr>
        <w:t xml:space="preserve"> sur les ressources génétiques</w:t>
      </w:r>
      <w:r w:rsidR="00E857A6">
        <w:rPr>
          <w:rFonts w:eastAsia="Times New Roman"/>
          <w:lang w:val="fr-CA" w:eastAsia="fr-CA"/>
        </w:rPr>
        <w:t>.</w:t>
      </w:r>
    </w:p>
    <w:p w:rsidR="00765860" w:rsidRPr="00FA48F1" w:rsidRDefault="00126473" w:rsidP="00602B6D">
      <w:pPr>
        <w:pStyle w:val="CBDH2"/>
        <w:rPr>
          <w:lang w:val="fr-CA"/>
        </w:rPr>
      </w:pPr>
      <w:r w:rsidRPr="00FA48F1">
        <w:rPr>
          <w:lang w:val="fr-CA"/>
        </w:rPr>
        <w:t>C</w:t>
      </w:r>
      <w:r w:rsidR="00765860" w:rsidRPr="00FA48F1">
        <w:rPr>
          <w:lang w:val="fr-CA"/>
        </w:rPr>
        <w:t>.</w:t>
      </w:r>
      <w:r w:rsidR="00765860" w:rsidRPr="00FA48F1">
        <w:rPr>
          <w:lang w:val="fr-CA"/>
        </w:rPr>
        <w:tab/>
      </w:r>
      <w:r w:rsidR="008E1910" w:rsidRPr="008E1910">
        <w:rPr>
          <w:lang w:val="fr-CA"/>
        </w:rPr>
        <w:t xml:space="preserve">Initiative pour le </w:t>
      </w:r>
      <w:r w:rsidR="008E1910">
        <w:rPr>
          <w:lang w:val="fr-CA"/>
        </w:rPr>
        <w:t>renforcement</w:t>
      </w:r>
      <w:r w:rsidR="008E1910" w:rsidRPr="008E1910">
        <w:rPr>
          <w:lang w:val="fr-CA"/>
        </w:rPr>
        <w:t xml:space="preserve"> des capacités en matière d</w:t>
      </w:r>
      <w:r w:rsidR="00003783">
        <w:rPr>
          <w:lang w:val="fr-CA"/>
        </w:rPr>
        <w:t>’</w:t>
      </w:r>
      <w:r w:rsidR="008E1910" w:rsidRPr="008E1910">
        <w:rPr>
          <w:lang w:val="fr-CA"/>
        </w:rPr>
        <w:t>accès et de partage des avantages</w:t>
      </w:r>
    </w:p>
    <w:p w:rsidR="00765860" w:rsidRPr="00FA48F1" w:rsidRDefault="00E11D7D" w:rsidP="00CF7694">
      <w:pPr>
        <w:pStyle w:val="CBDNormalNumber"/>
        <w:rPr>
          <w:lang w:val="fr-CA"/>
        </w:rPr>
      </w:pPr>
      <w:r w:rsidRPr="005930C7">
        <w:rPr>
          <w:rFonts w:eastAsia="Times New Roman"/>
          <w:lang w:val="fr-CA" w:eastAsia="fr-CA"/>
        </w:rPr>
        <w:t xml:space="preserve">Le Secrétariat de la Convention continue de </w:t>
      </w:r>
      <w:r w:rsidRPr="005930C7">
        <w:rPr>
          <w:rFonts w:eastAsia="Times New Roman"/>
          <w:noProof/>
          <w:lang w:val="fr-CA" w:eastAsia="fr-CA"/>
        </w:rPr>
        <w:t>collaborer avec l</w:t>
      </w:r>
      <w:r w:rsidR="00003783">
        <w:rPr>
          <w:rFonts w:eastAsia="Times New Roman"/>
          <w:noProof/>
          <w:lang w:val="fr-CA" w:eastAsia="fr-CA"/>
        </w:rPr>
        <w:t>’</w:t>
      </w:r>
      <w:r w:rsidRPr="005930C7">
        <w:rPr>
          <w:rFonts w:eastAsia="Times New Roman"/>
          <w:noProof/>
          <w:lang w:val="fr-CA" w:eastAsia="fr-CA"/>
        </w:rPr>
        <w:t xml:space="preserve">Initiative pour le </w:t>
      </w:r>
      <w:r>
        <w:rPr>
          <w:rFonts w:eastAsia="Times New Roman"/>
          <w:noProof/>
          <w:lang w:val="fr-CA" w:eastAsia="fr-CA"/>
        </w:rPr>
        <w:t>renforcement</w:t>
      </w:r>
      <w:r w:rsidRPr="005930C7">
        <w:rPr>
          <w:rFonts w:eastAsia="Times New Roman"/>
          <w:noProof/>
          <w:lang w:val="fr-CA" w:eastAsia="fr-CA"/>
        </w:rPr>
        <w:t xml:space="preserve"> des capacités en matière d</w:t>
      </w:r>
      <w:r w:rsidR="00003783">
        <w:rPr>
          <w:rFonts w:eastAsia="Times New Roman"/>
          <w:noProof/>
          <w:lang w:val="fr-CA" w:eastAsia="fr-CA"/>
        </w:rPr>
        <w:t>’</w:t>
      </w:r>
      <w:r w:rsidRPr="005930C7">
        <w:rPr>
          <w:rFonts w:eastAsia="Times New Roman"/>
          <w:noProof/>
          <w:lang w:val="fr-CA" w:eastAsia="fr-CA"/>
        </w:rPr>
        <w:t>accès et de partage des avantages, une initiative multi</w:t>
      </w:r>
      <w:r w:rsidR="00003783">
        <w:rPr>
          <w:rFonts w:eastAsia="Times New Roman"/>
          <w:noProof/>
          <w:lang w:val="fr-CA" w:eastAsia="fr-CA"/>
        </w:rPr>
        <w:noBreakHyphen/>
      </w:r>
      <w:r w:rsidRPr="005930C7">
        <w:rPr>
          <w:rFonts w:eastAsia="Times New Roman"/>
          <w:noProof/>
          <w:lang w:val="fr-CA" w:eastAsia="fr-CA"/>
        </w:rPr>
        <w:t xml:space="preserve">donateurs visant à améliorer les conditions </w:t>
      </w:r>
      <w:r>
        <w:rPr>
          <w:rFonts w:eastAsia="Times New Roman"/>
          <w:noProof/>
          <w:lang w:val="fr-CA" w:eastAsia="fr-CA"/>
        </w:rPr>
        <w:t>pour une collaboration</w:t>
      </w:r>
      <w:r w:rsidRPr="005930C7">
        <w:rPr>
          <w:rFonts w:eastAsia="Times New Roman"/>
          <w:noProof/>
          <w:lang w:val="fr-CA" w:eastAsia="fr-CA"/>
        </w:rPr>
        <w:t xml:space="preserve"> réussie entre les fournisseurs et les utilisateurs de ressources biologiques pour un partage juste des avantages </w:t>
      </w:r>
      <w:r>
        <w:rPr>
          <w:rFonts w:eastAsia="Times New Roman"/>
          <w:noProof/>
          <w:lang w:val="fr-CA" w:eastAsia="fr-CA"/>
        </w:rPr>
        <w:t>favorisant</w:t>
      </w:r>
      <w:r w:rsidRPr="005930C7">
        <w:rPr>
          <w:rFonts w:eastAsia="Times New Roman"/>
          <w:noProof/>
          <w:lang w:val="fr-CA" w:eastAsia="fr-CA"/>
        </w:rPr>
        <w:t xml:space="preserve"> la con</w:t>
      </w:r>
      <w:r>
        <w:rPr>
          <w:rFonts w:eastAsia="Times New Roman"/>
          <w:noProof/>
          <w:lang w:val="fr-CA" w:eastAsia="fr-CA"/>
        </w:rPr>
        <w:t xml:space="preserve">servation de la biodiversité, son </w:t>
      </w:r>
      <w:r w:rsidRPr="005930C7">
        <w:rPr>
          <w:rFonts w:eastAsia="Times New Roman"/>
          <w:noProof/>
          <w:lang w:val="fr-CA" w:eastAsia="fr-CA"/>
        </w:rPr>
        <w:t>utilisation dura</w:t>
      </w:r>
      <w:r>
        <w:rPr>
          <w:rFonts w:eastAsia="Times New Roman"/>
          <w:noProof/>
          <w:lang w:val="fr-CA" w:eastAsia="fr-CA"/>
        </w:rPr>
        <w:t>ble et l</w:t>
      </w:r>
      <w:r w:rsidRPr="005930C7">
        <w:rPr>
          <w:rFonts w:eastAsia="Times New Roman"/>
          <w:noProof/>
          <w:lang w:val="fr-CA" w:eastAsia="fr-CA"/>
        </w:rPr>
        <w:t>es moyens de subsistance locaux. L</w:t>
      </w:r>
      <w:r w:rsidR="00003783">
        <w:rPr>
          <w:rFonts w:eastAsia="Times New Roman"/>
          <w:noProof/>
          <w:lang w:val="fr-CA" w:eastAsia="fr-CA"/>
        </w:rPr>
        <w:t>’</w:t>
      </w:r>
      <w:r w:rsidRPr="005930C7">
        <w:rPr>
          <w:rFonts w:eastAsia="Times New Roman"/>
          <w:noProof/>
          <w:lang w:val="fr-CA" w:eastAsia="fr-CA"/>
        </w:rPr>
        <w:t>Initiative est un partenaire clé du Secrétariat depuis son lancement lors de la huitième</w:t>
      </w:r>
      <w:r w:rsidRPr="005930C7">
        <w:rPr>
          <w:rFonts w:eastAsia="Times New Roman"/>
          <w:lang w:val="fr-CA" w:eastAsia="fr-CA"/>
        </w:rPr>
        <w:t xml:space="preserve"> réunion de la</w:t>
      </w:r>
      <w:r>
        <w:rPr>
          <w:rFonts w:eastAsia="Times New Roman"/>
          <w:lang w:val="fr-CA" w:eastAsia="fr-CA"/>
        </w:rPr>
        <w:t xml:space="preserve"> Conférence des Parties en mars </w:t>
      </w:r>
      <w:r w:rsidRPr="005930C7">
        <w:rPr>
          <w:rFonts w:eastAsia="Times New Roman"/>
          <w:lang w:val="fr-CA" w:eastAsia="fr-CA"/>
        </w:rPr>
        <w:t xml:space="preserve">2006, et cette </w:t>
      </w:r>
      <w:r>
        <w:rPr>
          <w:rFonts w:eastAsia="Times New Roman"/>
          <w:lang w:val="fr-CA" w:eastAsia="fr-CA"/>
        </w:rPr>
        <w:t>collaboration</w:t>
      </w:r>
      <w:r w:rsidRPr="005930C7">
        <w:rPr>
          <w:rFonts w:eastAsia="Times New Roman"/>
          <w:lang w:val="fr-CA" w:eastAsia="fr-CA"/>
        </w:rPr>
        <w:t xml:space="preserve"> a été réaffirmée par un accord de mise en œuvre reno</w:t>
      </w:r>
      <w:r>
        <w:rPr>
          <w:rFonts w:eastAsia="Times New Roman"/>
          <w:lang w:val="fr-CA" w:eastAsia="fr-CA"/>
        </w:rPr>
        <w:t>uvelé en mars </w:t>
      </w:r>
      <w:r w:rsidRPr="005930C7">
        <w:rPr>
          <w:rFonts w:eastAsia="Times New Roman"/>
          <w:lang w:val="fr-CA" w:eastAsia="fr-CA"/>
        </w:rPr>
        <w:t>202</w:t>
      </w:r>
      <w:r>
        <w:rPr>
          <w:rFonts w:eastAsia="Times New Roman"/>
          <w:lang w:val="fr-CA" w:eastAsia="fr-CA"/>
        </w:rPr>
        <w:t>4, et se poursuivant jusqu</w:t>
      </w:r>
      <w:r w:rsidR="00003783">
        <w:rPr>
          <w:rFonts w:eastAsia="Times New Roman"/>
          <w:lang w:val="fr-CA" w:eastAsia="fr-CA"/>
        </w:rPr>
        <w:t>’</w:t>
      </w:r>
      <w:r>
        <w:rPr>
          <w:rFonts w:eastAsia="Times New Roman"/>
          <w:lang w:val="fr-CA" w:eastAsia="fr-CA"/>
        </w:rPr>
        <w:t>en août </w:t>
      </w:r>
      <w:r w:rsidRPr="005930C7">
        <w:rPr>
          <w:rFonts w:eastAsia="Times New Roman"/>
          <w:lang w:val="fr-CA" w:eastAsia="fr-CA"/>
        </w:rPr>
        <w:t>2025</w:t>
      </w:r>
      <w:r>
        <w:rPr>
          <w:rFonts w:eastAsia="Times New Roman"/>
          <w:lang w:val="fr-CA" w:eastAsia="fr-CA"/>
        </w:rPr>
        <w:t>. Le Secrétariat est membre du Comité directeur de l</w:t>
      </w:r>
      <w:r w:rsidR="00003783">
        <w:rPr>
          <w:rFonts w:eastAsia="Times New Roman"/>
          <w:lang w:val="fr-CA" w:eastAsia="fr-CA"/>
        </w:rPr>
        <w:t>’</w:t>
      </w:r>
      <w:r w:rsidR="004A7090">
        <w:rPr>
          <w:rFonts w:eastAsia="Times New Roman"/>
          <w:lang w:val="fr-CA" w:eastAsia="fr-CA"/>
        </w:rPr>
        <w:t>I</w:t>
      </w:r>
      <w:r>
        <w:rPr>
          <w:rFonts w:eastAsia="Times New Roman"/>
          <w:lang w:val="fr-CA" w:eastAsia="fr-CA"/>
        </w:rPr>
        <w:t>nitia</w:t>
      </w:r>
      <w:r w:rsidR="004A7090">
        <w:rPr>
          <w:rFonts w:eastAsia="Times New Roman"/>
          <w:lang w:val="fr-CA" w:eastAsia="fr-CA"/>
        </w:rPr>
        <w:t>tive pour le renforcement des capacités en matière d</w:t>
      </w:r>
      <w:r w:rsidR="00003783">
        <w:rPr>
          <w:rFonts w:eastAsia="Times New Roman"/>
          <w:lang w:val="fr-CA" w:eastAsia="fr-CA"/>
        </w:rPr>
        <w:t>’</w:t>
      </w:r>
      <w:r w:rsidR="004A7090">
        <w:rPr>
          <w:rFonts w:eastAsia="Times New Roman"/>
          <w:lang w:val="fr-CA" w:eastAsia="fr-CA"/>
        </w:rPr>
        <w:t>accès et de partage des avantages et prend régulièrement part à des échanges d</w:t>
      </w:r>
      <w:r w:rsidR="00003783">
        <w:rPr>
          <w:rFonts w:eastAsia="Times New Roman"/>
          <w:lang w:val="fr-CA" w:eastAsia="fr-CA"/>
        </w:rPr>
        <w:t>’</w:t>
      </w:r>
      <w:r w:rsidR="004A7090">
        <w:rPr>
          <w:rFonts w:eastAsia="Times New Roman"/>
          <w:lang w:val="fr-CA" w:eastAsia="fr-CA"/>
        </w:rPr>
        <w:t>informations avec l</w:t>
      </w:r>
      <w:r w:rsidR="00003783">
        <w:rPr>
          <w:rFonts w:eastAsia="Times New Roman"/>
          <w:lang w:val="fr-CA" w:eastAsia="fr-CA"/>
        </w:rPr>
        <w:t>’</w:t>
      </w:r>
      <w:r w:rsidR="004A7090">
        <w:rPr>
          <w:rFonts w:eastAsia="Times New Roman"/>
          <w:lang w:val="fr-CA" w:eastAsia="fr-CA"/>
        </w:rPr>
        <w:t>Initiative dans les domaines concernés.</w:t>
      </w:r>
    </w:p>
    <w:p w:rsidR="002A0CA9" w:rsidRPr="00FA48F1" w:rsidRDefault="005655B1" w:rsidP="00CF7694">
      <w:pPr>
        <w:pStyle w:val="CBDNormalNumber"/>
        <w:rPr>
          <w:lang w:val="fr-CA"/>
        </w:rPr>
      </w:pPr>
      <w:r w:rsidRPr="005930C7">
        <w:rPr>
          <w:rFonts w:eastAsia="Times New Roman"/>
          <w:lang w:val="fr-CA" w:eastAsia="fr-CA"/>
        </w:rPr>
        <w:t>Pendant la période intersessions, le Secrétariat a participé et contribué à divers événements organisés par l</w:t>
      </w:r>
      <w:r w:rsidR="00003783">
        <w:rPr>
          <w:rFonts w:eastAsia="Times New Roman"/>
          <w:lang w:val="fr-CA" w:eastAsia="fr-CA"/>
        </w:rPr>
        <w:t>’</w:t>
      </w:r>
      <w:r w:rsidRPr="005930C7">
        <w:rPr>
          <w:rFonts w:eastAsia="Times New Roman"/>
          <w:lang w:val="fr-CA" w:eastAsia="fr-CA"/>
        </w:rPr>
        <w:t>Initiative, tels que des retraites informelles centrées sur le mécanisme multilatéral de partage des avantage</w:t>
      </w:r>
      <w:r>
        <w:rPr>
          <w:rFonts w:eastAsia="Times New Roman"/>
          <w:lang w:val="fr-CA" w:eastAsia="fr-CA"/>
        </w:rPr>
        <w:t>s découlant de l</w:t>
      </w:r>
      <w:r w:rsidR="00003783">
        <w:rPr>
          <w:rFonts w:eastAsia="Times New Roman"/>
          <w:lang w:val="fr-CA" w:eastAsia="fr-CA"/>
        </w:rPr>
        <w:t>’</w:t>
      </w:r>
      <w:r>
        <w:rPr>
          <w:rFonts w:eastAsia="Times New Roman"/>
          <w:lang w:val="fr-CA" w:eastAsia="fr-CA"/>
        </w:rPr>
        <w:t>utilisation de</w:t>
      </w:r>
      <w:r w:rsidRPr="005930C7">
        <w:rPr>
          <w:rFonts w:eastAsia="Times New Roman"/>
          <w:lang w:val="fr-CA" w:eastAsia="fr-CA"/>
        </w:rPr>
        <w:t xml:space="preserve"> </w:t>
      </w:r>
      <w:r>
        <w:rPr>
          <w:rFonts w:eastAsia="Times New Roman"/>
          <w:lang w:val="fr-CA" w:eastAsia="fr-CA"/>
        </w:rPr>
        <w:t>l</w:t>
      </w:r>
      <w:r w:rsidR="00003783">
        <w:rPr>
          <w:rFonts w:eastAsia="Times New Roman"/>
          <w:lang w:val="fr-CA" w:eastAsia="fr-CA"/>
        </w:rPr>
        <w:t>’</w:t>
      </w:r>
      <w:r>
        <w:rPr>
          <w:rFonts w:eastAsia="Times New Roman"/>
          <w:lang w:val="fr-CA" w:eastAsia="fr-CA"/>
        </w:rPr>
        <w:t>information</w:t>
      </w:r>
      <w:r w:rsidRPr="005930C7">
        <w:rPr>
          <w:rFonts w:eastAsia="Times New Roman"/>
          <w:lang w:val="fr-CA" w:eastAsia="fr-CA"/>
        </w:rPr>
        <w:t xml:space="preserve"> de </w:t>
      </w:r>
      <w:r>
        <w:rPr>
          <w:rFonts w:eastAsia="Times New Roman"/>
          <w:lang w:val="fr-CA" w:eastAsia="fr-CA"/>
        </w:rPr>
        <w:t xml:space="preserve">séquençage numérique, en octobre 2023 et </w:t>
      </w:r>
      <w:r w:rsidR="00802735">
        <w:rPr>
          <w:rFonts w:eastAsia="Times New Roman"/>
          <w:lang w:val="fr-CA" w:eastAsia="fr-CA"/>
        </w:rPr>
        <w:t xml:space="preserve">en </w:t>
      </w:r>
      <w:r>
        <w:rPr>
          <w:rFonts w:eastAsia="Times New Roman"/>
          <w:lang w:val="fr-CA" w:eastAsia="fr-CA"/>
        </w:rPr>
        <w:t>septembre </w:t>
      </w:r>
      <w:r w:rsidRPr="005930C7">
        <w:rPr>
          <w:rFonts w:eastAsia="Times New Roman"/>
          <w:lang w:val="fr-CA" w:eastAsia="fr-CA"/>
        </w:rPr>
        <w:t>2024, ainsi qu</w:t>
      </w:r>
      <w:r w:rsidR="00003783">
        <w:rPr>
          <w:rFonts w:eastAsia="Times New Roman"/>
          <w:lang w:val="fr-CA" w:eastAsia="fr-CA"/>
        </w:rPr>
        <w:t>’</w:t>
      </w:r>
      <w:r w:rsidRPr="005930C7">
        <w:rPr>
          <w:rFonts w:eastAsia="Times New Roman"/>
          <w:lang w:val="fr-CA" w:eastAsia="fr-CA"/>
        </w:rPr>
        <w:t>à un échange mo</w:t>
      </w:r>
      <w:r>
        <w:rPr>
          <w:rFonts w:eastAsia="Times New Roman"/>
          <w:lang w:val="fr-CA" w:eastAsia="fr-CA"/>
        </w:rPr>
        <w:t xml:space="preserve">ndial </w:t>
      </w:r>
      <w:r w:rsidR="00033434">
        <w:rPr>
          <w:rFonts w:eastAsia="Times New Roman"/>
          <w:lang w:val="fr-CA" w:eastAsia="fr-CA"/>
        </w:rPr>
        <w:t>entre</w:t>
      </w:r>
      <w:r>
        <w:rPr>
          <w:rFonts w:eastAsia="Times New Roman"/>
          <w:lang w:val="fr-CA" w:eastAsia="fr-CA"/>
        </w:rPr>
        <w:t xml:space="preserve"> les utilisateurs de</w:t>
      </w:r>
      <w:r w:rsidRPr="005930C7">
        <w:rPr>
          <w:rFonts w:eastAsia="Times New Roman"/>
          <w:lang w:val="fr-CA" w:eastAsia="fr-CA"/>
        </w:rPr>
        <w:t xml:space="preserve"> </w:t>
      </w:r>
      <w:r>
        <w:rPr>
          <w:rFonts w:eastAsia="Times New Roman"/>
          <w:lang w:val="fr-CA" w:eastAsia="fr-CA"/>
        </w:rPr>
        <w:t>l</w:t>
      </w:r>
      <w:r w:rsidR="00003783">
        <w:rPr>
          <w:rFonts w:eastAsia="Times New Roman"/>
          <w:lang w:val="fr-CA" w:eastAsia="fr-CA"/>
        </w:rPr>
        <w:t>’</w:t>
      </w:r>
      <w:r>
        <w:rPr>
          <w:rFonts w:eastAsia="Times New Roman"/>
          <w:lang w:val="fr-CA" w:eastAsia="fr-CA"/>
        </w:rPr>
        <w:t>information de séquençage numérique</w:t>
      </w:r>
      <w:r w:rsidRPr="005930C7">
        <w:rPr>
          <w:rFonts w:eastAsia="Times New Roman"/>
          <w:lang w:val="fr-CA" w:eastAsia="fr-CA"/>
        </w:rPr>
        <w:t xml:space="preserve"> sur les ressources génétiques et les régulateurs</w:t>
      </w:r>
      <w:r>
        <w:rPr>
          <w:rFonts w:eastAsia="Times New Roman"/>
          <w:lang w:val="fr-CA" w:eastAsia="fr-CA"/>
        </w:rPr>
        <w:t>, en septembre </w:t>
      </w:r>
      <w:r w:rsidRPr="005930C7">
        <w:rPr>
          <w:rFonts w:eastAsia="Times New Roman"/>
          <w:lang w:val="fr-CA" w:eastAsia="fr-CA"/>
        </w:rPr>
        <w:t xml:space="preserve">2024. </w:t>
      </w:r>
      <w:r w:rsidR="0024586A">
        <w:rPr>
          <w:rFonts w:eastAsia="Times New Roman"/>
          <w:lang w:val="fr-CA" w:eastAsia="fr-CA"/>
        </w:rPr>
        <w:t>Par ailleurs</w:t>
      </w:r>
      <w:r w:rsidRPr="005930C7">
        <w:rPr>
          <w:rFonts w:eastAsia="Times New Roman"/>
          <w:lang w:val="fr-CA" w:eastAsia="fr-CA"/>
        </w:rPr>
        <w:t>, l</w:t>
      </w:r>
      <w:r w:rsidR="00003783">
        <w:rPr>
          <w:rFonts w:eastAsia="Times New Roman"/>
          <w:lang w:val="fr-CA" w:eastAsia="fr-CA"/>
        </w:rPr>
        <w:t>’</w:t>
      </w:r>
      <w:r w:rsidRPr="005930C7">
        <w:rPr>
          <w:rFonts w:eastAsia="Times New Roman"/>
          <w:lang w:val="fr-CA" w:eastAsia="fr-CA"/>
        </w:rPr>
        <w:t>Initiative est partenaire de l</w:t>
      </w:r>
      <w:r w:rsidR="00003783">
        <w:rPr>
          <w:rFonts w:eastAsia="Times New Roman"/>
          <w:lang w:val="fr-CA" w:eastAsia="fr-CA"/>
        </w:rPr>
        <w:t>’</w:t>
      </w:r>
      <w:r w:rsidRPr="005930C7">
        <w:rPr>
          <w:rFonts w:eastAsia="Times New Roman"/>
          <w:lang w:val="fr-CA" w:eastAsia="fr-CA"/>
        </w:rPr>
        <w:t>organisation de l</w:t>
      </w:r>
      <w:r w:rsidR="00003783">
        <w:rPr>
          <w:rFonts w:eastAsia="Times New Roman"/>
          <w:lang w:val="fr-CA" w:eastAsia="fr-CA"/>
        </w:rPr>
        <w:t>’</w:t>
      </w:r>
      <w:r w:rsidRPr="005930C7">
        <w:rPr>
          <w:rFonts w:eastAsia="Times New Roman"/>
          <w:lang w:val="fr-CA" w:eastAsia="fr-CA"/>
        </w:rPr>
        <w:t xml:space="preserve">atelier mondial de renforcement des capacités </w:t>
      </w:r>
      <w:r w:rsidR="0024586A">
        <w:rPr>
          <w:rFonts w:eastAsia="Times New Roman"/>
          <w:lang w:val="fr-CA" w:eastAsia="fr-CA"/>
        </w:rPr>
        <w:t>en matière d</w:t>
      </w:r>
      <w:r w:rsidR="00003783">
        <w:rPr>
          <w:rFonts w:eastAsia="Times New Roman"/>
          <w:lang w:val="fr-CA" w:eastAsia="fr-CA"/>
        </w:rPr>
        <w:t>’</w:t>
      </w:r>
      <w:r w:rsidRPr="005930C7">
        <w:rPr>
          <w:rFonts w:eastAsia="Times New Roman"/>
          <w:lang w:val="fr-CA" w:eastAsia="fr-CA"/>
        </w:rPr>
        <w:t>opérationnalisation des cadres d</w:t>
      </w:r>
      <w:r w:rsidR="00003783">
        <w:rPr>
          <w:rFonts w:eastAsia="Times New Roman"/>
          <w:lang w:val="fr-CA" w:eastAsia="fr-CA"/>
        </w:rPr>
        <w:t>’</w:t>
      </w:r>
      <w:r w:rsidRPr="005930C7">
        <w:rPr>
          <w:rFonts w:eastAsia="Times New Roman"/>
          <w:lang w:val="fr-CA" w:eastAsia="fr-CA"/>
        </w:rPr>
        <w:t xml:space="preserve">accès et de partage des </w:t>
      </w:r>
      <w:r w:rsidR="0024586A">
        <w:rPr>
          <w:rFonts w:eastAsia="Times New Roman"/>
          <w:lang w:val="fr-CA" w:eastAsia="fr-CA"/>
        </w:rPr>
        <w:t>avantages, qui se tiendra du 30 septembre au 3 </w:t>
      </w:r>
      <w:r w:rsidRPr="005930C7">
        <w:rPr>
          <w:rFonts w:eastAsia="Times New Roman"/>
          <w:lang w:val="fr-CA" w:eastAsia="fr-CA"/>
        </w:rPr>
        <w:t>octobre</w:t>
      </w:r>
      <w:r w:rsidR="0024586A">
        <w:rPr>
          <w:rFonts w:eastAsia="Times New Roman"/>
          <w:lang w:val="fr-CA" w:eastAsia="fr-CA"/>
        </w:rPr>
        <w:t>,</w:t>
      </w:r>
      <w:r w:rsidRPr="005930C7">
        <w:rPr>
          <w:rFonts w:eastAsia="Times New Roman"/>
          <w:lang w:val="fr-CA" w:eastAsia="fr-CA"/>
        </w:rPr>
        <w:t xml:space="preserve"> à Bonn</w:t>
      </w:r>
      <w:r w:rsidR="0024586A">
        <w:rPr>
          <w:rFonts w:eastAsia="Times New Roman"/>
          <w:lang w:val="fr-CA" w:eastAsia="fr-CA"/>
        </w:rPr>
        <w:t xml:space="preserve"> (Allemagne),</w:t>
      </w:r>
      <w:r w:rsidR="0024586A" w:rsidRPr="005930C7">
        <w:rPr>
          <w:rFonts w:eastAsia="Times New Roman"/>
          <w:lang w:val="fr-CA" w:eastAsia="fr-CA"/>
        </w:rPr>
        <w:t xml:space="preserve"> </w:t>
      </w:r>
      <w:r w:rsidR="0024586A">
        <w:rPr>
          <w:rFonts w:eastAsia="Times New Roman"/>
          <w:lang w:val="fr-CA" w:eastAsia="fr-CA"/>
        </w:rPr>
        <w:t>qui comprend l</w:t>
      </w:r>
      <w:r w:rsidR="00003783">
        <w:rPr>
          <w:rFonts w:eastAsia="Times New Roman"/>
          <w:lang w:val="fr-CA" w:eastAsia="fr-CA"/>
        </w:rPr>
        <w:t>’</w:t>
      </w:r>
      <w:r w:rsidR="0024586A">
        <w:rPr>
          <w:rFonts w:eastAsia="Times New Roman"/>
          <w:lang w:val="fr-CA" w:eastAsia="fr-CA"/>
        </w:rPr>
        <w:t>apport</w:t>
      </w:r>
      <w:r w:rsidR="0024586A" w:rsidRPr="005930C7">
        <w:rPr>
          <w:rFonts w:eastAsia="Times New Roman"/>
          <w:lang w:val="fr-CA" w:eastAsia="fr-CA"/>
        </w:rPr>
        <w:t xml:space="preserve"> </w:t>
      </w:r>
      <w:r w:rsidR="0024586A">
        <w:rPr>
          <w:rFonts w:eastAsia="Times New Roman"/>
          <w:lang w:val="fr-CA" w:eastAsia="fr-CA"/>
        </w:rPr>
        <w:t>d</w:t>
      </w:r>
      <w:r w:rsidR="00003783">
        <w:rPr>
          <w:rFonts w:eastAsia="Times New Roman"/>
          <w:lang w:val="fr-CA" w:eastAsia="fr-CA"/>
        </w:rPr>
        <w:t>’</w:t>
      </w:r>
      <w:r w:rsidR="0024586A">
        <w:rPr>
          <w:rFonts w:eastAsia="Times New Roman"/>
          <w:lang w:val="fr-CA" w:eastAsia="fr-CA"/>
        </w:rPr>
        <w:t xml:space="preserve">un soutien financier pour </w:t>
      </w:r>
      <w:r w:rsidR="00033434">
        <w:rPr>
          <w:rFonts w:eastAsia="Times New Roman"/>
          <w:lang w:val="fr-CA" w:eastAsia="fr-CA"/>
        </w:rPr>
        <w:t xml:space="preserve">appuyer </w:t>
      </w:r>
      <w:r w:rsidR="0024586A" w:rsidRPr="005930C7">
        <w:rPr>
          <w:rFonts w:eastAsia="Times New Roman"/>
          <w:lang w:val="fr-CA" w:eastAsia="fr-CA"/>
        </w:rPr>
        <w:t xml:space="preserve">la </w:t>
      </w:r>
      <w:r w:rsidR="00033434">
        <w:rPr>
          <w:rFonts w:eastAsia="Times New Roman"/>
          <w:lang w:val="fr-CA" w:eastAsia="fr-CA"/>
        </w:rPr>
        <w:t>présence</w:t>
      </w:r>
      <w:r w:rsidR="0024586A" w:rsidRPr="005930C7">
        <w:rPr>
          <w:rFonts w:eastAsia="Times New Roman"/>
          <w:lang w:val="fr-CA" w:eastAsia="fr-CA"/>
        </w:rPr>
        <w:t xml:space="preserve"> de certains participants</w:t>
      </w:r>
      <w:r w:rsidR="00033434">
        <w:rPr>
          <w:rFonts w:eastAsia="Times New Roman"/>
          <w:lang w:val="fr-CA" w:eastAsia="fr-CA"/>
        </w:rPr>
        <w:t>.</w:t>
      </w:r>
      <w:r w:rsidR="00033434" w:rsidRPr="00FA48F1">
        <w:rPr>
          <w:rStyle w:val="FootnoteReference"/>
          <w:lang w:val="fr-CA"/>
        </w:rPr>
        <w:footnoteReference w:id="13"/>
      </w:r>
    </w:p>
    <w:p w:rsidR="00830AC0" w:rsidRPr="00FA48F1" w:rsidRDefault="008934BE" w:rsidP="00CF7694">
      <w:pPr>
        <w:pStyle w:val="CBDNormalNumber"/>
        <w:rPr>
          <w:lang w:val="fr-CA"/>
        </w:rPr>
      </w:pPr>
      <w:r w:rsidRPr="005930C7">
        <w:rPr>
          <w:rFonts w:eastAsia="Times New Roman"/>
          <w:lang w:val="fr-CA" w:eastAsia="fr-CA"/>
        </w:rPr>
        <w:t>L</w:t>
      </w:r>
      <w:r w:rsidR="00003783">
        <w:rPr>
          <w:rFonts w:eastAsia="Times New Roman"/>
          <w:lang w:val="fr-CA" w:eastAsia="fr-CA"/>
        </w:rPr>
        <w:t>’</w:t>
      </w:r>
      <w:r w:rsidRPr="005930C7">
        <w:rPr>
          <w:rFonts w:eastAsia="Times New Roman"/>
          <w:lang w:val="fr-CA" w:eastAsia="fr-CA"/>
        </w:rPr>
        <w:t>Initiative a participé à la cinquième réunion du comité consultatif informel sur le renforcement des capacités pour la mise en œuvre du Protocole de Nagoya et au travail intersessions visant à élaborer le projet de plan d</w:t>
      </w:r>
      <w:r w:rsidR="00003783">
        <w:rPr>
          <w:rFonts w:eastAsia="Times New Roman"/>
          <w:lang w:val="fr-CA" w:eastAsia="fr-CA"/>
        </w:rPr>
        <w:t>’</w:t>
      </w:r>
      <w:r w:rsidRPr="005930C7">
        <w:rPr>
          <w:rFonts w:eastAsia="Times New Roman"/>
          <w:lang w:val="fr-CA" w:eastAsia="fr-CA"/>
        </w:rPr>
        <w:t>action pour le renforcement des capacités pour le Protocole</w:t>
      </w:r>
      <w:r>
        <w:rPr>
          <w:lang w:val="fr-CA"/>
        </w:rPr>
        <w:t>.</w:t>
      </w:r>
    </w:p>
    <w:p w:rsidR="00765860" w:rsidRPr="00FA48F1" w:rsidRDefault="00126473" w:rsidP="00602B6D">
      <w:pPr>
        <w:pStyle w:val="CBDH2"/>
        <w:rPr>
          <w:lang w:val="fr-CA"/>
        </w:rPr>
      </w:pPr>
      <w:r w:rsidRPr="00FA48F1">
        <w:rPr>
          <w:lang w:val="fr-CA"/>
        </w:rPr>
        <w:t>D</w:t>
      </w:r>
      <w:r w:rsidR="00765860" w:rsidRPr="00FA48F1">
        <w:rPr>
          <w:lang w:val="fr-CA"/>
        </w:rPr>
        <w:t>.</w:t>
      </w:r>
      <w:r w:rsidR="00765860" w:rsidRPr="00FA48F1">
        <w:rPr>
          <w:lang w:val="fr-CA"/>
        </w:rPr>
        <w:tab/>
      </w:r>
      <w:r w:rsidR="008934BE" w:rsidRPr="008934BE">
        <w:rPr>
          <w:rFonts w:eastAsia="Times New Roman"/>
          <w:szCs w:val="24"/>
          <w:lang w:val="fr-CA" w:eastAsia="fr-CA"/>
        </w:rPr>
        <w:t>Institut Leibniz DSMZ</w:t>
      </w:r>
    </w:p>
    <w:p w:rsidR="00CD2E14" w:rsidRPr="00FA48F1" w:rsidRDefault="00753372" w:rsidP="00CF7694">
      <w:pPr>
        <w:pStyle w:val="CBDNormalNumber"/>
        <w:rPr>
          <w:noProof/>
          <w:lang w:val="fr-CA"/>
        </w:rPr>
      </w:pPr>
      <w:r>
        <w:rPr>
          <w:rFonts w:eastAsia="Times New Roman"/>
          <w:lang w:val="fr-CA" w:eastAsia="fr-CA"/>
        </w:rPr>
        <w:t xml:space="preserve">Au cours de </w:t>
      </w:r>
      <w:r w:rsidRPr="005930C7">
        <w:rPr>
          <w:rFonts w:eastAsia="Times New Roman"/>
          <w:lang w:val="fr-CA" w:eastAsia="fr-CA"/>
        </w:rPr>
        <w:t xml:space="preserve">la période intersessions, le Secrétariat a étroitement collaboré avec </w:t>
      </w:r>
      <w:r w:rsidR="00F0627F" w:rsidRPr="005930C7">
        <w:rPr>
          <w:rFonts w:eastAsia="Times New Roman"/>
          <w:lang w:val="fr-CA" w:eastAsia="fr-CA"/>
        </w:rPr>
        <w:t>l</w:t>
      </w:r>
      <w:r w:rsidR="00003783">
        <w:rPr>
          <w:rFonts w:eastAsia="Times New Roman"/>
          <w:lang w:val="fr-CA" w:eastAsia="fr-CA"/>
        </w:rPr>
        <w:t>’</w:t>
      </w:r>
      <w:r w:rsidR="00F0627F" w:rsidRPr="005930C7">
        <w:rPr>
          <w:rFonts w:eastAsia="Times New Roman"/>
          <w:lang w:val="fr-CA" w:eastAsia="fr-CA"/>
        </w:rPr>
        <w:t>Institut Leibniz DSMZ</w:t>
      </w:r>
      <w:r w:rsidR="00F0627F">
        <w:rPr>
          <w:rFonts w:eastAsia="Times New Roman"/>
          <w:lang w:val="fr-CA" w:eastAsia="fr-CA"/>
        </w:rPr>
        <w:t>, en particulier</w:t>
      </w:r>
      <w:r w:rsidR="00F0627F" w:rsidRPr="005930C7">
        <w:rPr>
          <w:rFonts w:eastAsia="Times New Roman"/>
          <w:lang w:val="fr-CA" w:eastAsia="fr-CA"/>
        </w:rPr>
        <w:t xml:space="preserve"> </w:t>
      </w:r>
      <w:r w:rsidR="00F0627F">
        <w:rPr>
          <w:rFonts w:eastAsia="Times New Roman"/>
          <w:lang w:val="fr-CA" w:eastAsia="fr-CA"/>
        </w:rPr>
        <w:t>s</w:t>
      </w:r>
      <w:r>
        <w:rPr>
          <w:rFonts w:eastAsia="Times New Roman"/>
          <w:lang w:val="fr-CA" w:eastAsia="fr-CA"/>
        </w:rPr>
        <w:t>a Collection allemande de micro</w:t>
      </w:r>
      <w:r w:rsidRPr="005930C7">
        <w:rPr>
          <w:rFonts w:eastAsia="Times New Roman"/>
          <w:lang w:val="fr-CA" w:eastAsia="fr-CA"/>
        </w:rPr>
        <w:t>organismes et de cultures cellulaires</w:t>
      </w:r>
      <w:r w:rsidR="00746267">
        <w:rPr>
          <w:rFonts w:eastAsia="Times New Roman"/>
          <w:lang w:val="fr-CA" w:eastAsia="fr-CA"/>
        </w:rPr>
        <w:t>,</w:t>
      </w:r>
      <w:r w:rsidRPr="005930C7">
        <w:rPr>
          <w:rFonts w:eastAsia="Times New Roman"/>
          <w:lang w:val="fr-CA" w:eastAsia="fr-CA"/>
        </w:rPr>
        <w:t xml:space="preserve"> dans différents domaines de </w:t>
      </w:r>
      <w:r w:rsidRPr="005930C7">
        <w:rPr>
          <w:rFonts w:eastAsia="Times New Roman"/>
          <w:noProof/>
          <w:lang w:val="fr-CA" w:eastAsia="fr-CA"/>
        </w:rPr>
        <w:t>travail liés à l</w:t>
      </w:r>
      <w:r w:rsidR="00003783">
        <w:rPr>
          <w:rFonts w:eastAsia="Times New Roman"/>
          <w:noProof/>
          <w:lang w:val="fr-CA" w:eastAsia="fr-CA"/>
        </w:rPr>
        <w:t>’</w:t>
      </w:r>
      <w:r w:rsidRPr="005930C7">
        <w:rPr>
          <w:rFonts w:eastAsia="Times New Roman"/>
          <w:noProof/>
          <w:lang w:val="fr-CA" w:eastAsia="fr-CA"/>
        </w:rPr>
        <w:t>accès et au partage des avantages. L</w:t>
      </w:r>
      <w:r w:rsidR="00003783">
        <w:rPr>
          <w:rFonts w:eastAsia="Times New Roman"/>
          <w:noProof/>
          <w:lang w:val="fr-CA" w:eastAsia="fr-CA"/>
        </w:rPr>
        <w:t>’</w:t>
      </w:r>
      <w:r w:rsidRPr="005930C7">
        <w:rPr>
          <w:rFonts w:eastAsia="Times New Roman"/>
          <w:noProof/>
          <w:lang w:val="fr-CA" w:eastAsia="fr-CA"/>
        </w:rPr>
        <w:t xml:space="preserve">Institut Leibniz </w:t>
      </w:r>
      <w:r>
        <w:rPr>
          <w:rFonts w:eastAsia="Times New Roman"/>
          <w:noProof/>
          <w:lang w:val="fr-CA" w:eastAsia="fr-CA"/>
        </w:rPr>
        <w:t>DSMZ dirige et gère le projet « </w:t>
      </w:r>
      <w:r w:rsidRPr="00753372">
        <w:rPr>
          <w:rFonts w:eastAsia="Times New Roman"/>
          <w:i/>
          <w:noProof/>
          <w:lang w:val="fr-CA" w:eastAsia="fr-CA"/>
        </w:rPr>
        <w:t>German Nagoya Protocol Hu</w:t>
      </w:r>
      <w:r>
        <w:rPr>
          <w:rFonts w:eastAsia="Times New Roman"/>
          <w:i/>
          <w:noProof/>
          <w:lang w:val="fr-CA" w:eastAsia="fr-CA"/>
        </w:rPr>
        <w:t>B</w:t>
      </w:r>
      <w:r>
        <w:rPr>
          <w:rFonts w:eastAsia="Times New Roman"/>
          <w:noProof/>
          <w:lang w:val="fr-CA" w:eastAsia="fr-CA"/>
        </w:rPr>
        <w:t> »</w:t>
      </w:r>
      <w:r w:rsidRPr="005930C7">
        <w:rPr>
          <w:rFonts w:eastAsia="Times New Roman"/>
          <w:noProof/>
          <w:lang w:val="fr-CA" w:eastAsia="fr-CA"/>
        </w:rPr>
        <w:t>, qui vise à aider les chercheurs universitaires en Allemagne à comprendre la conformité au Protocole de Nagoya</w:t>
      </w:r>
      <w:r>
        <w:rPr>
          <w:rFonts w:eastAsia="Times New Roman"/>
          <w:noProof/>
          <w:lang w:val="fr-CA" w:eastAsia="fr-CA"/>
        </w:rPr>
        <w:t>.</w:t>
      </w:r>
    </w:p>
    <w:p w:rsidR="00A11DB5" w:rsidRPr="00FA48F1" w:rsidRDefault="00142A5C" w:rsidP="00CF7694">
      <w:pPr>
        <w:pStyle w:val="CBDNormalNumber"/>
        <w:rPr>
          <w:lang w:val="fr-CA"/>
        </w:rPr>
      </w:pPr>
      <w:r w:rsidRPr="005930C7">
        <w:rPr>
          <w:rFonts w:eastAsia="Times New Roman"/>
          <w:noProof/>
          <w:lang w:val="fr-CA" w:eastAsia="fr-CA"/>
        </w:rPr>
        <w:t>Grâce au généreux soutien financier du Royaume</w:t>
      </w:r>
      <w:r w:rsidR="00003783">
        <w:rPr>
          <w:rFonts w:eastAsia="Times New Roman"/>
          <w:noProof/>
          <w:lang w:val="fr-CA" w:eastAsia="fr-CA"/>
        </w:rPr>
        <w:noBreakHyphen/>
      </w:r>
      <w:r w:rsidRPr="005930C7">
        <w:rPr>
          <w:rFonts w:eastAsia="Times New Roman"/>
          <w:noProof/>
          <w:lang w:val="fr-CA" w:eastAsia="fr-CA"/>
        </w:rPr>
        <w:t>Uni de Grande</w:t>
      </w:r>
      <w:r w:rsidR="00003783">
        <w:rPr>
          <w:rFonts w:eastAsia="Times New Roman"/>
          <w:noProof/>
          <w:lang w:val="fr-CA" w:eastAsia="fr-CA"/>
        </w:rPr>
        <w:noBreakHyphen/>
      </w:r>
      <w:r w:rsidRPr="005930C7">
        <w:rPr>
          <w:rFonts w:eastAsia="Times New Roman"/>
          <w:noProof/>
          <w:lang w:val="fr-CA" w:eastAsia="fr-CA"/>
        </w:rPr>
        <w:t>Bretagne et d</w:t>
      </w:r>
      <w:r w:rsidR="00003783">
        <w:rPr>
          <w:rFonts w:eastAsia="Times New Roman"/>
          <w:noProof/>
          <w:lang w:val="fr-CA" w:eastAsia="fr-CA"/>
        </w:rPr>
        <w:t>’</w:t>
      </w:r>
      <w:r w:rsidRPr="005930C7">
        <w:rPr>
          <w:rFonts w:eastAsia="Times New Roman"/>
          <w:noProof/>
          <w:lang w:val="fr-CA" w:eastAsia="fr-CA"/>
        </w:rPr>
        <w:t xml:space="preserve">Irlande du Nord, le Secrétariat a </w:t>
      </w:r>
      <w:r w:rsidR="00FC1914">
        <w:rPr>
          <w:rFonts w:eastAsia="Times New Roman"/>
          <w:noProof/>
          <w:lang w:val="fr-CA" w:eastAsia="fr-CA"/>
        </w:rPr>
        <w:t>chargé</w:t>
      </w:r>
      <w:r w:rsidRPr="005930C7">
        <w:rPr>
          <w:rFonts w:eastAsia="Times New Roman"/>
          <w:noProof/>
          <w:lang w:val="fr-CA" w:eastAsia="fr-CA"/>
        </w:rPr>
        <w:t xml:space="preserve"> l</w:t>
      </w:r>
      <w:r w:rsidR="00003783">
        <w:rPr>
          <w:rFonts w:eastAsia="Times New Roman"/>
          <w:noProof/>
          <w:lang w:val="fr-CA" w:eastAsia="fr-CA"/>
        </w:rPr>
        <w:t>’</w:t>
      </w:r>
      <w:r w:rsidRPr="005930C7">
        <w:rPr>
          <w:rFonts w:eastAsia="Times New Roman"/>
          <w:noProof/>
          <w:lang w:val="fr-CA" w:eastAsia="fr-CA"/>
        </w:rPr>
        <w:t>Institut L</w:t>
      </w:r>
      <w:r w:rsidRPr="005930C7">
        <w:rPr>
          <w:rFonts w:eastAsia="Times New Roman"/>
          <w:lang w:val="fr-CA" w:eastAsia="fr-CA"/>
        </w:rPr>
        <w:t xml:space="preserve">eibniz DSMZ </w:t>
      </w:r>
      <w:r w:rsidR="00FC1914">
        <w:rPr>
          <w:rFonts w:eastAsia="Times New Roman"/>
          <w:lang w:val="fr-CA" w:eastAsia="fr-CA"/>
        </w:rPr>
        <w:t>d</w:t>
      </w:r>
      <w:r w:rsidR="00003783">
        <w:rPr>
          <w:rFonts w:eastAsia="Times New Roman"/>
          <w:lang w:val="fr-CA" w:eastAsia="fr-CA"/>
        </w:rPr>
        <w:t>’</w:t>
      </w:r>
      <w:r w:rsidRPr="005930C7">
        <w:rPr>
          <w:rFonts w:eastAsia="Times New Roman"/>
          <w:lang w:val="fr-CA" w:eastAsia="fr-CA"/>
        </w:rPr>
        <w:t xml:space="preserve">entreprendre un projet incluant la </w:t>
      </w:r>
      <w:r w:rsidRPr="005930C7">
        <w:rPr>
          <w:rFonts w:eastAsia="Times New Roman"/>
          <w:lang w:val="fr-CA" w:eastAsia="fr-CA"/>
        </w:rPr>
        <w:lastRenderedPageBreak/>
        <w:t>préparation d</w:t>
      </w:r>
      <w:r w:rsidR="00003783">
        <w:rPr>
          <w:rFonts w:eastAsia="Times New Roman"/>
          <w:lang w:val="fr-CA" w:eastAsia="fr-CA"/>
        </w:rPr>
        <w:t>’</w:t>
      </w:r>
      <w:r w:rsidRPr="005930C7">
        <w:rPr>
          <w:rFonts w:eastAsia="Times New Roman"/>
          <w:lang w:val="fr-CA" w:eastAsia="fr-CA"/>
        </w:rPr>
        <w:t>une étude sur les indicateurs d</w:t>
      </w:r>
      <w:r w:rsidR="00003783">
        <w:rPr>
          <w:rFonts w:eastAsia="Times New Roman"/>
          <w:lang w:val="fr-CA" w:eastAsia="fr-CA"/>
        </w:rPr>
        <w:t>’</w:t>
      </w:r>
      <w:r w:rsidRPr="005930C7">
        <w:rPr>
          <w:rFonts w:eastAsia="Times New Roman"/>
          <w:lang w:val="fr-CA" w:eastAsia="fr-CA"/>
        </w:rPr>
        <w:t>accès et de partage des av</w:t>
      </w:r>
      <w:r>
        <w:rPr>
          <w:rFonts w:eastAsia="Times New Roman"/>
          <w:lang w:val="fr-CA" w:eastAsia="fr-CA"/>
        </w:rPr>
        <w:t>antages en lien avec la cible 13 et l</w:t>
      </w:r>
      <w:r w:rsidR="00003783">
        <w:rPr>
          <w:rFonts w:eastAsia="Times New Roman"/>
          <w:lang w:val="fr-CA" w:eastAsia="fr-CA"/>
        </w:rPr>
        <w:t>’</w:t>
      </w:r>
      <w:r>
        <w:rPr>
          <w:rFonts w:eastAsia="Times New Roman"/>
          <w:lang w:val="fr-CA" w:eastAsia="fr-CA"/>
        </w:rPr>
        <w:t>objectif </w:t>
      </w:r>
      <w:r w:rsidRPr="005930C7">
        <w:rPr>
          <w:rFonts w:eastAsia="Times New Roman"/>
          <w:lang w:val="fr-CA" w:eastAsia="fr-CA"/>
        </w:rPr>
        <w:t xml:space="preserve">C du Cadre mondial de la biodiversité de </w:t>
      </w:r>
      <w:r w:rsidRPr="005930C7">
        <w:rPr>
          <w:rFonts w:eastAsia="Times New Roman"/>
          <w:noProof/>
          <w:lang w:val="fr-CA" w:eastAsia="fr-CA"/>
        </w:rPr>
        <w:t>Kunming</w:t>
      </w:r>
      <w:r w:rsidR="00003783">
        <w:rPr>
          <w:rFonts w:eastAsia="Times New Roman"/>
          <w:noProof/>
          <w:lang w:val="fr-CA" w:eastAsia="fr-CA"/>
        </w:rPr>
        <w:noBreakHyphen/>
      </w:r>
      <w:r w:rsidRPr="005930C7">
        <w:rPr>
          <w:rFonts w:eastAsia="Times New Roman"/>
          <w:noProof/>
          <w:lang w:val="fr-CA" w:eastAsia="fr-CA"/>
        </w:rPr>
        <w:t>Montréal</w:t>
      </w:r>
      <w:r w:rsidR="00FC1914">
        <w:rPr>
          <w:rFonts w:eastAsia="Times New Roman"/>
          <w:noProof/>
          <w:lang w:val="fr-CA" w:eastAsia="fr-CA"/>
        </w:rPr>
        <w:t>.</w:t>
      </w:r>
      <w:r w:rsidR="00FC1914" w:rsidRPr="00FA48F1">
        <w:rPr>
          <w:rStyle w:val="FootnoteReference"/>
          <w:noProof/>
          <w:lang w:val="fr-CA"/>
        </w:rPr>
        <w:footnoteReference w:id="14"/>
      </w:r>
      <w:r w:rsidR="00FC1914" w:rsidRPr="00FA48F1">
        <w:rPr>
          <w:lang w:val="fr-CA"/>
        </w:rPr>
        <w:t xml:space="preserve"> </w:t>
      </w:r>
      <w:r w:rsidRPr="005930C7">
        <w:rPr>
          <w:rFonts w:eastAsia="Times New Roman"/>
          <w:lang w:val="fr-CA" w:eastAsia="fr-CA"/>
        </w:rPr>
        <w:t>En complément de cette étude, l</w:t>
      </w:r>
      <w:r w:rsidR="00003783">
        <w:rPr>
          <w:rFonts w:eastAsia="Times New Roman"/>
          <w:lang w:val="fr-CA" w:eastAsia="fr-CA"/>
        </w:rPr>
        <w:t>’</w:t>
      </w:r>
      <w:r w:rsidRPr="005930C7">
        <w:rPr>
          <w:rFonts w:eastAsia="Times New Roman"/>
          <w:lang w:val="fr-CA" w:eastAsia="fr-CA"/>
        </w:rPr>
        <w:t>Institut Leibni</w:t>
      </w:r>
      <w:r w:rsidR="00FC1914">
        <w:rPr>
          <w:rFonts w:eastAsia="Times New Roman"/>
          <w:lang w:val="fr-CA" w:eastAsia="fr-CA"/>
        </w:rPr>
        <w:t xml:space="preserve">z DSMZ et le Secrétariat </w:t>
      </w:r>
      <w:r w:rsidR="00FC1914">
        <w:rPr>
          <w:rFonts w:eastAsia="Times New Roman"/>
          <w:noProof/>
          <w:lang w:val="fr-CA" w:eastAsia="fr-CA"/>
        </w:rPr>
        <w:t>ont co</w:t>
      </w:r>
      <w:r w:rsidRPr="005930C7">
        <w:rPr>
          <w:rFonts w:eastAsia="Times New Roman"/>
          <w:noProof/>
          <w:lang w:val="fr-CA" w:eastAsia="fr-CA"/>
        </w:rPr>
        <w:t>organisé deux</w:t>
      </w:r>
      <w:r w:rsidRPr="005930C7">
        <w:rPr>
          <w:rFonts w:eastAsia="Times New Roman"/>
          <w:lang w:val="fr-CA" w:eastAsia="fr-CA"/>
        </w:rPr>
        <w:t xml:space="preserve"> événements parallèles lors des première et deuxième réunions du Groupe de travail</w:t>
      </w:r>
      <w:r w:rsidR="00FC1914">
        <w:rPr>
          <w:rFonts w:eastAsia="Times New Roman"/>
          <w:lang w:val="fr-CA" w:eastAsia="fr-CA"/>
        </w:rPr>
        <w:t xml:space="preserve"> spécial</w:t>
      </w:r>
      <w:r w:rsidRPr="005930C7">
        <w:rPr>
          <w:rFonts w:eastAsia="Times New Roman"/>
          <w:lang w:val="fr-CA" w:eastAsia="fr-CA"/>
        </w:rPr>
        <w:t xml:space="preserve"> à composition non limitée sur le partage des avantages issus d</w:t>
      </w:r>
      <w:r w:rsidR="00FC1914">
        <w:rPr>
          <w:rFonts w:eastAsia="Times New Roman"/>
          <w:lang w:val="fr-CA" w:eastAsia="fr-CA"/>
        </w:rPr>
        <w:t>e l</w:t>
      </w:r>
      <w:r w:rsidR="00003783">
        <w:rPr>
          <w:rFonts w:eastAsia="Times New Roman"/>
          <w:lang w:val="fr-CA" w:eastAsia="fr-CA"/>
        </w:rPr>
        <w:t>’</w:t>
      </w:r>
      <w:r w:rsidR="00FC1914">
        <w:rPr>
          <w:rFonts w:eastAsia="Times New Roman"/>
          <w:lang w:val="fr-CA" w:eastAsia="fr-CA"/>
        </w:rPr>
        <w:t>utilisation de l</w:t>
      </w:r>
      <w:r w:rsidR="00003783">
        <w:rPr>
          <w:rFonts w:eastAsia="Times New Roman"/>
          <w:lang w:val="fr-CA" w:eastAsia="fr-CA"/>
        </w:rPr>
        <w:t>’</w:t>
      </w:r>
      <w:r w:rsidR="00FC1914">
        <w:rPr>
          <w:rFonts w:eastAsia="Times New Roman"/>
          <w:lang w:val="fr-CA" w:eastAsia="fr-CA"/>
        </w:rPr>
        <w:t>information</w:t>
      </w:r>
      <w:r w:rsidRPr="005930C7">
        <w:rPr>
          <w:rFonts w:eastAsia="Times New Roman"/>
          <w:lang w:val="fr-CA" w:eastAsia="fr-CA"/>
        </w:rPr>
        <w:t xml:space="preserve"> de séquen</w:t>
      </w:r>
      <w:r w:rsidR="00FC1914">
        <w:rPr>
          <w:rFonts w:eastAsia="Times New Roman"/>
          <w:lang w:val="fr-CA" w:eastAsia="fr-CA"/>
        </w:rPr>
        <w:t>çage numérique</w:t>
      </w:r>
      <w:r w:rsidRPr="005930C7">
        <w:rPr>
          <w:rFonts w:eastAsia="Times New Roman"/>
          <w:lang w:val="fr-CA" w:eastAsia="fr-CA"/>
        </w:rPr>
        <w:t xml:space="preserve"> sur les ressources génétiq</w:t>
      </w:r>
      <w:r w:rsidR="00FC1914">
        <w:rPr>
          <w:rFonts w:eastAsia="Times New Roman"/>
          <w:lang w:val="fr-CA" w:eastAsia="fr-CA"/>
        </w:rPr>
        <w:t>ues, en novembre </w:t>
      </w:r>
      <w:r w:rsidRPr="005930C7">
        <w:rPr>
          <w:rFonts w:eastAsia="Times New Roman"/>
          <w:lang w:val="fr-CA" w:eastAsia="fr-CA"/>
        </w:rPr>
        <w:t>2023 et</w:t>
      </w:r>
      <w:r w:rsidR="00FC1914">
        <w:rPr>
          <w:rFonts w:eastAsia="Times New Roman"/>
          <w:lang w:val="fr-CA" w:eastAsia="fr-CA"/>
        </w:rPr>
        <w:t xml:space="preserve"> en août </w:t>
      </w:r>
      <w:r w:rsidRPr="005930C7">
        <w:rPr>
          <w:rFonts w:eastAsia="Times New Roman"/>
          <w:lang w:val="fr-CA" w:eastAsia="fr-CA"/>
        </w:rPr>
        <w:t>2024</w:t>
      </w:r>
      <w:r w:rsidR="00FC1914" w:rsidRPr="00FC1914">
        <w:rPr>
          <w:rFonts w:eastAsia="Times New Roman"/>
          <w:lang w:val="fr-CA" w:eastAsia="fr-CA"/>
        </w:rPr>
        <w:t xml:space="preserve"> </w:t>
      </w:r>
      <w:r w:rsidR="00FC1914">
        <w:rPr>
          <w:rFonts w:eastAsia="Times New Roman"/>
          <w:lang w:val="fr-CA" w:eastAsia="fr-CA"/>
        </w:rPr>
        <w:t>respectivement</w:t>
      </w:r>
      <w:r w:rsidRPr="005930C7">
        <w:rPr>
          <w:rFonts w:eastAsia="Times New Roman"/>
          <w:lang w:val="fr-CA" w:eastAsia="fr-CA"/>
        </w:rPr>
        <w:t>. L</w:t>
      </w:r>
      <w:r w:rsidR="00003783">
        <w:rPr>
          <w:rFonts w:eastAsia="Times New Roman"/>
          <w:lang w:val="fr-CA" w:eastAsia="fr-CA"/>
        </w:rPr>
        <w:t>’</w:t>
      </w:r>
      <w:r w:rsidRPr="005930C7">
        <w:rPr>
          <w:rFonts w:eastAsia="Times New Roman"/>
          <w:lang w:val="fr-CA" w:eastAsia="fr-CA"/>
        </w:rPr>
        <w:t>Institut Leibniz DSMZ a présenté les résultats de l</w:t>
      </w:r>
      <w:r w:rsidR="00003783">
        <w:rPr>
          <w:rFonts w:eastAsia="Times New Roman"/>
          <w:lang w:val="fr-CA" w:eastAsia="fr-CA"/>
        </w:rPr>
        <w:t>’</w:t>
      </w:r>
      <w:r w:rsidRPr="005930C7">
        <w:rPr>
          <w:rFonts w:eastAsia="Times New Roman"/>
          <w:lang w:val="fr-CA" w:eastAsia="fr-CA"/>
        </w:rPr>
        <w:t>étu</w:t>
      </w:r>
      <w:r w:rsidR="00FC1914">
        <w:rPr>
          <w:rFonts w:eastAsia="Times New Roman"/>
          <w:lang w:val="fr-CA" w:eastAsia="fr-CA"/>
        </w:rPr>
        <w:t xml:space="preserve">de lors </w:t>
      </w:r>
      <w:r w:rsidR="00FC1914">
        <w:rPr>
          <w:rFonts w:eastAsia="Times New Roman"/>
          <w:noProof/>
          <w:lang w:val="fr-CA" w:eastAsia="fr-CA"/>
        </w:rPr>
        <w:t>d</w:t>
      </w:r>
      <w:r w:rsidR="00003783">
        <w:rPr>
          <w:rFonts w:eastAsia="Times New Roman"/>
          <w:noProof/>
          <w:lang w:val="fr-CA" w:eastAsia="fr-CA"/>
        </w:rPr>
        <w:t>’</w:t>
      </w:r>
      <w:r w:rsidR="00FC1914">
        <w:rPr>
          <w:rFonts w:eastAsia="Times New Roman"/>
          <w:noProof/>
          <w:lang w:val="fr-CA" w:eastAsia="fr-CA"/>
        </w:rPr>
        <w:t>un webinaire</w:t>
      </w:r>
      <w:r w:rsidR="00FC1914">
        <w:rPr>
          <w:rFonts w:eastAsia="Times New Roman"/>
          <w:lang w:val="fr-CA" w:eastAsia="fr-CA"/>
        </w:rPr>
        <w:t xml:space="preserve"> en avril </w:t>
      </w:r>
      <w:r w:rsidRPr="005930C7">
        <w:rPr>
          <w:rFonts w:eastAsia="Times New Roman"/>
          <w:lang w:val="fr-CA" w:eastAsia="fr-CA"/>
        </w:rPr>
        <w:t>2024 et durant les réunions du Groupe consultatif informel sur le partage des avant</w:t>
      </w:r>
      <w:r w:rsidR="00FC1914">
        <w:rPr>
          <w:rFonts w:eastAsia="Times New Roman"/>
          <w:lang w:val="fr-CA" w:eastAsia="fr-CA"/>
        </w:rPr>
        <w:t>ages issus de l</w:t>
      </w:r>
      <w:r w:rsidR="00003783">
        <w:rPr>
          <w:rFonts w:eastAsia="Times New Roman"/>
          <w:lang w:val="fr-CA" w:eastAsia="fr-CA"/>
        </w:rPr>
        <w:t>’</w:t>
      </w:r>
      <w:r w:rsidR="00FC1914">
        <w:rPr>
          <w:rFonts w:eastAsia="Times New Roman"/>
          <w:lang w:val="fr-CA" w:eastAsia="fr-CA"/>
        </w:rPr>
        <w:t>utilisation de l</w:t>
      </w:r>
      <w:r w:rsidR="00003783">
        <w:rPr>
          <w:rFonts w:eastAsia="Times New Roman"/>
          <w:lang w:val="fr-CA" w:eastAsia="fr-CA"/>
        </w:rPr>
        <w:t>’</w:t>
      </w:r>
      <w:r w:rsidR="00FC1914">
        <w:rPr>
          <w:rFonts w:eastAsia="Times New Roman"/>
          <w:lang w:val="fr-CA" w:eastAsia="fr-CA"/>
        </w:rPr>
        <w:t>information de séquençage numérique</w:t>
      </w:r>
      <w:r w:rsidRPr="005930C7">
        <w:rPr>
          <w:rFonts w:eastAsia="Times New Roman"/>
          <w:lang w:val="fr-CA" w:eastAsia="fr-CA"/>
        </w:rPr>
        <w:t xml:space="preserve"> sur les ressources génétiques</w:t>
      </w:r>
      <w:r w:rsidR="00FC1914">
        <w:rPr>
          <w:rFonts w:eastAsia="Times New Roman"/>
          <w:lang w:val="fr-CA" w:eastAsia="fr-CA"/>
        </w:rPr>
        <w:t>.</w:t>
      </w:r>
    </w:p>
    <w:p w:rsidR="0098528D" w:rsidRPr="00FA48F1" w:rsidRDefault="00FC1914" w:rsidP="00CF7694">
      <w:pPr>
        <w:pStyle w:val="CBDNormalNumber"/>
        <w:rPr>
          <w:lang w:val="fr-CA"/>
        </w:rPr>
      </w:pPr>
      <w:r w:rsidRPr="005930C7">
        <w:rPr>
          <w:rFonts w:eastAsia="Times New Roman"/>
          <w:lang w:val="fr-CA" w:eastAsia="fr-CA"/>
        </w:rPr>
        <w:t>L</w:t>
      </w:r>
      <w:r w:rsidR="00003783">
        <w:rPr>
          <w:rFonts w:eastAsia="Times New Roman"/>
          <w:lang w:val="fr-CA" w:eastAsia="fr-CA"/>
        </w:rPr>
        <w:t>’</w:t>
      </w:r>
      <w:r w:rsidRPr="005930C7">
        <w:rPr>
          <w:rFonts w:eastAsia="Times New Roman"/>
          <w:lang w:val="fr-CA" w:eastAsia="fr-CA"/>
        </w:rPr>
        <w:t xml:space="preserve">Institut Leibniz DSMZ a participé à la réunion du comité consultatif informel sur le renforcement des capacités </w:t>
      </w:r>
      <w:r w:rsidR="00BD0EB7">
        <w:rPr>
          <w:rFonts w:eastAsia="Times New Roman"/>
          <w:lang w:val="fr-CA" w:eastAsia="fr-CA"/>
        </w:rPr>
        <w:t>en faveur de</w:t>
      </w:r>
      <w:r w:rsidRPr="005930C7">
        <w:rPr>
          <w:rFonts w:eastAsia="Times New Roman"/>
          <w:lang w:val="fr-CA" w:eastAsia="fr-CA"/>
        </w:rPr>
        <w:t xml:space="preserve"> la mise en œuvre du Protocole de Nagoya ainsi qu</w:t>
      </w:r>
      <w:r w:rsidR="00003783">
        <w:rPr>
          <w:rFonts w:eastAsia="Times New Roman"/>
          <w:lang w:val="fr-CA" w:eastAsia="fr-CA"/>
        </w:rPr>
        <w:t>’</w:t>
      </w:r>
      <w:r w:rsidRPr="005930C7">
        <w:rPr>
          <w:rFonts w:eastAsia="Times New Roman"/>
          <w:lang w:val="fr-CA" w:eastAsia="fr-CA"/>
        </w:rPr>
        <w:t>aux travaux intersessions sur l</w:t>
      </w:r>
      <w:r w:rsidR="00003783">
        <w:rPr>
          <w:rFonts w:eastAsia="Times New Roman"/>
          <w:lang w:val="fr-CA" w:eastAsia="fr-CA"/>
        </w:rPr>
        <w:t>’</w:t>
      </w:r>
      <w:r w:rsidRPr="005930C7">
        <w:rPr>
          <w:rFonts w:eastAsia="Times New Roman"/>
          <w:lang w:val="fr-CA" w:eastAsia="fr-CA"/>
        </w:rPr>
        <w:t>élaboration d</w:t>
      </w:r>
      <w:r w:rsidR="00BD0EB7">
        <w:rPr>
          <w:rFonts w:eastAsia="Times New Roman"/>
          <w:lang w:val="fr-CA" w:eastAsia="fr-CA"/>
        </w:rPr>
        <w:t>u projet de plan d</w:t>
      </w:r>
      <w:r w:rsidR="00003783">
        <w:rPr>
          <w:rFonts w:eastAsia="Times New Roman"/>
          <w:lang w:val="fr-CA" w:eastAsia="fr-CA"/>
        </w:rPr>
        <w:t>’</w:t>
      </w:r>
      <w:r w:rsidR="00BD0EB7">
        <w:rPr>
          <w:rFonts w:eastAsia="Times New Roman"/>
          <w:lang w:val="fr-CA" w:eastAsia="fr-CA"/>
        </w:rPr>
        <w:t>action d</w:t>
      </w:r>
      <w:r w:rsidRPr="005930C7">
        <w:rPr>
          <w:rFonts w:eastAsia="Times New Roman"/>
          <w:lang w:val="fr-CA" w:eastAsia="fr-CA"/>
        </w:rPr>
        <w:t xml:space="preserve">e renforcement des capacités </w:t>
      </w:r>
      <w:r w:rsidR="00BD0EB7">
        <w:rPr>
          <w:rFonts w:eastAsia="Times New Roman"/>
          <w:lang w:val="fr-CA" w:eastAsia="fr-CA"/>
        </w:rPr>
        <w:t>pour le</w:t>
      </w:r>
      <w:r w:rsidRPr="005930C7">
        <w:rPr>
          <w:rFonts w:eastAsia="Times New Roman"/>
          <w:lang w:val="fr-CA" w:eastAsia="fr-CA"/>
        </w:rPr>
        <w:t xml:space="preserve"> Protocole</w:t>
      </w:r>
      <w:r w:rsidR="00BD0EB7">
        <w:rPr>
          <w:rFonts w:eastAsia="Times New Roman"/>
          <w:lang w:val="fr-CA" w:eastAsia="fr-CA"/>
        </w:rPr>
        <w:t>. Il est également partenaire dans</w:t>
      </w:r>
      <w:r w:rsidRPr="005930C7">
        <w:rPr>
          <w:rFonts w:eastAsia="Times New Roman"/>
          <w:lang w:val="fr-CA" w:eastAsia="fr-CA"/>
        </w:rPr>
        <w:t xml:space="preserve"> l</w:t>
      </w:r>
      <w:r w:rsidR="00003783">
        <w:rPr>
          <w:rFonts w:eastAsia="Times New Roman"/>
          <w:lang w:val="fr-CA" w:eastAsia="fr-CA"/>
        </w:rPr>
        <w:t>’</w:t>
      </w:r>
      <w:r w:rsidRPr="005930C7">
        <w:rPr>
          <w:rFonts w:eastAsia="Times New Roman"/>
          <w:lang w:val="fr-CA" w:eastAsia="fr-CA"/>
        </w:rPr>
        <w:t>organisation de l</w:t>
      </w:r>
      <w:r w:rsidR="00003783">
        <w:rPr>
          <w:rFonts w:eastAsia="Times New Roman"/>
          <w:lang w:val="fr-CA" w:eastAsia="fr-CA"/>
        </w:rPr>
        <w:t>’</w:t>
      </w:r>
      <w:r w:rsidRPr="005930C7">
        <w:rPr>
          <w:rFonts w:eastAsia="Times New Roman"/>
          <w:lang w:val="fr-CA" w:eastAsia="fr-CA"/>
        </w:rPr>
        <w:t xml:space="preserve">atelier mondial de renforcement des capacités </w:t>
      </w:r>
      <w:r w:rsidR="00A8407E">
        <w:rPr>
          <w:rFonts w:eastAsia="Times New Roman"/>
          <w:lang w:val="fr-CA" w:eastAsia="fr-CA"/>
        </w:rPr>
        <w:t>en faveur de</w:t>
      </w:r>
      <w:r w:rsidRPr="005930C7">
        <w:rPr>
          <w:rFonts w:eastAsia="Times New Roman"/>
          <w:lang w:val="fr-CA" w:eastAsia="fr-CA"/>
        </w:rPr>
        <w:t xml:space="preserve"> l</w:t>
      </w:r>
      <w:r w:rsidR="00003783">
        <w:rPr>
          <w:rFonts w:eastAsia="Times New Roman"/>
          <w:lang w:val="fr-CA" w:eastAsia="fr-CA"/>
        </w:rPr>
        <w:t>’</w:t>
      </w:r>
      <w:r w:rsidRPr="005930C7">
        <w:rPr>
          <w:rFonts w:eastAsia="Times New Roman"/>
          <w:lang w:val="fr-CA" w:eastAsia="fr-CA"/>
        </w:rPr>
        <w:t>opérationnalisation des cadres d</w:t>
      </w:r>
      <w:r w:rsidR="00003783">
        <w:rPr>
          <w:rFonts w:eastAsia="Times New Roman"/>
          <w:lang w:val="fr-CA" w:eastAsia="fr-CA"/>
        </w:rPr>
        <w:t>’</w:t>
      </w:r>
      <w:r w:rsidRPr="005930C7">
        <w:rPr>
          <w:rFonts w:eastAsia="Times New Roman"/>
          <w:lang w:val="fr-CA" w:eastAsia="fr-CA"/>
        </w:rPr>
        <w:t xml:space="preserve">accès et de partage des avantages, </w:t>
      </w:r>
      <w:r w:rsidR="00BD0EB7">
        <w:rPr>
          <w:rFonts w:eastAsia="Times New Roman"/>
          <w:lang w:val="fr-CA" w:eastAsia="fr-CA"/>
        </w:rPr>
        <w:t>qui se tiendra à Bonn (Allemagne), du 30 septembre au 3 octobre </w:t>
      </w:r>
      <w:r w:rsidRPr="005930C7">
        <w:rPr>
          <w:rFonts w:eastAsia="Times New Roman"/>
          <w:lang w:val="fr-CA" w:eastAsia="fr-CA"/>
        </w:rPr>
        <w:t>2024</w:t>
      </w:r>
      <w:r w:rsidR="00BD0EB7">
        <w:rPr>
          <w:rFonts w:eastAsia="Times New Roman"/>
          <w:lang w:val="fr-CA" w:eastAsia="fr-CA"/>
        </w:rPr>
        <w:t>.</w:t>
      </w:r>
    </w:p>
    <w:p w:rsidR="00D30519" w:rsidRPr="00FA48F1" w:rsidRDefault="00457D78" w:rsidP="00CF7694">
      <w:pPr>
        <w:pStyle w:val="CBDNormalNumber"/>
        <w:rPr>
          <w:lang w:val="fr-CA"/>
        </w:rPr>
      </w:pPr>
      <w:r w:rsidRPr="005930C7">
        <w:rPr>
          <w:rFonts w:eastAsia="Times New Roman"/>
          <w:lang w:val="fr-CA" w:eastAsia="fr-CA"/>
        </w:rPr>
        <w:t>Un représentant de l</w:t>
      </w:r>
      <w:r w:rsidR="00003783">
        <w:rPr>
          <w:rFonts w:eastAsia="Times New Roman"/>
          <w:lang w:val="fr-CA" w:eastAsia="fr-CA"/>
        </w:rPr>
        <w:t>’</w:t>
      </w:r>
      <w:r w:rsidRPr="005930C7">
        <w:rPr>
          <w:rFonts w:eastAsia="Times New Roman"/>
          <w:lang w:val="fr-CA" w:eastAsia="fr-CA"/>
        </w:rPr>
        <w:t>Institut Leibniz DSMZ était membre du Groupe</w:t>
      </w:r>
      <w:r>
        <w:rPr>
          <w:rFonts w:eastAsia="Times New Roman"/>
          <w:lang w:val="fr-CA" w:eastAsia="fr-CA"/>
        </w:rPr>
        <w:t xml:space="preserve"> spécial</w:t>
      </w:r>
      <w:r w:rsidRPr="005930C7">
        <w:rPr>
          <w:rFonts w:eastAsia="Times New Roman"/>
          <w:lang w:val="fr-CA" w:eastAsia="fr-CA"/>
        </w:rPr>
        <w:t xml:space="preserve"> d</w:t>
      </w:r>
      <w:r w:rsidR="00003783">
        <w:rPr>
          <w:rFonts w:eastAsia="Times New Roman"/>
          <w:lang w:val="fr-CA" w:eastAsia="fr-CA"/>
        </w:rPr>
        <w:t>’</w:t>
      </w:r>
      <w:r w:rsidRPr="005930C7">
        <w:rPr>
          <w:rFonts w:eastAsia="Times New Roman"/>
          <w:lang w:val="fr-CA" w:eastAsia="fr-CA"/>
        </w:rPr>
        <w:t>experts techniques sur les indicateurs, établi par la Conféren</w:t>
      </w:r>
      <w:r w:rsidR="00A8407E">
        <w:rPr>
          <w:rFonts w:eastAsia="Times New Roman"/>
          <w:lang w:val="fr-CA" w:eastAsia="fr-CA"/>
        </w:rPr>
        <w:t>ce des Parties dans la décision </w:t>
      </w:r>
      <w:hyperlink r:id="rId19" w:history="1">
        <w:r w:rsidR="00A8407E">
          <w:rPr>
            <w:rStyle w:val="Hyperlink"/>
            <w:rFonts w:eastAsia="Times New Roman"/>
            <w:lang w:val="fr-CA" w:eastAsia="fr-CA"/>
          </w:rPr>
          <w:t>15/5</w:t>
        </w:r>
      </w:hyperlink>
      <w:r w:rsidR="00A8407E">
        <w:rPr>
          <w:rFonts w:eastAsia="Times New Roman"/>
          <w:lang w:val="fr-CA" w:eastAsia="fr-CA"/>
        </w:rPr>
        <w:t xml:space="preserve"> </w:t>
      </w:r>
      <w:r w:rsidRPr="005930C7">
        <w:rPr>
          <w:rFonts w:eastAsia="Times New Roman"/>
          <w:lang w:val="fr-CA" w:eastAsia="fr-CA"/>
        </w:rPr>
        <w:t>pour travailler sur l</w:t>
      </w:r>
      <w:r w:rsidR="00003783">
        <w:rPr>
          <w:rFonts w:eastAsia="Times New Roman"/>
          <w:lang w:val="fr-CA" w:eastAsia="fr-CA"/>
        </w:rPr>
        <w:t>’</w:t>
      </w:r>
      <w:r w:rsidRPr="005930C7">
        <w:rPr>
          <w:rFonts w:eastAsia="Times New Roman"/>
          <w:lang w:val="fr-CA" w:eastAsia="fr-CA"/>
        </w:rPr>
        <w:t xml:space="preserve">opérationnalisation du cadre de suivi du Cadre mondial de la biodiversité de </w:t>
      </w:r>
      <w:proofErr w:type="spellStart"/>
      <w:r w:rsidRPr="005930C7">
        <w:rPr>
          <w:rFonts w:eastAsia="Times New Roman"/>
          <w:lang w:val="fr-CA" w:eastAsia="fr-CA"/>
        </w:rPr>
        <w:t>Kunming</w:t>
      </w:r>
      <w:r w:rsidR="00003783">
        <w:rPr>
          <w:rFonts w:eastAsia="Times New Roman"/>
          <w:lang w:val="fr-CA" w:eastAsia="fr-CA"/>
        </w:rPr>
        <w:noBreakHyphen/>
      </w:r>
      <w:r w:rsidRPr="005930C7">
        <w:rPr>
          <w:rFonts w:eastAsia="Times New Roman"/>
          <w:lang w:val="fr-CA" w:eastAsia="fr-CA"/>
        </w:rPr>
        <w:t>Montréal</w:t>
      </w:r>
      <w:proofErr w:type="spellEnd"/>
      <w:r w:rsidR="00A8407E">
        <w:rPr>
          <w:rFonts w:eastAsia="Times New Roman"/>
          <w:lang w:val="fr-CA" w:eastAsia="fr-CA"/>
        </w:rPr>
        <w:t>.</w:t>
      </w:r>
      <w:r w:rsidR="00A8407E" w:rsidRPr="00FA48F1">
        <w:rPr>
          <w:rStyle w:val="FootnoteReference"/>
          <w:lang w:val="fr-CA"/>
        </w:rPr>
        <w:footnoteReference w:id="15"/>
      </w:r>
    </w:p>
    <w:p w:rsidR="00874F9F" w:rsidRPr="00FA48F1" w:rsidRDefault="00126473" w:rsidP="00602B6D">
      <w:pPr>
        <w:pStyle w:val="CBDH2"/>
        <w:rPr>
          <w:lang w:val="fr-CA"/>
        </w:rPr>
      </w:pPr>
      <w:r w:rsidRPr="00FA48F1">
        <w:rPr>
          <w:lang w:val="fr-CA"/>
        </w:rPr>
        <w:t>E</w:t>
      </w:r>
      <w:r w:rsidR="00E07EE6" w:rsidRPr="00FA48F1">
        <w:rPr>
          <w:lang w:val="fr-CA"/>
        </w:rPr>
        <w:t>.</w:t>
      </w:r>
      <w:r w:rsidR="00E07EE6" w:rsidRPr="00FA48F1">
        <w:rPr>
          <w:lang w:val="fr-CA"/>
        </w:rPr>
        <w:tab/>
      </w:r>
      <w:r w:rsidR="00E07EE6" w:rsidRPr="00FA48F1">
        <w:rPr>
          <w:noProof/>
          <w:lang w:val="fr-CA"/>
        </w:rPr>
        <w:t>Bio</w:t>
      </w:r>
      <w:r w:rsidR="00272A35">
        <w:rPr>
          <w:noProof/>
          <w:lang w:val="fr-CA"/>
        </w:rPr>
        <w:t>di</w:t>
      </w:r>
      <w:r w:rsidR="00E07EE6" w:rsidRPr="00FA48F1">
        <w:rPr>
          <w:noProof/>
          <w:lang w:val="fr-CA"/>
        </w:rPr>
        <w:t>versity International</w:t>
      </w:r>
      <w:r w:rsidR="00E07EE6" w:rsidRPr="00FA48F1">
        <w:rPr>
          <w:lang w:val="fr-CA"/>
        </w:rPr>
        <w:t xml:space="preserve"> </w:t>
      </w:r>
      <w:r w:rsidR="00272A35">
        <w:rPr>
          <w:lang w:val="fr-CA"/>
        </w:rPr>
        <w:t>et autres Centres du CGIAR</w:t>
      </w:r>
    </w:p>
    <w:p w:rsidR="00765860" w:rsidRPr="00FA48F1" w:rsidRDefault="000E247F" w:rsidP="00CF7694">
      <w:pPr>
        <w:pStyle w:val="CBDNormalNumber"/>
        <w:rPr>
          <w:lang w:val="fr-CA"/>
        </w:rPr>
      </w:pPr>
      <w:r w:rsidRPr="005930C7">
        <w:rPr>
          <w:rFonts w:eastAsia="Times New Roman"/>
          <w:lang w:val="fr-CA" w:eastAsia="fr-CA"/>
        </w:rPr>
        <w:t>Le Secrétariat a fourni des informations sur le Protocole de Nagoya et sa mise en œuvre lors de sessions en direct de deux cours en ligne organisés par la Plateforme des banques de gènes</w:t>
      </w:r>
      <w:r w:rsidR="00B2244D">
        <w:rPr>
          <w:rFonts w:eastAsia="Times New Roman"/>
          <w:lang w:val="fr-CA" w:eastAsia="fr-CA"/>
        </w:rPr>
        <w:t xml:space="preserve"> du CGIAR</w:t>
      </w:r>
      <w:r w:rsidRPr="005930C7">
        <w:rPr>
          <w:rFonts w:eastAsia="Times New Roman"/>
          <w:lang w:val="fr-CA" w:eastAsia="fr-CA"/>
        </w:rPr>
        <w:t xml:space="preserve">. Le </w:t>
      </w:r>
      <w:r w:rsidR="00B2244D">
        <w:rPr>
          <w:rFonts w:eastAsia="Times New Roman"/>
          <w:lang w:val="fr-CA" w:eastAsia="fr-CA"/>
        </w:rPr>
        <w:t>premier cours, présenté en mars </w:t>
      </w:r>
      <w:r w:rsidRPr="005930C7">
        <w:rPr>
          <w:rFonts w:eastAsia="Times New Roman"/>
          <w:lang w:val="fr-CA" w:eastAsia="fr-CA"/>
        </w:rPr>
        <w:t xml:space="preserve">2023, portait sur les politiques relatives aux ressources génétiques pour les scientifiques du CGIAR, </w:t>
      </w:r>
      <w:r w:rsidR="00B2244D">
        <w:rPr>
          <w:rFonts w:eastAsia="Times New Roman"/>
          <w:lang w:val="fr-CA" w:eastAsia="fr-CA"/>
        </w:rPr>
        <w:t>et le second, présenté en avril </w:t>
      </w:r>
      <w:r w:rsidRPr="005930C7">
        <w:rPr>
          <w:rFonts w:eastAsia="Times New Roman"/>
          <w:lang w:val="fr-CA" w:eastAsia="fr-CA"/>
        </w:rPr>
        <w:t xml:space="preserve">2024, </w:t>
      </w:r>
      <w:r w:rsidR="00B2244D" w:rsidRPr="005930C7">
        <w:rPr>
          <w:rFonts w:eastAsia="Times New Roman"/>
          <w:lang w:val="fr-CA" w:eastAsia="fr-CA"/>
        </w:rPr>
        <w:t xml:space="preserve">portait sur les politiques relatives aux ressources génétiques </w:t>
      </w:r>
      <w:r w:rsidR="00B2244D">
        <w:rPr>
          <w:rFonts w:eastAsia="Times New Roman"/>
          <w:lang w:val="fr-CA" w:eastAsia="fr-CA"/>
        </w:rPr>
        <w:t xml:space="preserve">et </w:t>
      </w:r>
      <w:r w:rsidRPr="005930C7">
        <w:rPr>
          <w:rFonts w:eastAsia="Times New Roman"/>
          <w:lang w:val="fr-CA" w:eastAsia="fr-CA"/>
        </w:rPr>
        <w:t>était destiné aux scientifiques de la recherche agricole</w:t>
      </w:r>
      <w:r w:rsidR="00B2244D">
        <w:rPr>
          <w:rFonts w:eastAsia="Times New Roman"/>
          <w:lang w:val="fr-CA" w:eastAsia="fr-CA"/>
        </w:rPr>
        <w:t>.</w:t>
      </w:r>
    </w:p>
    <w:p w:rsidR="00765860" w:rsidRPr="00FA48F1" w:rsidRDefault="00126473" w:rsidP="00602B6D">
      <w:pPr>
        <w:pStyle w:val="CBDH2"/>
        <w:rPr>
          <w:lang w:val="fr-CA"/>
        </w:rPr>
      </w:pPr>
      <w:r w:rsidRPr="00FA48F1">
        <w:rPr>
          <w:lang w:val="fr-CA"/>
        </w:rPr>
        <w:t>F</w:t>
      </w:r>
      <w:r w:rsidR="00765860" w:rsidRPr="00FA48F1">
        <w:rPr>
          <w:lang w:val="fr-CA"/>
        </w:rPr>
        <w:t>.</w:t>
      </w:r>
      <w:r w:rsidR="00765860" w:rsidRPr="00FA48F1">
        <w:rPr>
          <w:lang w:val="fr-CA"/>
        </w:rPr>
        <w:tab/>
      </w:r>
      <w:r w:rsidR="00F24213" w:rsidRPr="00F24213">
        <w:rPr>
          <w:lang w:val="fr-CA"/>
        </w:rPr>
        <w:t>Coopération avec d</w:t>
      </w:r>
      <w:r w:rsidR="00003783">
        <w:rPr>
          <w:lang w:val="fr-CA"/>
        </w:rPr>
        <w:t>’</w:t>
      </w:r>
      <w:r w:rsidR="00F24213" w:rsidRPr="00F24213">
        <w:rPr>
          <w:lang w:val="fr-CA"/>
        </w:rPr>
        <w:t>autres organisations</w:t>
      </w:r>
    </w:p>
    <w:p w:rsidR="00765860" w:rsidRPr="00FA48F1" w:rsidRDefault="00F24213" w:rsidP="00CF7694">
      <w:pPr>
        <w:pStyle w:val="CBDNormalNumber"/>
        <w:rPr>
          <w:lang w:val="fr-CA"/>
        </w:rPr>
      </w:pPr>
      <w:r w:rsidRPr="005930C7">
        <w:rPr>
          <w:rFonts w:eastAsia="Times New Roman"/>
          <w:lang w:val="fr-CA" w:eastAsia="fr-CA"/>
        </w:rPr>
        <w:t>Le Secrétariat de la Convention collabore avec d</w:t>
      </w:r>
      <w:r w:rsidR="00003783">
        <w:rPr>
          <w:rFonts w:eastAsia="Times New Roman"/>
          <w:lang w:val="fr-CA" w:eastAsia="fr-CA"/>
        </w:rPr>
        <w:t>’</w:t>
      </w:r>
      <w:r w:rsidRPr="005930C7">
        <w:rPr>
          <w:rFonts w:eastAsia="Times New Roman"/>
          <w:lang w:val="fr-CA" w:eastAsia="fr-CA"/>
        </w:rPr>
        <w:t xml:space="preserve">autres organisations, notamment des groupes de parties prenantes et des </w:t>
      </w:r>
      <w:r>
        <w:rPr>
          <w:rFonts w:eastAsia="Times New Roman"/>
          <w:lang w:val="fr-CA" w:eastAsia="fr-CA"/>
        </w:rPr>
        <w:t>établissements universitaires</w:t>
      </w:r>
      <w:r w:rsidRPr="005930C7">
        <w:rPr>
          <w:rFonts w:eastAsia="Times New Roman"/>
          <w:lang w:val="fr-CA" w:eastAsia="fr-CA"/>
        </w:rPr>
        <w:t>, afin de sensibiliser et de fournir des informations sur le Protocole de Nagoya, en particulier sur le Centre d</w:t>
      </w:r>
      <w:r w:rsidR="00003783">
        <w:rPr>
          <w:rFonts w:eastAsia="Times New Roman"/>
          <w:lang w:val="fr-CA" w:eastAsia="fr-CA"/>
        </w:rPr>
        <w:t>’</w:t>
      </w:r>
      <w:r w:rsidRPr="005930C7">
        <w:rPr>
          <w:rFonts w:eastAsia="Times New Roman"/>
          <w:lang w:val="fr-CA" w:eastAsia="fr-CA"/>
        </w:rPr>
        <w:t>échange sur l</w:t>
      </w:r>
      <w:r w:rsidR="00003783">
        <w:rPr>
          <w:rFonts w:eastAsia="Times New Roman"/>
          <w:lang w:val="fr-CA" w:eastAsia="fr-CA"/>
        </w:rPr>
        <w:t>’</w:t>
      </w:r>
      <w:r w:rsidRPr="005930C7">
        <w:rPr>
          <w:rFonts w:eastAsia="Times New Roman"/>
          <w:lang w:val="fr-CA" w:eastAsia="fr-CA"/>
        </w:rPr>
        <w:t>accès et le partage des avantages</w:t>
      </w:r>
      <w:r>
        <w:rPr>
          <w:rFonts w:eastAsia="Times New Roman"/>
          <w:lang w:val="fr-CA" w:eastAsia="fr-CA"/>
        </w:rPr>
        <w:t>.</w:t>
      </w:r>
      <w:r w:rsidRPr="00FA48F1">
        <w:rPr>
          <w:rStyle w:val="FootnoteReference"/>
          <w:lang w:val="fr-CA"/>
        </w:rPr>
        <w:footnoteReference w:id="16"/>
      </w:r>
    </w:p>
    <w:p w:rsidR="004462AA" w:rsidRPr="00FA48F1" w:rsidRDefault="0009685D" w:rsidP="00CF7694">
      <w:pPr>
        <w:pStyle w:val="CBDNormalNumber"/>
        <w:rPr>
          <w:lang w:val="fr-CA"/>
        </w:rPr>
      </w:pPr>
      <w:r w:rsidRPr="005930C7">
        <w:rPr>
          <w:rFonts w:eastAsia="Times New Roman"/>
          <w:lang w:val="fr-CA" w:eastAsia="fr-CA"/>
        </w:rPr>
        <w:t xml:space="preserve">Le Secrétariat reçoit de nombreuses demandes </w:t>
      </w:r>
      <w:r>
        <w:rPr>
          <w:rFonts w:eastAsia="Times New Roman"/>
          <w:lang w:val="fr-CA" w:eastAsia="fr-CA"/>
        </w:rPr>
        <w:t>sollicitant sa participation</w:t>
      </w:r>
      <w:r w:rsidRPr="005930C7">
        <w:rPr>
          <w:rFonts w:eastAsia="Times New Roman"/>
          <w:lang w:val="fr-CA" w:eastAsia="fr-CA"/>
        </w:rPr>
        <w:t xml:space="preserve"> à des événements</w:t>
      </w:r>
      <w:r>
        <w:rPr>
          <w:rFonts w:eastAsia="Times New Roman"/>
          <w:lang w:val="fr-CA" w:eastAsia="fr-CA"/>
        </w:rPr>
        <w:t>,</w:t>
      </w:r>
      <w:r w:rsidRPr="005930C7">
        <w:rPr>
          <w:rFonts w:eastAsia="Times New Roman"/>
          <w:lang w:val="fr-CA" w:eastAsia="fr-CA"/>
        </w:rPr>
        <w:t xml:space="preserve"> afin de fournir des informations sur le Protocole de Nagoya et </w:t>
      </w:r>
      <w:r w:rsidR="00E43A69">
        <w:rPr>
          <w:rFonts w:eastAsia="Times New Roman"/>
          <w:lang w:val="fr-CA" w:eastAsia="fr-CA"/>
        </w:rPr>
        <w:t>de présenter des exposés sur le sujet de l</w:t>
      </w:r>
      <w:r w:rsidR="00003783">
        <w:rPr>
          <w:rFonts w:eastAsia="Times New Roman"/>
          <w:lang w:val="fr-CA" w:eastAsia="fr-CA"/>
        </w:rPr>
        <w:t>’</w:t>
      </w:r>
      <w:r w:rsidR="00E43A69">
        <w:rPr>
          <w:rFonts w:eastAsia="Times New Roman"/>
          <w:lang w:val="fr-CA" w:eastAsia="fr-CA"/>
        </w:rPr>
        <w:t>information</w:t>
      </w:r>
      <w:r w:rsidRPr="005930C7">
        <w:rPr>
          <w:rFonts w:eastAsia="Times New Roman"/>
          <w:lang w:val="fr-CA" w:eastAsia="fr-CA"/>
        </w:rPr>
        <w:t xml:space="preserve"> de séquen</w:t>
      </w:r>
      <w:r w:rsidR="00E43A69">
        <w:rPr>
          <w:rFonts w:eastAsia="Times New Roman"/>
          <w:lang w:val="fr-CA" w:eastAsia="fr-CA"/>
        </w:rPr>
        <w:t>çage numérique</w:t>
      </w:r>
      <w:r w:rsidRPr="005930C7">
        <w:rPr>
          <w:rFonts w:eastAsia="Times New Roman"/>
          <w:lang w:val="fr-CA" w:eastAsia="fr-CA"/>
        </w:rPr>
        <w:t xml:space="preserve"> sur les ressources génétiques. Durant la période intersessions 2023</w:t>
      </w:r>
      <w:r w:rsidR="00003783">
        <w:rPr>
          <w:rFonts w:eastAsia="Times New Roman"/>
          <w:lang w:val="fr-CA" w:eastAsia="fr-CA"/>
        </w:rPr>
        <w:noBreakHyphen/>
      </w:r>
      <w:r w:rsidRPr="005930C7">
        <w:rPr>
          <w:rFonts w:eastAsia="Times New Roman"/>
          <w:lang w:val="fr-CA" w:eastAsia="fr-CA"/>
        </w:rPr>
        <w:t xml:space="preserve">2024, le Secrétariat a </w:t>
      </w:r>
      <w:r w:rsidR="00E43A69">
        <w:rPr>
          <w:rFonts w:eastAsia="Times New Roman"/>
          <w:lang w:val="fr-CA" w:eastAsia="fr-CA"/>
        </w:rPr>
        <w:t>présenté des exposés, entre autres, lors des événements suivants :</w:t>
      </w:r>
      <w:r w:rsidRPr="005930C7">
        <w:rPr>
          <w:rFonts w:eastAsia="Times New Roman"/>
          <w:lang w:val="fr-CA" w:eastAsia="fr-CA"/>
        </w:rPr>
        <w:t xml:space="preserve"> réunions de la Commission européenne </w:t>
      </w:r>
      <w:r w:rsidR="00A84045">
        <w:rPr>
          <w:rFonts w:eastAsia="Times New Roman"/>
          <w:lang w:val="fr-CA" w:eastAsia="fr-CA"/>
        </w:rPr>
        <w:t>de</w:t>
      </w:r>
      <w:r w:rsidRPr="005930C7">
        <w:rPr>
          <w:rFonts w:eastAsia="Times New Roman"/>
          <w:lang w:val="fr-CA" w:eastAsia="fr-CA"/>
        </w:rPr>
        <w:t xml:space="preserve"> lutte contre la f</w:t>
      </w:r>
      <w:r w:rsidR="00E43A69">
        <w:rPr>
          <w:rFonts w:eastAsia="Times New Roman"/>
          <w:lang w:val="fr-CA" w:eastAsia="fr-CA"/>
        </w:rPr>
        <w:t>ièvre aphteuse (janvier et mars 2023); réunion d</w:t>
      </w:r>
      <w:r w:rsidR="00003783">
        <w:rPr>
          <w:rFonts w:eastAsia="Times New Roman"/>
          <w:lang w:val="fr-CA" w:eastAsia="fr-CA"/>
        </w:rPr>
        <w:t>’</w:t>
      </w:r>
      <w:r w:rsidR="00E43A69">
        <w:rPr>
          <w:rFonts w:eastAsia="Times New Roman"/>
          <w:lang w:val="fr-CA" w:eastAsia="fr-CA"/>
        </w:rPr>
        <w:t>experts sur l</w:t>
      </w:r>
      <w:r w:rsidR="00003783">
        <w:rPr>
          <w:rFonts w:eastAsia="Times New Roman"/>
          <w:lang w:val="fr-CA" w:eastAsia="fr-CA"/>
        </w:rPr>
        <w:t>’</w:t>
      </w:r>
      <w:r w:rsidR="00E43A69">
        <w:rPr>
          <w:rFonts w:eastAsia="Times New Roman"/>
          <w:lang w:val="fr-CA" w:eastAsia="fr-CA"/>
        </w:rPr>
        <w:t>information de séquençage numérique (octobre 2023);</w:t>
      </w:r>
      <w:r w:rsidRPr="005930C7">
        <w:rPr>
          <w:rFonts w:eastAsia="Times New Roman"/>
          <w:lang w:val="fr-CA" w:eastAsia="fr-CA"/>
        </w:rPr>
        <w:t xml:space="preserve"> dialogue </w:t>
      </w:r>
      <w:r w:rsidRPr="005930C7">
        <w:rPr>
          <w:rFonts w:eastAsia="Times New Roman"/>
          <w:noProof/>
          <w:lang w:val="fr-CA" w:eastAsia="fr-CA"/>
        </w:rPr>
        <w:t xml:space="preserve">informel </w:t>
      </w:r>
      <w:r w:rsidR="00E43A69">
        <w:rPr>
          <w:rFonts w:eastAsia="Times New Roman"/>
          <w:noProof/>
          <w:lang w:val="fr-CA" w:eastAsia="fr-CA"/>
        </w:rPr>
        <w:t>science</w:t>
      </w:r>
      <w:r w:rsidR="00003783">
        <w:rPr>
          <w:rFonts w:eastAsia="Times New Roman"/>
          <w:noProof/>
          <w:lang w:val="fr-CA" w:eastAsia="fr-CA"/>
        </w:rPr>
        <w:noBreakHyphen/>
      </w:r>
      <w:r w:rsidR="00E43A69">
        <w:rPr>
          <w:rFonts w:eastAsia="Times New Roman"/>
          <w:noProof/>
          <w:lang w:val="fr-CA" w:eastAsia="fr-CA"/>
        </w:rPr>
        <w:t>politique</w:t>
      </w:r>
      <w:r w:rsidR="00E43A69">
        <w:rPr>
          <w:rFonts w:eastAsia="Times New Roman"/>
          <w:lang w:val="fr-CA" w:eastAsia="fr-CA"/>
        </w:rPr>
        <w:t xml:space="preserve"> </w:t>
      </w:r>
      <w:r w:rsidRPr="005930C7">
        <w:rPr>
          <w:rFonts w:eastAsia="Times New Roman"/>
          <w:lang w:val="fr-CA" w:eastAsia="fr-CA"/>
        </w:rPr>
        <w:t>en</w:t>
      </w:r>
      <w:r w:rsidR="00E43A69">
        <w:rPr>
          <w:rFonts w:eastAsia="Times New Roman"/>
          <w:lang w:val="fr-CA" w:eastAsia="fr-CA"/>
        </w:rPr>
        <w:t>tre négociateurs du Sud sur l</w:t>
      </w:r>
      <w:r w:rsidR="00003783">
        <w:rPr>
          <w:rFonts w:eastAsia="Times New Roman"/>
          <w:lang w:val="fr-CA" w:eastAsia="fr-CA"/>
        </w:rPr>
        <w:t>’</w:t>
      </w:r>
      <w:r w:rsidR="00E43A69">
        <w:rPr>
          <w:rFonts w:eastAsia="Times New Roman"/>
          <w:lang w:val="fr-CA" w:eastAsia="fr-CA"/>
        </w:rPr>
        <w:t>information de séquençage numérique (juillet </w:t>
      </w:r>
      <w:r w:rsidRPr="005930C7">
        <w:rPr>
          <w:rFonts w:eastAsia="Times New Roman"/>
          <w:lang w:val="fr-CA" w:eastAsia="fr-CA"/>
        </w:rPr>
        <w:t>2024), organisé par l</w:t>
      </w:r>
      <w:r w:rsidR="00003783">
        <w:rPr>
          <w:rFonts w:eastAsia="Times New Roman"/>
          <w:lang w:val="fr-CA" w:eastAsia="fr-CA"/>
        </w:rPr>
        <w:t>’</w:t>
      </w:r>
      <w:r w:rsidRPr="005930C7">
        <w:rPr>
          <w:rFonts w:eastAsia="Times New Roman"/>
          <w:lang w:val="fr-CA" w:eastAsia="fr-CA"/>
        </w:rPr>
        <w:t>Institut Meridian; atelier organisé par le Centre mondial de la santé de l</w:t>
      </w:r>
      <w:r w:rsidR="00003783">
        <w:rPr>
          <w:rFonts w:eastAsia="Times New Roman"/>
          <w:lang w:val="fr-CA" w:eastAsia="fr-CA"/>
        </w:rPr>
        <w:t>’</w:t>
      </w:r>
      <w:r w:rsidRPr="005930C7">
        <w:rPr>
          <w:rFonts w:eastAsia="Times New Roman"/>
          <w:lang w:val="fr-CA" w:eastAsia="fr-CA"/>
        </w:rPr>
        <w:t>Institut de hautes études internationales et du d</w:t>
      </w:r>
      <w:r w:rsidR="00E43A69">
        <w:rPr>
          <w:rFonts w:eastAsia="Times New Roman"/>
          <w:lang w:val="fr-CA" w:eastAsia="fr-CA"/>
        </w:rPr>
        <w:t>éveloppement de Genève (février </w:t>
      </w:r>
      <w:r w:rsidRPr="005930C7">
        <w:rPr>
          <w:rFonts w:eastAsia="Times New Roman"/>
          <w:lang w:val="fr-CA" w:eastAsia="fr-CA"/>
        </w:rPr>
        <w:t xml:space="preserve">2024); </w:t>
      </w:r>
      <w:r w:rsidR="00A84045">
        <w:rPr>
          <w:rFonts w:eastAsia="Times New Roman"/>
          <w:lang w:val="fr-CA" w:eastAsia="fr-CA"/>
        </w:rPr>
        <w:t>réunion de</w:t>
      </w:r>
      <w:r w:rsidRPr="005930C7">
        <w:rPr>
          <w:rFonts w:eastAsia="Times New Roman"/>
          <w:lang w:val="fr-CA" w:eastAsia="fr-CA"/>
        </w:rPr>
        <w:t xml:space="preserve"> caucus organisée par le Forum international</w:t>
      </w:r>
      <w:r w:rsidR="00A84045">
        <w:rPr>
          <w:rFonts w:eastAsia="Times New Roman"/>
          <w:lang w:val="fr-CA" w:eastAsia="fr-CA"/>
        </w:rPr>
        <w:t xml:space="preserve"> des peuples</w:t>
      </w:r>
      <w:r w:rsidRPr="005930C7">
        <w:rPr>
          <w:rFonts w:eastAsia="Times New Roman"/>
          <w:lang w:val="fr-CA" w:eastAsia="fr-CA"/>
        </w:rPr>
        <w:t xml:space="preserve"> autochto</w:t>
      </w:r>
      <w:r w:rsidR="00A84045">
        <w:rPr>
          <w:rFonts w:eastAsia="Times New Roman"/>
          <w:lang w:val="fr-CA" w:eastAsia="fr-CA"/>
        </w:rPr>
        <w:t xml:space="preserve">nes sur la biodiversité et les </w:t>
      </w:r>
      <w:r w:rsidR="00A84045">
        <w:rPr>
          <w:rFonts w:eastAsia="Times New Roman"/>
          <w:noProof/>
          <w:lang w:val="fr-CA" w:eastAsia="fr-CA"/>
        </w:rPr>
        <w:t>services écosystémiques</w:t>
      </w:r>
      <w:r w:rsidR="00A84045">
        <w:rPr>
          <w:rFonts w:eastAsia="Times New Roman"/>
          <w:lang w:val="fr-CA" w:eastAsia="fr-CA"/>
        </w:rPr>
        <w:t xml:space="preserve"> (février </w:t>
      </w:r>
      <w:r w:rsidRPr="005930C7">
        <w:rPr>
          <w:rFonts w:eastAsia="Times New Roman"/>
          <w:lang w:val="fr-CA" w:eastAsia="fr-CA"/>
        </w:rPr>
        <w:t>2024); dialogue sur l</w:t>
      </w:r>
      <w:r w:rsidR="00003783">
        <w:rPr>
          <w:rFonts w:eastAsia="Times New Roman"/>
          <w:lang w:val="fr-CA" w:eastAsia="fr-CA"/>
        </w:rPr>
        <w:t>’</w:t>
      </w:r>
      <w:r w:rsidRPr="005930C7">
        <w:rPr>
          <w:rFonts w:eastAsia="Times New Roman"/>
          <w:lang w:val="fr-CA" w:eastAsia="fr-CA"/>
        </w:rPr>
        <w:t>accord pandémique de l</w:t>
      </w:r>
      <w:r w:rsidR="00003783">
        <w:rPr>
          <w:rFonts w:eastAsia="Times New Roman"/>
          <w:lang w:val="fr-CA" w:eastAsia="fr-CA"/>
        </w:rPr>
        <w:t>’</w:t>
      </w:r>
      <w:r w:rsidRPr="005930C7">
        <w:rPr>
          <w:rFonts w:eastAsia="Times New Roman"/>
          <w:lang w:val="fr-CA" w:eastAsia="fr-CA"/>
        </w:rPr>
        <w:t>OMS</w:t>
      </w:r>
      <w:r w:rsidR="00A84045">
        <w:rPr>
          <w:rFonts w:eastAsia="Times New Roman"/>
          <w:lang w:val="fr-CA" w:eastAsia="fr-CA"/>
        </w:rPr>
        <w:t>,</w:t>
      </w:r>
      <w:r w:rsidRPr="005930C7">
        <w:rPr>
          <w:rFonts w:eastAsia="Times New Roman"/>
          <w:lang w:val="fr-CA" w:eastAsia="fr-CA"/>
        </w:rPr>
        <w:t xml:space="preserve"> organisé par </w:t>
      </w:r>
      <w:r w:rsidRPr="005930C7">
        <w:rPr>
          <w:rFonts w:eastAsia="Times New Roman"/>
          <w:lang w:val="fr-CA" w:eastAsia="fr-CA"/>
        </w:rPr>
        <w:lastRenderedPageBreak/>
        <w:t>le Secrétariat du Conseil mondial d</w:t>
      </w:r>
      <w:r w:rsidR="00A84045">
        <w:rPr>
          <w:rFonts w:eastAsia="Times New Roman"/>
          <w:lang w:val="fr-CA" w:eastAsia="fr-CA"/>
        </w:rPr>
        <w:t>e suivi de la préparation (mars 2024</w:t>
      </w:r>
      <w:r w:rsidR="00A84045">
        <w:rPr>
          <w:rFonts w:eastAsia="Times New Roman"/>
          <w:noProof/>
          <w:lang w:val="fr-CA" w:eastAsia="fr-CA"/>
        </w:rPr>
        <w:t>); et</w:t>
      </w:r>
      <w:r w:rsidRPr="005930C7">
        <w:rPr>
          <w:rFonts w:eastAsia="Times New Roman"/>
          <w:noProof/>
          <w:lang w:val="fr-CA" w:eastAsia="fr-CA"/>
        </w:rPr>
        <w:t xml:space="preserve"> webinaire</w:t>
      </w:r>
      <w:r w:rsidRPr="005930C7">
        <w:rPr>
          <w:rFonts w:eastAsia="Times New Roman"/>
          <w:lang w:val="fr-CA" w:eastAsia="fr-CA"/>
        </w:rPr>
        <w:t xml:space="preserve"> sur les mécanismes d</w:t>
      </w:r>
      <w:r w:rsidR="00003783">
        <w:rPr>
          <w:rFonts w:eastAsia="Times New Roman"/>
          <w:lang w:val="fr-CA" w:eastAsia="fr-CA"/>
        </w:rPr>
        <w:t>’</w:t>
      </w:r>
      <w:r w:rsidRPr="005930C7">
        <w:rPr>
          <w:rFonts w:eastAsia="Times New Roman"/>
          <w:lang w:val="fr-CA" w:eastAsia="fr-CA"/>
        </w:rPr>
        <w:t>échange</w:t>
      </w:r>
      <w:r w:rsidR="00A84045">
        <w:rPr>
          <w:rFonts w:eastAsia="Times New Roman"/>
          <w:lang w:val="fr-CA" w:eastAsia="fr-CA"/>
        </w:rPr>
        <w:t xml:space="preserve"> d</w:t>
      </w:r>
      <w:r w:rsidR="00003783">
        <w:rPr>
          <w:rFonts w:eastAsia="Times New Roman"/>
          <w:lang w:val="fr-CA" w:eastAsia="fr-CA"/>
        </w:rPr>
        <w:t>’</w:t>
      </w:r>
      <w:r w:rsidR="00A84045">
        <w:rPr>
          <w:rFonts w:eastAsia="Times New Roman"/>
          <w:lang w:val="fr-CA" w:eastAsia="fr-CA"/>
        </w:rPr>
        <w:t>informations</w:t>
      </w:r>
      <w:r w:rsidR="00DC0514">
        <w:rPr>
          <w:rFonts w:eastAsia="Times New Roman"/>
          <w:lang w:val="fr-CA" w:eastAsia="fr-CA"/>
        </w:rPr>
        <w:t>, qui faisait partie de la série de</w:t>
      </w:r>
      <w:r w:rsidRPr="005930C7">
        <w:rPr>
          <w:rFonts w:eastAsia="Times New Roman"/>
          <w:lang w:val="fr-CA" w:eastAsia="fr-CA"/>
        </w:rPr>
        <w:t xml:space="preserve"> dialogues informels </w:t>
      </w:r>
      <w:r w:rsidR="00DC0514">
        <w:rPr>
          <w:rFonts w:eastAsia="Times New Roman"/>
          <w:lang w:val="fr-CA" w:eastAsia="fr-CA"/>
        </w:rPr>
        <w:t>du Comité préparatoire</w:t>
      </w:r>
      <w:r w:rsidRPr="005930C7">
        <w:rPr>
          <w:rFonts w:eastAsia="Times New Roman"/>
          <w:lang w:val="fr-CA" w:eastAsia="fr-CA"/>
        </w:rPr>
        <w:t xml:space="preserve"> BBNJ organisés par le Centre international pour le dialogue et la </w:t>
      </w:r>
      <w:r w:rsidR="00A84045">
        <w:rPr>
          <w:rFonts w:eastAsia="Times New Roman"/>
          <w:lang w:val="fr-CA" w:eastAsia="fr-CA"/>
        </w:rPr>
        <w:t>consolidation de la paix (avril </w:t>
      </w:r>
      <w:r w:rsidRPr="005930C7">
        <w:rPr>
          <w:rFonts w:eastAsia="Times New Roman"/>
          <w:lang w:val="fr-CA" w:eastAsia="fr-CA"/>
        </w:rPr>
        <w:t>2024). En outre, le Secrétariat a donné des conférences à l</w:t>
      </w:r>
      <w:r w:rsidR="00003783">
        <w:rPr>
          <w:rFonts w:eastAsia="Times New Roman"/>
          <w:lang w:val="fr-CA" w:eastAsia="fr-CA"/>
        </w:rPr>
        <w:t>’</w:t>
      </w:r>
      <w:r w:rsidRPr="005930C7">
        <w:rPr>
          <w:rFonts w:eastAsia="Times New Roman"/>
          <w:lang w:val="fr-CA" w:eastAsia="fr-CA"/>
        </w:rPr>
        <w:t>Université de Göttingen et au Centre international de hautes études agronomiques méditerranéennes de Saragosse (en jan</w:t>
      </w:r>
      <w:r w:rsidR="00DC0514">
        <w:rPr>
          <w:rFonts w:eastAsia="Times New Roman"/>
          <w:lang w:val="fr-CA" w:eastAsia="fr-CA"/>
        </w:rPr>
        <w:t>vier </w:t>
      </w:r>
      <w:r w:rsidRPr="005930C7">
        <w:rPr>
          <w:rFonts w:eastAsia="Times New Roman"/>
          <w:lang w:val="fr-CA" w:eastAsia="fr-CA"/>
        </w:rPr>
        <w:t>2024</w:t>
      </w:r>
      <w:r w:rsidR="00DC0514">
        <w:rPr>
          <w:rFonts w:eastAsia="Times New Roman"/>
          <w:lang w:val="fr-CA" w:eastAsia="fr-CA"/>
        </w:rPr>
        <w:t>, dans les deux cas</w:t>
      </w:r>
      <w:r w:rsidRPr="005930C7">
        <w:rPr>
          <w:rFonts w:eastAsia="Times New Roman"/>
          <w:lang w:val="fr-CA" w:eastAsia="fr-CA"/>
        </w:rPr>
        <w:t>)</w:t>
      </w:r>
      <w:r w:rsidR="00DC0514">
        <w:rPr>
          <w:rFonts w:eastAsia="Times New Roman"/>
          <w:lang w:val="fr-CA" w:eastAsia="fr-CA"/>
        </w:rPr>
        <w:t>.</w:t>
      </w:r>
    </w:p>
    <w:p w:rsidR="00765860" w:rsidRPr="00FA48F1" w:rsidRDefault="009A18AC" w:rsidP="00602B6D">
      <w:pPr>
        <w:pStyle w:val="CBDH1"/>
        <w:rPr>
          <w:lang w:val="fr-CA"/>
        </w:rPr>
      </w:pPr>
      <w:r w:rsidRPr="00FA48F1">
        <w:rPr>
          <w:lang w:val="fr-CA"/>
        </w:rPr>
        <w:t>IV.</w:t>
      </w:r>
      <w:r w:rsidRPr="00FA48F1">
        <w:rPr>
          <w:lang w:val="fr-CA"/>
        </w:rPr>
        <w:tab/>
      </w:r>
      <w:r w:rsidR="00765860" w:rsidRPr="00FA48F1">
        <w:rPr>
          <w:lang w:val="fr-CA"/>
        </w:rPr>
        <w:t>Conclusions</w:t>
      </w:r>
    </w:p>
    <w:p w:rsidR="00AD0A97" w:rsidRPr="00FA48F1" w:rsidRDefault="001A433C" w:rsidP="00CF7694">
      <w:pPr>
        <w:pStyle w:val="CBDNormalNumber"/>
        <w:rPr>
          <w:lang w:val="fr-CA"/>
        </w:rPr>
      </w:pPr>
      <w:r w:rsidRPr="005930C7">
        <w:rPr>
          <w:rFonts w:eastAsia="Times New Roman"/>
          <w:lang w:val="fr-CA" w:eastAsia="fr-CA"/>
        </w:rPr>
        <w:t>La coopération avec un large éventail d</w:t>
      </w:r>
      <w:r w:rsidR="00003783">
        <w:rPr>
          <w:rFonts w:eastAsia="Times New Roman"/>
          <w:lang w:val="fr-CA" w:eastAsia="fr-CA"/>
        </w:rPr>
        <w:t>’</w:t>
      </w:r>
      <w:r w:rsidRPr="005930C7">
        <w:rPr>
          <w:rFonts w:eastAsia="Times New Roman"/>
          <w:lang w:val="fr-CA" w:eastAsia="fr-CA"/>
        </w:rPr>
        <w:t>organisations est importante à la lumière des nombreux processus internationaux en cours relatifs à l</w:t>
      </w:r>
      <w:r w:rsidR="00003783">
        <w:rPr>
          <w:rFonts w:eastAsia="Times New Roman"/>
          <w:lang w:val="fr-CA" w:eastAsia="fr-CA"/>
        </w:rPr>
        <w:t>’</w:t>
      </w:r>
      <w:r w:rsidRPr="005930C7">
        <w:rPr>
          <w:rFonts w:eastAsia="Times New Roman"/>
          <w:lang w:val="fr-CA" w:eastAsia="fr-CA"/>
        </w:rPr>
        <w:t>accès et au partage des avantage</w:t>
      </w:r>
      <w:r>
        <w:rPr>
          <w:rFonts w:eastAsia="Times New Roman"/>
          <w:lang w:val="fr-CA" w:eastAsia="fr-CA"/>
        </w:rPr>
        <w:t>s, comme résumé dans la section </w:t>
      </w:r>
      <w:r w:rsidRPr="005930C7">
        <w:rPr>
          <w:rFonts w:eastAsia="Times New Roman"/>
          <w:lang w:val="fr-CA" w:eastAsia="fr-CA"/>
        </w:rPr>
        <w:t>II du présent rapport, ainsi que l</w:t>
      </w:r>
      <w:r w:rsidR="00003783">
        <w:rPr>
          <w:rFonts w:eastAsia="Times New Roman"/>
          <w:lang w:val="fr-CA" w:eastAsia="fr-CA"/>
        </w:rPr>
        <w:t>’</w:t>
      </w:r>
      <w:r w:rsidRPr="005930C7">
        <w:rPr>
          <w:rFonts w:eastAsia="Times New Roman"/>
          <w:lang w:val="fr-CA" w:eastAsia="fr-CA"/>
        </w:rPr>
        <w:t xml:space="preserve">adoption du Cadre mondial de la biodiversité </w:t>
      </w:r>
      <w:r w:rsidRPr="005930C7">
        <w:rPr>
          <w:rFonts w:eastAsia="Times New Roman"/>
          <w:noProof/>
          <w:lang w:val="fr-CA" w:eastAsia="fr-CA"/>
        </w:rPr>
        <w:t>de Kunming</w:t>
      </w:r>
      <w:r w:rsidR="00003783">
        <w:rPr>
          <w:rFonts w:eastAsia="Times New Roman"/>
          <w:noProof/>
          <w:lang w:val="fr-CA" w:eastAsia="fr-CA"/>
        </w:rPr>
        <w:noBreakHyphen/>
      </w:r>
      <w:r w:rsidRPr="005930C7">
        <w:rPr>
          <w:rFonts w:eastAsia="Times New Roman"/>
          <w:noProof/>
          <w:lang w:val="fr-CA" w:eastAsia="fr-CA"/>
        </w:rPr>
        <w:t>M</w:t>
      </w:r>
      <w:r>
        <w:rPr>
          <w:rFonts w:eastAsia="Times New Roman"/>
          <w:noProof/>
          <w:lang w:val="fr-CA" w:eastAsia="fr-CA"/>
        </w:rPr>
        <w:t>ontréal, y compris</w:t>
      </w:r>
      <w:r>
        <w:rPr>
          <w:rFonts w:eastAsia="Times New Roman"/>
          <w:lang w:val="fr-CA" w:eastAsia="fr-CA"/>
        </w:rPr>
        <w:t xml:space="preserve"> son objectif C et sa cible </w:t>
      </w:r>
      <w:r w:rsidRPr="005930C7">
        <w:rPr>
          <w:rFonts w:eastAsia="Times New Roman"/>
          <w:lang w:val="fr-CA" w:eastAsia="fr-CA"/>
        </w:rPr>
        <w:t>13, qui traitent spécifiquement de l</w:t>
      </w:r>
      <w:r w:rsidR="00003783">
        <w:rPr>
          <w:rFonts w:eastAsia="Times New Roman"/>
          <w:lang w:val="fr-CA" w:eastAsia="fr-CA"/>
        </w:rPr>
        <w:t>’</w:t>
      </w:r>
      <w:r w:rsidRPr="005930C7">
        <w:rPr>
          <w:rFonts w:eastAsia="Times New Roman"/>
          <w:lang w:val="fr-CA" w:eastAsia="fr-CA"/>
        </w:rPr>
        <w:t>accès et du partage des avantages</w:t>
      </w:r>
      <w:r>
        <w:rPr>
          <w:rFonts w:eastAsia="Times New Roman"/>
          <w:lang w:val="fr-CA" w:eastAsia="fr-CA"/>
        </w:rPr>
        <w:t>.</w:t>
      </w:r>
    </w:p>
    <w:p w:rsidR="00E66BB8" w:rsidRPr="00FA48F1" w:rsidRDefault="001A433C" w:rsidP="00CF7694">
      <w:pPr>
        <w:pStyle w:val="CBDNormalNumber"/>
        <w:rPr>
          <w:lang w:val="fr-CA"/>
        </w:rPr>
      </w:pPr>
      <w:r>
        <w:rPr>
          <w:rFonts w:eastAsia="Times New Roman"/>
          <w:lang w:val="fr-CA" w:eastAsia="fr-CA"/>
        </w:rPr>
        <w:t>Parallèlement</w:t>
      </w:r>
      <w:r w:rsidRPr="005930C7">
        <w:rPr>
          <w:rFonts w:eastAsia="Times New Roman"/>
          <w:lang w:val="fr-CA" w:eastAsia="fr-CA"/>
        </w:rPr>
        <w:t>, un certain nombre de projets mondiaux et régionaux de renforcement des capacités</w:t>
      </w:r>
      <w:r w:rsidR="002A02CD">
        <w:rPr>
          <w:rFonts w:eastAsia="Times New Roman"/>
          <w:lang w:val="fr-CA" w:eastAsia="fr-CA"/>
        </w:rPr>
        <w:t xml:space="preserve"> et de développement</w:t>
      </w:r>
      <w:r w:rsidRPr="005930C7">
        <w:rPr>
          <w:rFonts w:eastAsia="Times New Roman"/>
          <w:lang w:val="fr-CA" w:eastAsia="fr-CA"/>
        </w:rPr>
        <w:t xml:space="preserve"> qui soutiennent la mise en œuvre du Protocole de Nagoya ont récemment pris fin. Des efforts supplémentaires seront nécessaires pour a</w:t>
      </w:r>
      <w:r>
        <w:rPr>
          <w:rFonts w:eastAsia="Times New Roman"/>
          <w:lang w:val="fr-CA" w:eastAsia="fr-CA"/>
        </w:rPr>
        <w:t>ider les Parties à atteindre l</w:t>
      </w:r>
      <w:r w:rsidR="00003783">
        <w:rPr>
          <w:rFonts w:eastAsia="Times New Roman"/>
          <w:lang w:val="fr-CA" w:eastAsia="fr-CA"/>
        </w:rPr>
        <w:t>’</w:t>
      </w:r>
      <w:r>
        <w:rPr>
          <w:rFonts w:eastAsia="Times New Roman"/>
          <w:lang w:val="fr-CA" w:eastAsia="fr-CA"/>
        </w:rPr>
        <w:t>objectif C et la c</w:t>
      </w:r>
      <w:r w:rsidRPr="005930C7">
        <w:rPr>
          <w:rFonts w:eastAsia="Times New Roman"/>
          <w:lang w:val="fr-CA" w:eastAsia="fr-CA"/>
        </w:rPr>
        <w:t>ible</w:t>
      </w:r>
      <w:r>
        <w:rPr>
          <w:rFonts w:eastAsia="Times New Roman"/>
          <w:lang w:val="fr-CA" w:eastAsia="fr-CA"/>
        </w:rPr>
        <w:t> </w:t>
      </w:r>
      <w:r w:rsidRPr="005930C7">
        <w:rPr>
          <w:rFonts w:eastAsia="Times New Roman"/>
          <w:lang w:val="fr-CA" w:eastAsia="fr-CA"/>
        </w:rPr>
        <w:t xml:space="preserve">13 et à </w:t>
      </w:r>
      <w:r>
        <w:rPr>
          <w:rFonts w:eastAsia="Times New Roman"/>
          <w:lang w:val="fr-CA" w:eastAsia="fr-CA"/>
        </w:rPr>
        <w:t>réagir</w:t>
      </w:r>
      <w:r w:rsidRPr="005930C7">
        <w:rPr>
          <w:rFonts w:eastAsia="Times New Roman"/>
          <w:lang w:val="fr-CA" w:eastAsia="fr-CA"/>
        </w:rPr>
        <w:t xml:space="preserve"> aux développements internationaux dans le domaine de l</w:t>
      </w:r>
      <w:r w:rsidR="00003783">
        <w:rPr>
          <w:rFonts w:eastAsia="Times New Roman"/>
          <w:lang w:val="fr-CA" w:eastAsia="fr-CA"/>
        </w:rPr>
        <w:t>’</w:t>
      </w:r>
      <w:r w:rsidRPr="005930C7">
        <w:rPr>
          <w:rFonts w:eastAsia="Times New Roman"/>
          <w:lang w:val="fr-CA" w:eastAsia="fr-CA"/>
        </w:rPr>
        <w:t>accès et du partage des avantages</w:t>
      </w:r>
      <w:r w:rsidR="00E03EF2">
        <w:rPr>
          <w:lang w:val="fr-CA"/>
        </w:rPr>
        <w:t>.</w:t>
      </w:r>
    </w:p>
    <w:p w:rsidR="002B559C" w:rsidRPr="00FA48F1" w:rsidRDefault="00ED3849" w:rsidP="00660094">
      <w:pPr>
        <w:pStyle w:val="Para1"/>
        <w:numPr>
          <w:ilvl w:val="0"/>
          <w:numId w:val="0"/>
        </w:numPr>
        <w:jc w:val="center"/>
        <w:rPr>
          <w:lang w:val="fr-CA"/>
        </w:rPr>
      </w:pPr>
      <w:r w:rsidRPr="00FA48F1">
        <w:rPr>
          <w:lang w:val="fr-CA"/>
        </w:rPr>
        <w:t>__________</w:t>
      </w:r>
    </w:p>
    <w:sectPr w:rsidR="002B559C" w:rsidRPr="00FA48F1" w:rsidSect="00660094">
      <w:headerReference w:type="even" r:id="rId20"/>
      <w:headerReference w:type="default" r:id="rId21"/>
      <w:footerReference w:type="even" r:id="rId22"/>
      <w:footerReference w:type="default" r:id="rId23"/>
      <w:pgSz w:w="12240" w:h="15840"/>
      <w:pgMar w:top="1134" w:right="1440" w:bottom="1134"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E506C" w:rsidRDefault="005E506C" w:rsidP="00A96B21">
      <w:r>
        <w:separator/>
      </w:r>
    </w:p>
  </w:endnote>
  <w:endnote w:type="continuationSeparator" w:id="0">
    <w:p w:rsidR="005E506C" w:rsidRDefault="005E506C" w:rsidP="00A96B21">
      <w:r>
        <w:continuationSeparator/>
      </w:r>
    </w:p>
  </w:endnote>
  <w:endnote w:type="continuationNotice" w:id="1">
    <w:p w:rsidR="005E506C" w:rsidRDefault="005E506C"/>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6603556"/>
      <w:docPartObj>
        <w:docPartGallery w:val="Page Numbers (Bottom of Page)"/>
        <w:docPartUnique/>
      </w:docPartObj>
    </w:sdtPr>
    <w:sdtContent>
      <w:sdt>
        <w:sdtPr>
          <w:id w:val="-1705238520"/>
          <w:docPartObj>
            <w:docPartGallery w:val="Page Numbers (Top of Page)"/>
            <w:docPartUnique/>
          </w:docPartObj>
        </w:sdtPr>
        <w:sdtContent>
          <w:p w:rsidR="000E247F" w:rsidRDefault="00DD7E0F">
            <w:pPr>
              <w:pStyle w:val="Footer"/>
            </w:pPr>
            <w:r w:rsidRPr="002B559C">
              <w:rPr>
                <w:szCs w:val="20"/>
              </w:rPr>
              <w:fldChar w:fldCharType="begin"/>
            </w:r>
            <w:r w:rsidR="000E247F" w:rsidRPr="002B559C">
              <w:rPr>
                <w:szCs w:val="20"/>
              </w:rPr>
              <w:instrText xml:space="preserve"> PAGE </w:instrText>
            </w:r>
            <w:r w:rsidRPr="002B559C">
              <w:rPr>
                <w:szCs w:val="20"/>
              </w:rPr>
              <w:fldChar w:fldCharType="separate"/>
            </w:r>
            <w:r w:rsidR="00AC0BA4">
              <w:rPr>
                <w:noProof/>
                <w:szCs w:val="20"/>
              </w:rPr>
              <w:t>2</w:t>
            </w:r>
            <w:r w:rsidRPr="002B559C">
              <w:rPr>
                <w:szCs w:val="20"/>
              </w:rPr>
              <w:fldChar w:fldCharType="end"/>
            </w:r>
            <w:r w:rsidR="000E247F" w:rsidRPr="002B559C">
              <w:rPr>
                <w:szCs w:val="20"/>
              </w:rPr>
              <w:t>/</w:t>
            </w:r>
            <w:r w:rsidRPr="002B559C">
              <w:rPr>
                <w:szCs w:val="20"/>
              </w:rPr>
              <w:fldChar w:fldCharType="begin"/>
            </w:r>
            <w:r w:rsidR="000E247F" w:rsidRPr="002B559C">
              <w:rPr>
                <w:szCs w:val="20"/>
              </w:rPr>
              <w:instrText xml:space="preserve"> NUMPAGES  </w:instrText>
            </w:r>
            <w:r w:rsidRPr="002B559C">
              <w:rPr>
                <w:szCs w:val="20"/>
              </w:rPr>
              <w:fldChar w:fldCharType="separate"/>
            </w:r>
            <w:r w:rsidR="00AC0BA4">
              <w:rPr>
                <w:noProof/>
                <w:szCs w:val="20"/>
              </w:rPr>
              <w:t>13</w:t>
            </w:r>
            <w:r w:rsidRPr="002B559C">
              <w:rPr>
                <w:szCs w:val="20"/>
              </w:rPr>
              <w:fldChar w:fldCharType="end"/>
            </w:r>
          </w:p>
        </w:sdtContent>
      </w:sdt>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64511934"/>
      <w:docPartObj>
        <w:docPartGallery w:val="Page Numbers (Bottom of Page)"/>
        <w:docPartUnique/>
      </w:docPartObj>
    </w:sdtPr>
    <w:sdtContent>
      <w:sdt>
        <w:sdtPr>
          <w:id w:val="-1769616900"/>
          <w:docPartObj>
            <w:docPartGallery w:val="Page Numbers (Top of Page)"/>
            <w:docPartUnique/>
          </w:docPartObj>
        </w:sdtPr>
        <w:sdtContent>
          <w:p w:rsidR="000E247F" w:rsidRDefault="00DD7E0F" w:rsidP="002B559C">
            <w:pPr>
              <w:pStyle w:val="Footer"/>
              <w:jc w:val="right"/>
            </w:pPr>
            <w:r w:rsidRPr="002B559C">
              <w:rPr>
                <w:szCs w:val="20"/>
              </w:rPr>
              <w:fldChar w:fldCharType="begin"/>
            </w:r>
            <w:r w:rsidR="000E247F" w:rsidRPr="002B559C">
              <w:rPr>
                <w:szCs w:val="20"/>
              </w:rPr>
              <w:instrText xml:space="preserve"> PAGE </w:instrText>
            </w:r>
            <w:r w:rsidRPr="002B559C">
              <w:rPr>
                <w:szCs w:val="20"/>
              </w:rPr>
              <w:fldChar w:fldCharType="separate"/>
            </w:r>
            <w:r w:rsidR="00AC0BA4">
              <w:rPr>
                <w:noProof/>
                <w:szCs w:val="20"/>
              </w:rPr>
              <w:t>3</w:t>
            </w:r>
            <w:r w:rsidRPr="002B559C">
              <w:rPr>
                <w:szCs w:val="20"/>
              </w:rPr>
              <w:fldChar w:fldCharType="end"/>
            </w:r>
            <w:r w:rsidR="000E247F" w:rsidRPr="002B559C">
              <w:rPr>
                <w:szCs w:val="20"/>
              </w:rPr>
              <w:t>/</w:t>
            </w:r>
            <w:r w:rsidRPr="002B559C">
              <w:rPr>
                <w:szCs w:val="20"/>
              </w:rPr>
              <w:fldChar w:fldCharType="begin"/>
            </w:r>
            <w:r w:rsidR="000E247F" w:rsidRPr="002B559C">
              <w:rPr>
                <w:szCs w:val="20"/>
              </w:rPr>
              <w:instrText xml:space="preserve"> NUMPAGES  </w:instrText>
            </w:r>
            <w:r w:rsidRPr="002B559C">
              <w:rPr>
                <w:szCs w:val="20"/>
              </w:rPr>
              <w:fldChar w:fldCharType="separate"/>
            </w:r>
            <w:r w:rsidR="00AC0BA4">
              <w:rPr>
                <w:noProof/>
                <w:szCs w:val="20"/>
              </w:rPr>
              <w:t>13</w:t>
            </w:r>
            <w:r w:rsidRPr="002B559C">
              <w:rPr>
                <w:szCs w:val="20"/>
              </w:rPr>
              <w:fldChar w:fldCharType="end"/>
            </w:r>
          </w:p>
        </w:sdtContent>
      </w:sdt>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E506C" w:rsidRDefault="005E506C" w:rsidP="00A96B21">
      <w:r>
        <w:separator/>
      </w:r>
    </w:p>
  </w:footnote>
  <w:footnote w:type="continuationSeparator" w:id="0">
    <w:p w:rsidR="005E506C" w:rsidRDefault="005E506C" w:rsidP="00A96B21">
      <w:r>
        <w:continuationSeparator/>
      </w:r>
    </w:p>
  </w:footnote>
  <w:footnote w:type="continuationNotice" w:id="1">
    <w:p w:rsidR="005E506C" w:rsidRDefault="005E506C"/>
  </w:footnote>
  <w:footnote w:id="2">
    <w:p w:rsidR="000E247F" w:rsidRPr="004E45A9" w:rsidRDefault="000E247F" w:rsidP="00D71FFB">
      <w:pPr>
        <w:pStyle w:val="Footnote"/>
        <w:rPr>
          <w:lang w:val="fr-CA"/>
        </w:rPr>
      </w:pPr>
      <w:r w:rsidRPr="004E45A9">
        <w:rPr>
          <w:rStyle w:val="FootnoteReference"/>
          <w:lang w:val="fr-CA"/>
        </w:rPr>
        <w:t>*</w:t>
      </w:r>
      <w:r w:rsidRPr="004E45A9">
        <w:rPr>
          <w:lang w:val="fr-CA"/>
        </w:rPr>
        <w:t xml:space="preserve"> CBD/NP/MOP/5/1.</w:t>
      </w:r>
    </w:p>
  </w:footnote>
  <w:footnote w:id="3">
    <w:p w:rsidR="000E247F" w:rsidRPr="004E45A9" w:rsidRDefault="000E247F" w:rsidP="00DE2C45">
      <w:pPr>
        <w:pStyle w:val="FootnoteText"/>
        <w:rPr>
          <w:lang w:val="fr-CA"/>
        </w:rPr>
      </w:pPr>
      <w:r w:rsidRPr="004E45A9">
        <w:rPr>
          <w:rStyle w:val="FootnoteReference"/>
          <w:lang w:val="fr-CA"/>
        </w:rPr>
        <w:footnoteRef/>
      </w:r>
      <w:r w:rsidRPr="004E45A9">
        <w:rPr>
          <w:lang w:val="fr-CA"/>
        </w:rPr>
        <w:t xml:space="preserve"> Document </w:t>
      </w:r>
      <w:hyperlink r:id="rId1" w:history="1">
        <w:r w:rsidRPr="004E45A9">
          <w:rPr>
            <w:rStyle w:val="Hyperlink"/>
            <w:lang w:val="fr-CA"/>
          </w:rPr>
          <w:t>IT/GB</w:t>
        </w:r>
        <w:r w:rsidR="00003783">
          <w:rPr>
            <w:rStyle w:val="Hyperlink"/>
            <w:lang w:val="fr-CA"/>
          </w:rPr>
          <w:noBreakHyphen/>
        </w:r>
        <w:r w:rsidRPr="004E45A9">
          <w:rPr>
            <w:rStyle w:val="Hyperlink"/>
            <w:lang w:val="fr-CA"/>
          </w:rPr>
          <w:t>10/23/16.3/Inf.1</w:t>
        </w:r>
      </w:hyperlink>
      <w:r w:rsidRPr="004E45A9">
        <w:rPr>
          <w:lang w:val="fr-CA"/>
        </w:rPr>
        <w:t>.</w:t>
      </w:r>
    </w:p>
  </w:footnote>
  <w:footnote w:id="4">
    <w:p w:rsidR="000E247F" w:rsidRPr="004E45A9" w:rsidRDefault="000E247F" w:rsidP="00CC05BC">
      <w:pPr>
        <w:pStyle w:val="FootnoteText"/>
        <w:rPr>
          <w:lang w:val="fr-CA"/>
        </w:rPr>
      </w:pPr>
      <w:r w:rsidRPr="004E45A9">
        <w:rPr>
          <w:rStyle w:val="FootnoteReference"/>
          <w:lang w:val="fr-CA"/>
        </w:rPr>
        <w:footnoteRef/>
      </w:r>
      <w:r w:rsidRPr="004E45A9">
        <w:rPr>
          <w:lang w:val="fr-CA"/>
        </w:rPr>
        <w:t xml:space="preserve"> La cible 15.6 des objectifs de développement durable se lit comme suit : « promouvoir le partage juste et équitable des avantages découlant de l</w:t>
      </w:r>
      <w:r w:rsidR="00003783">
        <w:rPr>
          <w:lang w:val="fr-CA"/>
        </w:rPr>
        <w:t>’</w:t>
      </w:r>
      <w:r w:rsidRPr="004E45A9">
        <w:rPr>
          <w:lang w:val="fr-CA"/>
        </w:rPr>
        <w:t>utilisation des ressources génétiques et un accès approprié à ces ressources, comme convenu au niveau international. »</w:t>
      </w:r>
    </w:p>
  </w:footnote>
  <w:footnote w:id="5">
    <w:p w:rsidR="000E247F" w:rsidRPr="004E45A9" w:rsidRDefault="000E247F" w:rsidP="00CC05BC">
      <w:pPr>
        <w:pStyle w:val="FootnoteText"/>
        <w:rPr>
          <w:lang w:val="fr-CA"/>
        </w:rPr>
      </w:pPr>
      <w:r w:rsidRPr="004E45A9">
        <w:rPr>
          <w:vertAlign w:val="superscript"/>
          <w:lang w:val="fr-CA"/>
        </w:rPr>
        <w:footnoteRef/>
      </w:r>
      <w:r w:rsidRPr="004E45A9">
        <w:rPr>
          <w:lang w:val="fr-CA"/>
        </w:rPr>
        <w:t xml:space="preserve"> Le Secrétariat de la Convention est le gardien de l</w:t>
      </w:r>
      <w:r w:rsidR="00003783">
        <w:rPr>
          <w:lang w:val="fr-CA"/>
        </w:rPr>
        <w:t>’</w:t>
      </w:r>
      <w:r w:rsidRPr="004E45A9">
        <w:rPr>
          <w:lang w:val="fr-CA"/>
        </w:rPr>
        <w:t>indicateur correspondant (15.6.1) pour la cible 15.6 et collabore avec le Secrétariat du Traité international afin de fournir les données nécessaires au Département des affaires économiques et sociales du Secrétariat de l</w:t>
      </w:r>
      <w:r w:rsidR="00003783">
        <w:rPr>
          <w:lang w:val="fr-CA"/>
        </w:rPr>
        <w:t>’</w:t>
      </w:r>
      <w:r w:rsidRPr="004E45A9">
        <w:rPr>
          <w:lang w:val="fr-CA"/>
        </w:rPr>
        <w:t>Organisation des Nations Unies.</w:t>
      </w:r>
    </w:p>
  </w:footnote>
  <w:footnote w:id="6">
    <w:p w:rsidR="000E247F" w:rsidRPr="004E45A9" w:rsidRDefault="000E247F" w:rsidP="00CF636E">
      <w:pPr>
        <w:pStyle w:val="FootnoteText"/>
        <w:rPr>
          <w:lang w:val="fr-CA"/>
        </w:rPr>
      </w:pPr>
      <w:r w:rsidRPr="004E45A9">
        <w:rPr>
          <w:rStyle w:val="FootnoteReference"/>
          <w:lang w:val="fr-CA"/>
        </w:rPr>
        <w:footnoteRef/>
      </w:r>
      <w:r w:rsidRPr="004E45A9">
        <w:rPr>
          <w:lang w:val="fr-CA"/>
        </w:rPr>
        <w:t xml:space="preserve"> Voir </w:t>
      </w:r>
      <w:hyperlink r:id="rId2" w:history="1">
        <w:r w:rsidRPr="004E45A9">
          <w:rPr>
            <w:rStyle w:val="Hyperlink"/>
            <w:lang w:val="fr-CA"/>
          </w:rPr>
          <w:t>https://openknowledge.fao.org/items/95944f3d</w:t>
        </w:r>
        <w:r w:rsidR="00003783">
          <w:rPr>
            <w:rStyle w:val="Hyperlink"/>
            <w:lang w:val="fr-CA"/>
          </w:rPr>
          <w:noBreakHyphen/>
        </w:r>
        <w:r w:rsidRPr="004E45A9">
          <w:rPr>
            <w:rStyle w:val="Hyperlink"/>
            <w:lang w:val="fr-CA"/>
          </w:rPr>
          <w:t>4f4d</w:t>
        </w:r>
        <w:r w:rsidR="00003783">
          <w:rPr>
            <w:rStyle w:val="Hyperlink"/>
            <w:lang w:val="fr-CA"/>
          </w:rPr>
          <w:noBreakHyphen/>
        </w:r>
        <w:r w:rsidRPr="004E45A9">
          <w:rPr>
            <w:rStyle w:val="Hyperlink"/>
            <w:lang w:val="fr-CA"/>
          </w:rPr>
          <w:t>4a1d</w:t>
        </w:r>
        <w:r w:rsidR="00003783">
          <w:rPr>
            <w:rStyle w:val="Hyperlink"/>
            <w:lang w:val="fr-CA"/>
          </w:rPr>
          <w:noBreakHyphen/>
        </w:r>
        <w:r w:rsidRPr="004E45A9">
          <w:rPr>
            <w:rStyle w:val="Hyperlink"/>
            <w:lang w:val="fr-CA"/>
          </w:rPr>
          <w:t>9558</w:t>
        </w:r>
        <w:r w:rsidR="00003783">
          <w:rPr>
            <w:rStyle w:val="Hyperlink"/>
            <w:lang w:val="fr-CA"/>
          </w:rPr>
          <w:noBreakHyphen/>
        </w:r>
        <w:r w:rsidRPr="004E45A9">
          <w:rPr>
            <w:rStyle w:val="Hyperlink"/>
            <w:lang w:val="fr-CA"/>
          </w:rPr>
          <w:t>a936eec9d988</w:t>
        </w:r>
      </w:hyperlink>
      <w:r w:rsidRPr="004E45A9">
        <w:rPr>
          <w:lang w:val="fr-CA"/>
        </w:rPr>
        <w:t>.</w:t>
      </w:r>
    </w:p>
  </w:footnote>
  <w:footnote w:id="7">
    <w:p w:rsidR="000E247F" w:rsidRPr="004E45A9" w:rsidRDefault="000E247F" w:rsidP="00613FDE">
      <w:pPr>
        <w:pStyle w:val="FootnoteText"/>
        <w:rPr>
          <w:lang w:val="fr-CA"/>
        </w:rPr>
      </w:pPr>
      <w:r w:rsidRPr="004E45A9">
        <w:rPr>
          <w:rStyle w:val="FootnoteReference"/>
          <w:lang w:val="fr-CA"/>
        </w:rPr>
        <w:footnoteRef/>
      </w:r>
      <w:r w:rsidRPr="004E45A9">
        <w:rPr>
          <w:lang w:val="fr-CA"/>
        </w:rPr>
        <w:t xml:space="preserve"> Voir </w:t>
      </w:r>
      <w:hyperlink r:id="rId3" w:history="1">
        <w:r w:rsidR="004E45A9" w:rsidRPr="004E45A9">
          <w:rPr>
            <w:rStyle w:val="Hyperlink"/>
            <w:lang w:val="fr-CA"/>
          </w:rPr>
          <w:t>https://www.cbd.int/meetings/WGDSI</w:t>
        </w:r>
        <w:r w:rsidR="00003783">
          <w:rPr>
            <w:rStyle w:val="Hyperlink"/>
            <w:lang w:val="fr-CA"/>
          </w:rPr>
          <w:noBreakHyphen/>
        </w:r>
        <w:r w:rsidR="004E45A9" w:rsidRPr="004E45A9">
          <w:rPr>
            <w:rStyle w:val="Hyperlink"/>
            <w:lang w:val="fr-CA"/>
          </w:rPr>
          <w:t>02</w:t>
        </w:r>
      </w:hyperlink>
      <w:r w:rsidR="004E45A9" w:rsidRPr="004E45A9">
        <w:rPr>
          <w:lang w:val="fr-CA"/>
        </w:rPr>
        <w:t xml:space="preserve"> </w:t>
      </w:r>
    </w:p>
  </w:footnote>
  <w:footnote w:id="8">
    <w:p w:rsidR="000E247F" w:rsidRPr="004E45A9" w:rsidRDefault="000E247F" w:rsidP="00613FDE">
      <w:pPr>
        <w:pStyle w:val="FootnoteText"/>
        <w:rPr>
          <w:lang w:val="fr-CA"/>
        </w:rPr>
      </w:pPr>
      <w:r w:rsidRPr="004E45A9">
        <w:rPr>
          <w:rStyle w:val="FootnoteReference"/>
          <w:lang w:val="fr-CA"/>
        </w:rPr>
        <w:footnoteRef/>
      </w:r>
      <w:r w:rsidRPr="004E45A9">
        <w:rPr>
          <w:lang w:val="fr-CA"/>
        </w:rPr>
        <w:t xml:space="preserve"> Cela est semblable à une demande de la Commission lors de sa </w:t>
      </w:r>
      <w:proofErr w:type="spellStart"/>
      <w:r w:rsidRPr="004E45A9">
        <w:rPr>
          <w:lang w:val="fr-CA"/>
        </w:rPr>
        <w:t>dix</w:t>
      </w:r>
      <w:r w:rsidR="00003783">
        <w:rPr>
          <w:lang w:val="fr-CA"/>
        </w:rPr>
        <w:noBreakHyphen/>
      </w:r>
      <w:r w:rsidRPr="004E45A9">
        <w:rPr>
          <w:lang w:val="fr-CA"/>
        </w:rPr>
        <w:t>huitième</w:t>
      </w:r>
      <w:proofErr w:type="spellEnd"/>
      <w:r w:rsidRPr="004E45A9">
        <w:rPr>
          <w:lang w:val="fr-CA"/>
        </w:rPr>
        <w:t xml:space="preserve"> session ordinaire, qui a conduit à un atelier mondial sur les informations de séquençage numérique et les ressources génétiques pour l</w:t>
      </w:r>
      <w:r w:rsidR="00003783">
        <w:rPr>
          <w:lang w:val="fr-CA"/>
        </w:rPr>
        <w:t>’</w:t>
      </w:r>
      <w:r w:rsidRPr="004E45A9">
        <w:rPr>
          <w:lang w:val="fr-CA"/>
        </w:rPr>
        <w:t>alimentation et l</w:t>
      </w:r>
      <w:r w:rsidR="00003783">
        <w:rPr>
          <w:lang w:val="fr-CA"/>
        </w:rPr>
        <w:t>’</w:t>
      </w:r>
      <w:r w:rsidRPr="004E45A9">
        <w:rPr>
          <w:lang w:val="fr-CA"/>
        </w:rPr>
        <w:t>agriculture, tenu virtuellement les 14 et 15 novembre 2022. Le Secrétariat de la Convention a collaboré avec le Secrétariat de la Commission pour cet événement. De plus amples informations sont disponibles sur le site web de la Commission à l</w:t>
      </w:r>
      <w:r w:rsidR="00003783">
        <w:rPr>
          <w:lang w:val="fr-CA"/>
        </w:rPr>
        <w:t>’</w:t>
      </w:r>
      <w:r w:rsidRPr="004E45A9">
        <w:rPr>
          <w:lang w:val="fr-CA"/>
        </w:rPr>
        <w:t xml:space="preserve">adresse suivante : </w:t>
      </w:r>
      <w:hyperlink r:id="rId4" w:tgtFrame="_new" w:history="1">
        <w:r w:rsidRPr="004E45A9">
          <w:rPr>
            <w:rStyle w:val="Hyperlink"/>
            <w:lang w:val="fr-CA"/>
          </w:rPr>
          <w:t>www.fao.org/cgrfa/meetings/dsi_workshop_2022/fr/</w:t>
        </w:r>
      </w:hyperlink>
      <w:r w:rsidRPr="004E45A9">
        <w:rPr>
          <w:lang w:val="fr-CA"/>
        </w:rPr>
        <w:t>.</w:t>
      </w:r>
    </w:p>
  </w:footnote>
  <w:footnote w:id="9">
    <w:p w:rsidR="000E247F" w:rsidRPr="004E45A9" w:rsidRDefault="000E247F" w:rsidP="00F3018C">
      <w:pPr>
        <w:pStyle w:val="FootnoteText"/>
        <w:rPr>
          <w:lang w:val="fr-CA"/>
        </w:rPr>
      </w:pPr>
      <w:r w:rsidRPr="004E45A9">
        <w:rPr>
          <w:rStyle w:val="FootnoteReference"/>
          <w:lang w:val="fr-CA"/>
        </w:rPr>
        <w:footnoteRef/>
      </w:r>
      <w:r w:rsidRPr="004E45A9">
        <w:rPr>
          <w:lang w:val="fr-CA"/>
        </w:rPr>
        <w:t xml:space="preserve"> Le doc</w:t>
      </w:r>
      <w:r w:rsidR="004E45A9" w:rsidRPr="004E45A9">
        <w:rPr>
          <w:lang w:val="fr-CA"/>
        </w:rPr>
        <w:t>ument est disponible à l</w:t>
      </w:r>
      <w:r w:rsidR="00003783">
        <w:rPr>
          <w:lang w:val="fr-CA"/>
        </w:rPr>
        <w:t>’</w:t>
      </w:r>
      <w:r w:rsidR="004E45A9" w:rsidRPr="004E45A9">
        <w:rPr>
          <w:lang w:val="fr-CA"/>
        </w:rPr>
        <w:t>adresse</w:t>
      </w:r>
      <w:r w:rsidR="00BE5FC1" w:rsidRPr="004E45A9">
        <w:rPr>
          <w:lang w:val="fr-CA"/>
        </w:rPr>
        <w:t xml:space="preserve"> </w:t>
      </w:r>
      <w:hyperlink r:id="rId5" w:history="1">
        <w:r w:rsidR="004E45A9" w:rsidRPr="004E45A9">
          <w:rPr>
            <w:rStyle w:val="Hyperlink"/>
            <w:lang w:val="fr-CA"/>
          </w:rPr>
          <w:t>https://www.upov.int/about/fr/faq.html</w:t>
        </w:r>
      </w:hyperlink>
      <w:r w:rsidR="004E45A9" w:rsidRPr="004E45A9">
        <w:rPr>
          <w:lang w:val="fr-CA"/>
        </w:rPr>
        <w:t xml:space="preserve"> </w:t>
      </w:r>
      <w:r w:rsidRPr="004E45A9">
        <w:rPr>
          <w:lang w:val="fr-CA"/>
        </w:rPr>
        <w:t xml:space="preserve">sous la rubrique </w:t>
      </w:r>
      <w:r w:rsidR="00BE5FC1" w:rsidRPr="004E45A9">
        <w:rPr>
          <w:lang w:val="fr-CA"/>
        </w:rPr>
        <w:t>Questions fréquemment posées</w:t>
      </w:r>
      <w:r w:rsidRPr="004E45A9">
        <w:rPr>
          <w:lang w:val="fr-CA"/>
        </w:rPr>
        <w:t xml:space="preserve"> (FAQ).</w:t>
      </w:r>
    </w:p>
  </w:footnote>
  <w:footnote w:id="10">
    <w:p w:rsidR="000E247F" w:rsidRPr="004E45A9" w:rsidRDefault="000E247F" w:rsidP="00721A8B">
      <w:pPr>
        <w:pStyle w:val="FootnoteText"/>
        <w:rPr>
          <w:lang w:val="fr-CA"/>
        </w:rPr>
      </w:pPr>
      <w:r w:rsidRPr="004E45A9">
        <w:rPr>
          <w:rStyle w:val="FootnoteReference"/>
          <w:lang w:val="fr-CA"/>
        </w:rPr>
        <w:footnoteRef/>
      </w:r>
      <w:r w:rsidR="00746267">
        <w:rPr>
          <w:lang w:val="fr-CA"/>
        </w:rPr>
        <w:t xml:space="preserve"> Document </w:t>
      </w:r>
      <w:hyperlink r:id="rId6" w:history="1">
        <w:r w:rsidR="00746267">
          <w:rPr>
            <w:rStyle w:val="Hyperlink"/>
            <w:lang w:val="fr-CA"/>
          </w:rPr>
          <w:t>GRAT</w:t>
        </w:r>
        <w:r w:rsidR="00746267">
          <w:rPr>
            <w:rStyle w:val="Hyperlink"/>
            <w:lang w:val="fr-CA"/>
          </w:rPr>
          <w:t>K</w:t>
        </w:r>
        <w:r w:rsidR="00746267">
          <w:rPr>
            <w:rStyle w:val="Hyperlink"/>
            <w:lang w:val="fr-CA"/>
          </w:rPr>
          <w:t>/DC/7</w:t>
        </w:r>
      </w:hyperlink>
      <w:r w:rsidR="00746267">
        <w:rPr>
          <w:lang w:val="fr-CA"/>
        </w:rPr>
        <w:t xml:space="preserve">. </w:t>
      </w:r>
    </w:p>
  </w:footnote>
  <w:footnote w:id="11">
    <w:p w:rsidR="004E45A9" w:rsidRPr="004E45A9" w:rsidRDefault="004E45A9" w:rsidP="004E45A9">
      <w:pPr>
        <w:pStyle w:val="FootnoteText"/>
        <w:rPr>
          <w:lang w:val="fr-CA"/>
        </w:rPr>
      </w:pPr>
      <w:r w:rsidRPr="004E45A9">
        <w:rPr>
          <w:rStyle w:val="FootnoteReference"/>
          <w:lang w:val="fr-CA"/>
        </w:rPr>
        <w:footnoteRef/>
      </w:r>
      <w:r w:rsidRPr="004E45A9">
        <w:rPr>
          <w:lang w:val="fr-CA"/>
        </w:rPr>
        <w:t xml:space="preserve"> La </w:t>
      </w:r>
      <w:r w:rsidR="00746267">
        <w:rPr>
          <w:lang w:val="fr-CA"/>
        </w:rPr>
        <w:t>dé</w:t>
      </w:r>
      <w:r w:rsidRPr="004E45A9">
        <w:rPr>
          <w:lang w:val="fr-CA"/>
        </w:rPr>
        <w:t>cision, au titre du point 13 </w:t>
      </w:r>
      <w:r w:rsidR="00746267">
        <w:rPr>
          <w:lang w:val="fr-CA"/>
        </w:rPr>
        <w:t>(</w:t>
      </w:r>
      <w:r w:rsidRPr="004E45A9">
        <w:rPr>
          <w:lang w:val="fr-CA"/>
        </w:rPr>
        <w:t>v)</w:t>
      </w:r>
      <w:r w:rsidR="00746267">
        <w:rPr>
          <w:lang w:val="fr-CA"/>
        </w:rPr>
        <w:t>,</w:t>
      </w:r>
      <w:r w:rsidRPr="004E45A9">
        <w:rPr>
          <w:lang w:val="fr-CA"/>
        </w:rPr>
        <w:t xml:space="preserve"> figure dans la </w:t>
      </w:r>
      <w:hyperlink r:id="rId7" w:history="1">
        <w:r w:rsidR="00746267">
          <w:rPr>
            <w:rStyle w:val="Hyperlink"/>
            <w:lang w:val="fr-CA"/>
          </w:rPr>
          <w:t>liste de décisions</w:t>
        </w:r>
        <w:r w:rsidR="00746267">
          <w:rPr>
            <w:rStyle w:val="Hyperlink"/>
            <w:lang w:val="fr-CA"/>
          </w:rPr>
          <w:t xml:space="preserve"> </w:t>
        </w:r>
        <w:r w:rsidR="00003783">
          <w:rPr>
            <w:rStyle w:val="Hyperlink"/>
            <w:lang w:val="fr-CA"/>
          </w:rPr>
          <w:noBreakHyphen/>
        </w:r>
        <w:r w:rsidR="00746267">
          <w:rPr>
            <w:rStyle w:val="Hyperlink"/>
            <w:lang w:val="fr-CA"/>
          </w:rPr>
          <w:t xml:space="preserve"> 202</w:t>
        </w:r>
        <w:r w:rsidR="00746267">
          <w:rPr>
            <w:rStyle w:val="Hyperlink"/>
            <w:lang w:val="fr-CA"/>
          </w:rPr>
          <w:t>3</w:t>
        </w:r>
        <w:r w:rsidR="00746267">
          <w:rPr>
            <w:rStyle w:val="Hyperlink"/>
            <w:lang w:val="fr-CA"/>
          </w:rPr>
          <w:t xml:space="preserve"> de l</w:t>
        </w:r>
        <w:r w:rsidR="00003783">
          <w:rPr>
            <w:rStyle w:val="Hyperlink"/>
            <w:lang w:val="fr-CA"/>
          </w:rPr>
          <w:t>’</w:t>
        </w:r>
        <w:r w:rsidR="00746267">
          <w:rPr>
            <w:rStyle w:val="Hyperlink"/>
            <w:lang w:val="fr-CA"/>
          </w:rPr>
          <w:t>OMPI</w:t>
        </w:r>
      </w:hyperlink>
      <w:r w:rsidR="00746267">
        <w:rPr>
          <w:lang w:val="fr-CA"/>
        </w:rPr>
        <w:t>.</w:t>
      </w:r>
    </w:p>
  </w:footnote>
  <w:footnote w:id="12">
    <w:p w:rsidR="000E247F" w:rsidRPr="004E45A9" w:rsidRDefault="000E247F" w:rsidP="00D81C76">
      <w:pPr>
        <w:pStyle w:val="FootnoteText"/>
        <w:rPr>
          <w:lang w:val="fr-CA"/>
        </w:rPr>
      </w:pPr>
      <w:r w:rsidRPr="004E45A9">
        <w:rPr>
          <w:rStyle w:val="FootnoteReference"/>
          <w:lang w:val="fr-CA"/>
        </w:rPr>
        <w:footnoteRef/>
      </w:r>
      <w:r w:rsidRPr="004E45A9">
        <w:rPr>
          <w:lang w:val="fr-CA"/>
        </w:rPr>
        <w:t xml:space="preserve"> Voir la notification </w:t>
      </w:r>
      <w:hyperlink r:id="rId8" w:history="1">
        <w:r w:rsidRPr="004E45A9">
          <w:rPr>
            <w:rStyle w:val="Hyperlink"/>
            <w:lang w:val="fr-CA"/>
          </w:rPr>
          <w:t>2024</w:t>
        </w:r>
        <w:r w:rsidR="00003783">
          <w:rPr>
            <w:rStyle w:val="Hyperlink"/>
            <w:lang w:val="fr-CA"/>
          </w:rPr>
          <w:noBreakHyphen/>
        </w:r>
        <w:r w:rsidRPr="004E45A9">
          <w:rPr>
            <w:rStyle w:val="Hyperlink"/>
            <w:lang w:val="fr-CA"/>
          </w:rPr>
          <w:t>074</w:t>
        </w:r>
      </w:hyperlink>
      <w:r w:rsidRPr="004E45A9">
        <w:rPr>
          <w:lang w:val="fr-CA"/>
        </w:rPr>
        <w:t xml:space="preserve"> du19 juillet 2024 pour de plus amples informations.</w:t>
      </w:r>
    </w:p>
  </w:footnote>
  <w:footnote w:id="13">
    <w:p w:rsidR="000E247F" w:rsidRPr="004E45A9" w:rsidRDefault="000E247F" w:rsidP="00033434">
      <w:pPr>
        <w:pStyle w:val="FootnoteText"/>
        <w:rPr>
          <w:lang w:val="fr-CA"/>
        </w:rPr>
      </w:pPr>
      <w:r w:rsidRPr="004E45A9">
        <w:rPr>
          <w:rStyle w:val="FootnoteReference"/>
          <w:lang w:val="fr-CA"/>
        </w:rPr>
        <w:footnoteRef/>
      </w:r>
      <w:r w:rsidRPr="004E45A9">
        <w:rPr>
          <w:lang w:val="fr-CA"/>
        </w:rPr>
        <w:t xml:space="preserve"> Voir la </w:t>
      </w:r>
      <w:hyperlink r:id="rId9" w:history="1">
        <w:r w:rsidRPr="004E45A9">
          <w:rPr>
            <w:rStyle w:val="Hyperlink"/>
            <w:lang w:val="fr-CA"/>
          </w:rPr>
          <w:t>notification 2024</w:t>
        </w:r>
        <w:r w:rsidR="00003783">
          <w:rPr>
            <w:rStyle w:val="Hyperlink"/>
            <w:lang w:val="fr-CA"/>
          </w:rPr>
          <w:noBreakHyphen/>
        </w:r>
        <w:r w:rsidRPr="004E45A9">
          <w:rPr>
            <w:rStyle w:val="Hyperlink"/>
            <w:lang w:val="fr-CA"/>
          </w:rPr>
          <w:t>022</w:t>
        </w:r>
      </w:hyperlink>
      <w:r w:rsidRPr="004E45A9">
        <w:rPr>
          <w:lang w:val="fr-CA"/>
        </w:rPr>
        <w:t xml:space="preserve"> du 29 février 2024 pour de plus amples informations au sujet de l</w:t>
      </w:r>
      <w:r w:rsidR="00003783">
        <w:rPr>
          <w:lang w:val="fr-CA"/>
        </w:rPr>
        <w:t>’</w:t>
      </w:r>
      <w:r w:rsidRPr="004E45A9">
        <w:rPr>
          <w:lang w:val="fr-CA"/>
        </w:rPr>
        <w:t>atelier.</w:t>
      </w:r>
    </w:p>
  </w:footnote>
  <w:footnote w:id="14">
    <w:p w:rsidR="000E247F" w:rsidRPr="004E45A9" w:rsidRDefault="000E247F" w:rsidP="00FC1914">
      <w:pPr>
        <w:pStyle w:val="FootnoteText"/>
        <w:rPr>
          <w:lang w:val="fr-CA"/>
        </w:rPr>
      </w:pPr>
      <w:r w:rsidRPr="004E45A9">
        <w:rPr>
          <w:rStyle w:val="FootnoteReference"/>
          <w:lang w:val="fr-CA"/>
        </w:rPr>
        <w:footnoteRef/>
      </w:r>
      <w:r w:rsidRPr="004E45A9">
        <w:rPr>
          <w:lang w:val="fr-CA"/>
        </w:rPr>
        <w:t xml:space="preserve"> </w:t>
      </w:r>
      <w:r w:rsidR="00CA1885" w:rsidRPr="004E45A9">
        <w:rPr>
          <w:lang w:val="fr-CA"/>
        </w:rPr>
        <w:t>L</w:t>
      </w:r>
      <w:r w:rsidR="00003783">
        <w:rPr>
          <w:lang w:val="fr-CA"/>
        </w:rPr>
        <w:t>’</w:t>
      </w:r>
      <w:r w:rsidR="00CA1885" w:rsidRPr="004E45A9">
        <w:rPr>
          <w:lang w:val="fr-CA"/>
        </w:rPr>
        <w:t>étude a été mise à disposition dans le document</w:t>
      </w:r>
      <w:r w:rsidRPr="004E45A9">
        <w:rPr>
          <w:lang w:val="fr-CA"/>
        </w:rPr>
        <w:t xml:space="preserve"> </w:t>
      </w:r>
      <w:hyperlink r:id="rId10" w:history="1">
        <w:r w:rsidRPr="004E45A9">
          <w:rPr>
            <w:rStyle w:val="Hyperlink"/>
            <w:lang w:val="fr-CA"/>
          </w:rPr>
          <w:t>CBD/SBSTTA/26/INF/12</w:t>
        </w:r>
      </w:hyperlink>
      <w:r w:rsidRPr="004E45A9">
        <w:rPr>
          <w:lang w:val="fr-CA"/>
        </w:rPr>
        <w:t xml:space="preserve">. </w:t>
      </w:r>
      <w:r w:rsidR="00CA1885" w:rsidRPr="004E45A9">
        <w:rPr>
          <w:lang w:val="fr-CA"/>
        </w:rPr>
        <w:t xml:space="preserve">Une traduction </w:t>
      </w:r>
      <w:hyperlink r:id="rId11" w:history="1">
        <w:r w:rsidR="00CA1885" w:rsidRPr="004E45A9">
          <w:rPr>
            <w:rStyle w:val="Hyperlink"/>
            <w:lang w:val="fr-CA"/>
          </w:rPr>
          <w:t>frança</w:t>
        </w:r>
        <w:r w:rsidR="00CA1885" w:rsidRPr="004E45A9">
          <w:rPr>
            <w:rStyle w:val="Hyperlink"/>
            <w:lang w:val="fr-CA"/>
          </w:rPr>
          <w:t>i</w:t>
        </w:r>
        <w:r w:rsidR="00CA1885" w:rsidRPr="004E45A9">
          <w:rPr>
            <w:rStyle w:val="Hyperlink"/>
            <w:lang w:val="fr-CA"/>
          </w:rPr>
          <w:t>se</w:t>
        </w:r>
      </w:hyperlink>
      <w:r w:rsidR="00CA1885" w:rsidRPr="004E45A9">
        <w:rPr>
          <w:lang w:val="fr-CA"/>
        </w:rPr>
        <w:t xml:space="preserve"> et</w:t>
      </w:r>
      <w:r w:rsidR="004F2F48">
        <w:rPr>
          <w:lang w:val="fr-CA"/>
        </w:rPr>
        <w:t xml:space="preserve"> une traduction</w:t>
      </w:r>
      <w:r w:rsidR="00CA1885" w:rsidRPr="004E45A9">
        <w:rPr>
          <w:lang w:val="fr-CA"/>
        </w:rPr>
        <w:t xml:space="preserve"> </w:t>
      </w:r>
      <w:hyperlink r:id="rId12" w:history="1">
        <w:r w:rsidR="00CA1885" w:rsidRPr="004E45A9">
          <w:rPr>
            <w:rStyle w:val="Hyperlink"/>
            <w:lang w:val="fr-CA"/>
          </w:rPr>
          <w:t>espag</w:t>
        </w:r>
        <w:r w:rsidR="00CA1885" w:rsidRPr="004E45A9">
          <w:rPr>
            <w:rStyle w:val="Hyperlink"/>
            <w:lang w:val="fr-CA"/>
          </w:rPr>
          <w:t>n</w:t>
        </w:r>
        <w:r w:rsidR="00CA1885" w:rsidRPr="004E45A9">
          <w:rPr>
            <w:rStyle w:val="Hyperlink"/>
            <w:lang w:val="fr-CA"/>
          </w:rPr>
          <w:t>ole</w:t>
        </w:r>
      </w:hyperlink>
      <w:r w:rsidR="00CA1885" w:rsidRPr="004E45A9">
        <w:rPr>
          <w:lang w:val="fr-CA"/>
        </w:rPr>
        <w:t xml:space="preserve"> de l</w:t>
      </w:r>
      <w:r w:rsidR="00003783">
        <w:rPr>
          <w:lang w:val="fr-CA"/>
        </w:rPr>
        <w:t>’</w:t>
      </w:r>
      <w:r w:rsidR="00CA1885" w:rsidRPr="004E45A9">
        <w:rPr>
          <w:lang w:val="fr-CA"/>
        </w:rPr>
        <w:t>étude ont été</w:t>
      </w:r>
      <w:r w:rsidR="00CB4E4D" w:rsidRPr="004E45A9">
        <w:rPr>
          <w:lang w:val="fr-CA"/>
        </w:rPr>
        <w:t xml:space="preserve"> gracieusement </w:t>
      </w:r>
      <w:r w:rsidR="00CA1885" w:rsidRPr="004E45A9">
        <w:rPr>
          <w:lang w:val="fr-CA"/>
        </w:rPr>
        <w:t>fournies par les auteurs.</w:t>
      </w:r>
    </w:p>
  </w:footnote>
  <w:footnote w:id="15">
    <w:p w:rsidR="000E247F" w:rsidRPr="004E45A9" w:rsidRDefault="000E247F" w:rsidP="00A8407E">
      <w:pPr>
        <w:pStyle w:val="FootnoteText"/>
        <w:rPr>
          <w:lang w:val="fr-CA"/>
        </w:rPr>
      </w:pPr>
      <w:r w:rsidRPr="004E45A9">
        <w:rPr>
          <w:rStyle w:val="FootnoteReference"/>
          <w:lang w:val="fr-CA"/>
        </w:rPr>
        <w:footnoteRef/>
      </w:r>
      <w:r w:rsidRPr="004E45A9">
        <w:rPr>
          <w:lang w:val="fr-CA"/>
        </w:rPr>
        <w:t xml:space="preserve"> </w:t>
      </w:r>
      <w:r w:rsidR="00CB4E4D" w:rsidRPr="004E45A9">
        <w:rPr>
          <w:lang w:val="fr-CA"/>
        </w:rPr>
        <w:t>Des informations supplémentaires sur le Groupe spécial d</w:t>
      </w:r>
      <w:r w:rsidR="00003783">
        <w:rPr>
          <w:lang w:val="fr-CA"/>
        </w:rPr>
        <w:t>’</w:t>
      </w:r>
      <w:r w:rsidR="00CB4E4D" w:rsidRPr="004E45A9">
        <w:rPr>
          <w:lang w:val="fr-CA"/>
        </w:rPr>
        <w:t>experts techniques sur les indicateurs sont disponibles à l</w:t>
      </w:r>
      <w:r w:rsidR="00003783">
        <w:rPr>
          <w:lang w:val="fr-CA"/>
        </w:rPr>
        <w:t>’</w:t>
      </w:r>
      <w:r w:rsidR="00CB4E4D" w:rsidRPr="004E45A9">
        <w:rPr>
          <w:lang w:val="fr-CA"/>
        </w:rPr>
        <w:t xml:space="preserve">adresse </w:t>
      </w:r>
      <w:hyperlink r:id="rId13" w:history="1">
        <w:r w:rsidR="00CB4E4D" w:rsidRPr="004E45A9">
          <w:rPr>
            <w:rStyle w:val="Hyperlink"/>
            <w:lang w:val="fr-CA"/>
          </w:rPr>
          <w:t>www.cbd.int/conferences/indicators</w:t>
        </w:r>
        <w:r w:rsidR="00003783">
          <w:rPr>
            <w:rStyle w:val="Hyperlink"/>
            <w:lang w:val="fr-CA"/>
          </w:rPr>
          <w:noBreakHyphen/>
        </w:r>
        <w:r w:rsidR="00CB4E4D" w:rsidRPr="004E45A9">
          <w:rPr>
            <w:rStyle w:val="Hyperlink"/>
            <w:lang w:val="fr-CA"/>
          </w:rPr>
          <w:t>ahteg</w:t>
        </w:r>
      </w:hyperlink>
      <w:r w:rsidR="00CB4E4D" w:rsidRPr="004E45A9">
        <w:rPr>
          <w:lang w:val="fr-CA"/>
        </w:rPr>
        <w:t xml:space="preserve"> .</w:t>
      </w:r>
    </w:p>
  </w:footnote>
  <w:footnote w:id="16">
    <w:p w:rsidR="00F24213" w:rsidRPr="004E45A9" w:rsidRDefault="00F24213" w:rsidP="00F24213">
      <w:pPr>
        <w:pStyle w:val="FootnoteText"/>
        <w:rPr>
          <w:lang w:val="fr-CA"/>
        </w:rPr>
      </w:pPr>
      <w:r w:rsidRPr="004E45A9">
        <w:rPr>
          <w:rStyle w:val="FootnoteReference"/>
          <w:lang w:val="fr-CA"/>
        </w:rPr>
        <w:footnoteRef/>
      </w:r>
      <w:r w:rsidRPr="004E45A9">
        <w:rPr>
          <w:lang w:val="fr-CA"/>
        </w:rPr>
        <w:t xml:space="preserve"> </w:t>
      </w:r>
      <w:r w:rsidR="00CB4E4D" w:rsidRPr="004E45A9">
        <w:rPr>
          <w:lang w:val="fr-CA"/>
        </w:rPr>
        <w:t xml:space="preserve">Voir </w:t>
      </w:r>
      <w:r w:rsidRPr="004E45A9">
        <w:rPr>
          <w:lang w:val="fr-CA"/>
        </w:rPr>
        <w:t>document CBD/NP/MOP/5/7</w:t>
      </w:r>
      <w:r w:rsidR="00CB4E4D" w:rsidRPr="004E45A9">
        <w:rPr>
          <w:lang w:val="fr-CA"/>
        </w:rPr>
        <w:t xml:space="preserve"> pour de plus amples informations sur les activités de sensibilisation pour le Centre d</w:t>
      </w:r>
      <w:r w:rsidR="00003783">
        <w:rPr>
          <w:lang w:val="fr-CA"/>
        </w:rPr>
        <w:t>’</w:t>
      </w:r>
      <w:r w:rsidR="00CB4E4D" w:rsidRPr="004E45A9">
        <w:rPr>
          <w:lang w:val="fr-CA"/>
        </w:rPr>
        <w:t>échange sur l</w:t>
      </w:r>
      <w:r w:rsidR="00003783">
        <w:rPr>
          <w:lang w:val="fr-CA"/>
        </w:rPr>
        <w:t>’</w:t>
      </w:r>
      <w:r w:rsidR="00CB4E4D" w:rsidRPr="004E45A9">
        <w:rPr>
          <w:lang w:val="fr-CA"/>
        </w:rPr>
        <w:t>accès et le partage des avantages.</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okmarkStart w:id="2" w:name="_Hlk137802784"/>
  <w:bookmarkStart w:id="3" w:name="_Hlk137802785"/>
  <w:p w:rsidR="000E247F" w:rsidRPr="002B559C" w:rsidRDefault="00DD7E0F" w:rsidP="002B559C">
    <w:pPr>
      <w:pStyle w:val="Header"/>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0E247F">
          <w:rPr>
            <w:szCs w:val="20"/>
            <w:lang w:val="fr-FR"/>
          </w:rPr>
          <w:t>CBD/NP/MOP/5/8</w:t>
        </w:r>
      </w:sdtContent>
    </w:sdt>
    <w:bookmarkEnd w:id="2"/>
    <w:bookmarkEnd w:id="3"/>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rsidR="000E247F" w:rsidRPr="002B559C" w:rsidRDefault="000E247F" w:rsidP="002B559C">
        <w:pPr>
          <w:pStyle w:val="Header"/>
          <w:spacing w:after="240"/>
          <w:jc w:val="right"/>
          <w:rPr>
            <w:szCs w:val="20"/>
            <w:lang w:val="fr-FR"/>
          </w:rPr>
        </w:pPr>
        <w:r>
          <w:rPr>
            <w:szCs w:val="20"/>
            <w:lang w:val="fr-FR"/>
          </w:rPr>
          <w:t>CBD/NP/MOP/5/8</w:t>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abstractNumId w:val="1"/>
  </w:num>
  <w:num w:numId="2">
    <w:abstractNumId w:val="0"/>
  </w:num>
  <w:num w:numId="3">
    <w:abstractNumId w:val="2"/>
  </w:num>
  <w:num w:numId="4">
    <w:abstractNumId w:val="2"/>
  </w:num>
  <w:num w:numId="5">
    <w:abstractNumId w:val="3"/>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attachedTemplate r:id="rId1"/>
  <w:defaultTabStop w:val="720"/>
  <w:hyphenationZone w:val="425"/>
  <w:evenAndOddHeaders/>
  <w:characterSpacingControl w:val="doNotCompress"/>
  <w:hdrShapeDefaults>
    <o:shapedefaults v:ext="edit" spidmax="12290"/>
  </w:hdrShapeDefaults>
  <w:footnotePr>
    <w:footnote w:id="-1"/>
    <w:footnote w:id="0"/>
    <w:footnote w:id="1"/>
  </w:footnotePr>
  <w:endnotePr>
    <w:endnote w:id="-1"/>
    <w:endnote w:id="0"/>
    <w:endnote w:id="1"/>
  </w:endnotePr>
  <w:compat/>
  <w:rsids>
    <w:rsidRoot w:val="008F6964"/>
    <w:rsid w:val="00000BDB"/>
    <w:rsid w:val="00001C90"/>
    <w:rsid w:val="000023B2"/>
    <w:rsid w:val="00003783"/>
    <w:rsid w:val="000052AB"/>
    <w:rsid w:val="00005830"/>
    <w:rsid w:val="00005895"/>
    <w:rsid w:val="00007DE3"/>
    <w:rsid w:val="00010682"/>
    <w:rsid w:val="00011BAF"/>
    <w:rsid w:val="0001206E"/>
    <w:rsid w:val="00012631"/>
    <w:rsid w:val="0001280B"/>
    <w:rsid w:val="00012A79"/>
    <w:rsid w:val="000147A1"/>
    <w:rsid w:val="00014E13"/>
    <w:rsid w:val="0001628A"/>
    <w:rsid w:val="00017F83"/>
    <w:rsid w:val="0002030C"/>
    <w:rsid w:val="00020552"/>
    <w:rsid w:val="000211C1"/>
    <w:rsid w:val="00022B06"/>
    <w:rsid w:val="00022C4E"/>
    <w:rsid w:val="00023862"/>
    <w:rsid w:val="000267B8"/>
    <w:rsid w:val="00031320"/>
    <w:rsid w:val="00031A20"/>
    <w:rsid w:val="0003261D"/>
    <w:rsid w:val="0003273E"/>
    <w:rsid w:val="0003327C"/>
    <w:rsid w:val="00033434"/>
    <w:rsid w:val="000339FE"/>
    <w:rsid w:val="00034000"/>
    <w:rsid w:val="000343AB"/>
    <w:rsid w:val="0003672C"/>
    <w:rsid w:val="00037030"/>
    <w:rsid w:val="000370A6"/>
    <w:rsid w:val="0003718B"/>
    <w:rsid w:val="000373C6"/>
    <w:rsid w:val="00037E1C"/>
    <w:rsid w:val="00040598"/>
    <w:rsid w:val="000407F5"/>
    <w:rsid w:val="00041FBE"/>
    <w:rsid w:val="0004260F"/>
    <w:rsid w:val="00042A8B"/>
    <w:rsid w:val="000433FD"/>
    <w:rsid w:val="000437C5"/>
    <w:rsid w:val="0004451B"/>
    <w:rsid w:val="00046205"/>
    <w:rsid w:val="00046E20"/>
    <w:rsid w:val="00047ACE"/>
    <w:rsid w:val="00047CB5"/>
    <w:rsid w:val="00050963"/>
    <w:rsid w:val="00050CE4"/>
    <w:rsid w:val="000512E5"/>
    <w:rsid w:val="00053704"/>
    <w:rsid w:val="00054027"/>
    <w:rsid w:val="00056F1C"/>
    <w:rsid w:val="00063DFF"/>
    <w:rsid w:val="000659A4"/>
    <w:rsid w:val="000701EB"/>
    <w:rsid w:val="0007152F"/>
    <w:rsid w:val="000726F7"/>
    <w:rsid w:val="00073161"/>
    <w:rsid w:val="0007345E"/>
    <w:rsid w:val="00073FDB"/>
    <w:rsid w:val="0007401B"/>
    <w:rsid w:val="00074911"/>
    <w:rsid w:val="00074DB8"/>
    <w:rsid w:val="00074F1F"/>
    <w:rsid w:val="00075A07"/>
    <w:rsid w:val="00076FDF"/>
    <w:rsid w:val="0008029D"/>
    <w:rsid w:val="000802B9"/>
    <w:rsid w:val="00080E52"/>
    <w:rsid w:val="000812B7"/>
    <w:rsid w:val="00082BF5"/>
    <w:rsid w:val="00083452"/>
    <w:rsid w:val="0008536A"/>
    <w:rsid w:val="00086565"/>
    <w:rsid w:val="00087ECC"/>
    <w:rsid w:val="00090332"/>
    <w:rsid w:val="000915F9"/>
    <w:rsid w:val="0009166E"/>
    <w:rsid w:val="00091BFA"/>
    <w:rsid w:val="00092E2B"/>
    <w:rsid w:val="0009365D"/>
    <w:rsid w:val="000936A5"/>
    <w:rsid w:val="00093B9D"/>
    <w:rsid w:val="00094D22"/>
    <w:rsid w:val="000950E3"/>
    <w:rsid w:val="00095EE6"/>
    <w:rsid w:val="0009685D"/>
    <w:rsid w:val="00096B10"/>
    <w:rsid w:val="00096D9C"/>
    <w:rsid w:val="000A06F8"/>
    <w:rsid w:val="000A1195"/>
    <w:rsid w:val="000A3048"/>
    <w:rsid w:val="000A3F28"/>
    <w:rsid w:val="000A464E"/>
    <w:rsid w:val="000A668D"/>
    <w:rsid w:val="000A69DB"/>
    <w:rsid w:val="000A71D4"/>
    <w:rsid w:val="000A73F9"/>
    <w:rsid w:val="000A753E"/>
    <w:rsid w:val="000A75F2"/>
    <w:rsid w:val="000B0D43"/>
    <w:rsid w:val="000B1B0B"/>
    <w:rsid w:val="000B2EA0"/>
    <w:rsid w:val="000B36F0"/>
    <w:rsid w:val="000B6D93"/>
    <w:rsid w:val="000B7F7C"/>
    <w:rsid w:val="000B7FED"/>
    <w:rsid w:val="000C0855"/>
    <w:rsid w:val="000C131C"/>
    <w:rsid w:val="000C1737"/>
    <w:rsid w:val="000C2E28"/>
    <w:rsid w:val="000C3746"/>
    <w:rsid w:val="000C4D65"/>
    <w:rsid w:val="000C7836"/>
    <w:rsid w:val="000C789F"/>
    <w:rsid w:val="000D1477"/>
    <w:rsid w:val="000D1784"/>
    <w:rsid w:val="000D20B7"/>
    <w:rsid w:val="000D2A03"/>
    <w:rsid w:val="000D3390"/>
    <w:rsid w:val="000D343C"/>
    <w:rsid w:val="000D4318"/>
    <w:rsid w:val="000D5AF5"/>
    <w:rsid w:val="000D73C6"/>
    <w:rsid w:val="000D7CE9"/>
    <w:rsid w:val="000E0B0E"/>
    <w:rsid w:val="000E0F25"/>
    <w:rsid w:val="000E1365"/>
    <w:rsid w:val="000E1E63"/>
    <w:rsid w:val="000E247F"/>
    <w:rsid w:val="000E2966"/>
    <w:rsid w:val="000E39D7"/>
    <w:rsid w:val="000E3C8F"/>
    <w:rsid w:val="000E4867"/>
    <w:rsid w:val="000E66FA"/>
    <w:rsid w:val="000F03D5"/>
    <w:rsid w:val="000F0DF1"/>
    <w:rsid w:val="000F2E4E"/>
    <w:rsid w:val="000F3812"/>
    <w:rsid w:val="000F471C"/>
    <w:rsid w:val="00101CF9"/>
    <w:rsid w:val="00101E16"/>
    <w:rsid w:val="001036BE"/>
    <w:rsid w:val="00103A0E"/>
    <w:rsid w:val="00107D10"/>
    <w:rsid w:val="0011091B"/>
    <w:rsid w:val="00110E69"/>
    <w:rsid w:val="0011119F"/>
    <w:rsid w:val="0011163D"/>
    <w:rsid w:val="0011175E"/>
    <w:rsid w:val="00112FB9"/>
    <w:rsid w:val="00113959"/>
    <w:rsid w:val="001154C3"/>
    <w:rsid w:val="001161DD"/>
    <w:rsid w:val="00117306"/>
    <w:rsid w:val="00122404"/>
    <w:rsid w:val="00124707"/>
    <w:rsid w:val="00125344"/>
    <w:rsid w:val="00125785"/>
    <w:rsid w:val="00126473"/>
    <w:rsid w:val="00126F5A"/>
    <w:rsid w:val="00132581"/>
    <w:rsid w:val="00132AE8"/>
    <w:rsid w:val="0013652D"/>
    <w:rsid w:val="001366DA"/>
    <w:rsid w:val="00137C1E"/>
    <w:rsid w:val="001405E8"/>
    <w:rsid w:val="001419F7"/>
    <w:rsid w:val="00142608"/>
    <w:rsid w:val="00142A5C"/>
    <w:rsid w:val="0014392E"/>
    <w:rsid w:val="00144454"/>
    <w:rsid w:val="00144508"/>
    <w:rsid w:val="001450F0"/>
    <w:rsid w:val="00145D12"/>
    <w:rsid w:val="00146F08"/>
    <w:rsid w:val="00147215"/>
    <w:rsid w:val="00150978"/>
    <w:rsid w:val="00150E70"/>
    <w:rsid w:val="001524F4"/>
    <w:rsid w:val="00152845"/>
    <w:rsid w:val="00153341"/>
    <w:rsid w:val="0015375F"/>
    <w:rsid w:val="00153A00"/>
    <w:rsid w:val="0015527D"/>
    <w:rsid w:val="0015534E"/>
    <w:rsid w:val="00155C43"/>
    <w:rsid w:val="00157E84"/>
    <w:rsid w:val="00160624"/>
    <w:rsid w:val="00162EC5"/>
    <w:rsid w:val="00163279"/>
    <w:rsid w:val="00164AD1"/>
    <w:rsid w:val="001666A8"/>
    <w:rsid w:val="00166ABB"/>
    <w:rsid w:val="00166D6E"/>
    <w:rsid w:val="001705A9"/>
    <w:rsid w:val="00170DD0"/>
    <w:rsid w:val="00171ACF"/>
    <w:rsid w:val="00172CFE"/>
    <w:rsid w:val="00172FD3"/>
    <w:rsid w:val="00173204"/>
    <w:rsid w:val="0017408A"/>
    <w:rsid w:val="00175D5B"/>
    <w:rsid w:val="00181011"/>
    <w:rsid w:val="001814E6"/>
    <w:rsid w:val="0018166E"/>
    <w:rsid w:val="00182232"/>
    <w:rsid w:val="00182563"/>
    <w:rsid w:val="00182AB6"/>
    <w:rsid w:val="00184909"/>
    <w:rsid w:val="00184B16"/>
    <w:rsid w:val="00185497"/>
    <w:rsid w:val="00186472"/>
    <w:rsid w:val="00187202"/>
    <w:rsid w:val="00190197"/>
    <w:rsid w:val="00190D38"/>
    <w:rsid w:val="00191028"/>
    <w:rsid w:val="001930EB"/>
    <w:rsid w:val="00194284"/>
    <w:rsid w:val="00194973"/>
    <w:rsid w:val="00195744"/>
    <w:rsid w:val="001959B4"/>
    <w:rsid w:val="00196D7F"/>
    <w:rsid w:val="0019753E"/>
    <w:rsid w:val="001A0385"/>
    <w:rsid w:val="001A14DC"/>
    <w:rsid w:val="001A2698"/>
    <w:rsid w:val="001A279A"/>
    <w:rsid w:val="001A2A09"/>
    <w:rsid w:val="001A3213"/>
    <w:rsid w:val="001A433C"/>
    <w:rsid w:val="001A5C1E"/>
    <w:rsid w:val="001A6F3B"/>
    <w:rsid w:val="001A71A5"/>
    <w:rsid w:val="001A7A21"/>
    <w:rsid w:val="001A7A53"/>
    <w:rsid w:val="001B1B8B"/>
    <w:rsid w:val="001B284A"/>
    <w:rsid w:val="001B376F"/>
    <w:rsid w:val="001B4FF0"/>
    <w:rsid w:val="001B645B"/>
    <w:rsid w:val="001B6E77"/>
    <w:rsid w:val="001B780E"/>
    <w:rsid w:val="001B7DBF"/>
    <w:rsid w:val="001C006D"/>
    <w:rsid w:val="001C1A7F"/>
    <w:rsid w:val="001C22A0"/>
    <w:rsid w:val="001C4D66"/>
    <w:rsid w:val="001C58A1"/>
    <w:rsid w:val="001C60E8"/>
    <w:rsid w:val="001C755D"/>
    <w:rsid w:val="001C75E8"/>
    <w:rsid w:val="001D3FF2"/>
    <w:rsid w:val="001D4261"/>
    <w:rsid w:val="001D52BB"/>
    <w:rsid w:val="001D5E6E"/>
    <w:rsid w:val="001D7501"/>
    <w:rsid w:val="001D79B8"/>
    <w:rsid w:val="001D7EDA"/>
    <w:rsid w:val="001E0D49"/>
    <w:rsid w:val="001E3389"/>
    <w:rsid w:val="001E377C"/>
    <w:rsid w:val="001E5BCE"/>
    <w:rsid w:val="001E7EE0"/>
    <w:rsid w:val="001F023B"/>
    <w:rsid w:val="001F0449"/>
    <w:rsid w:val="001F0516"/>
    <w:rsid w:val="001F08F8"/>
    <w:rsid w:val="001F0A04"/>
    <w:rsid w:val="001F0D1C"/>
    <w:rsid w:val="001F12CE"/>
    <w:rsid w:val="001F1559"/>
    <w:rsid w:val="001F17B3"/>
    <w:rsid w:val="001F2DD3"/>
    <w:rsid w:val="001F3C26"/>
    <w:rsid w:val="001F439B"/>
    <w:rsid w:val="001F6EF9"/>
    <w:rsid w:val="001F76F1"/>
    <w:rsid w:val="001F76F2"/>
    <w:rsid w:val="001F7B2E"/>
    <w:rsid w:val="00200A2B"/>
    <w:rsid w:val="00201BD0"/>
    <w:rsid w:val="00202EB9"/>
    <w:rsid w:val="00203954"/>
    <w:rsid w:val="00204699"/>
    <w:rsid w:val="0020509C"/>
    <w:rsid w:val="00205C38"/>
    <w:rsid w:val="002062DA"/>
    <w:rsid w:val="0020678D"/>
    <w:rsid w:val="00206A6E"/>
    <w:rsid w:val="00210DD4"/>
    <w:rsid w:val="00210EB4"/>
    <w:rsid w:val="002115A5"/>
    <w:rsid w:val="002127F6"/>
    <w:rsid w:val="00212908"/>
    <w:rsid w:val="002129F2"/>
    <w:rsid w:val="00212A4B"/>
    <w:rsid w:val="00212E75"/>
    <w:rsid w:val="0021319B"/>
    <w:rsid w:val="00213FA9"/>
    <w:rsid w:val="00214A63"/>
    <w:rsid w:val="00214D49"/>
    <w:rsid w:val="00214E40"/>
    <w:rsid w:val="002153D9"/>
    <w:rsid w:val="0021599C"/>
    <w:rsid w:val="00215CDD"/>
    <w:rsid w:val="00222DE1"/>
    <w:rsid w:val="002233C7"/>
    <w:rsid w:val="00223AEB"/>
    <w:rsid w:val="00224564"/>
    <w:rsid w:val="002262C1"/>
    <w:rsid w:val="00227E7C"/>
    <w:rsid w:val="00231B9B"/>
    <w:rsid w:val="00231CEF"/>
    <w:rsid w:val="0023305D"/>
    <w:rsid w:val="00233271"/>
    <w:rsid w:val="00233729"/>
    <w:rsid w:val="00235CB6"/>
    <w:rsid w:val="00236070"/>
    <w:rsid w:val="00237EED"/>
    <w:rsid w:val="0024035E"/>
    <w:rsid w:val="00241DE5"/>
    <w:rsid w:val="00242A43"/>
    <w:rsid w:val="002445C7"/>
    <w:rsid w:val="0024586A"/>
    <w:rsid w:val="002466DA"/>
    <w:rsid w:val="00246C1B"/>
    <w:rsid w:val="00247DCE"/>
    <w:rsid w:val="0025090B"/>
    <w:rsid w:val="00250F29"/>
    <w:rsid w:val="0025372B"/>
    <w:rsid w:val="0025561B"/>
    <w:rsid w:val="00255DBC"/>
    <w:rsid w:val="002569D1"/>
    <w:rsid w:val="00260C8A"/>
    <w:rsid w:val="00260D2F"/>
    <w:rsid w:val="00262BB2"/>
    <w:rsid w:val="00263817"/>
    <w:rsid w:val="00263B09"/>
    <w:rsid w:val="00264AF6"/>
    <w:rsid w:val="002654B4"/>
    <w:rsid w:val="00265B8D"/>
    <w:rsid w:val="00266004"/>
    <w:rsid w:val="00266104"/>
    <w:rsid w:val="00266B11"/>
    <w:rsid w:val="00267630"/>
    <w:rsid w:val="00270C76"/>
    <w:rsid w:val="00270ED0"/>
    <w:rsid w:val="002728F0"/>
    <w:rsid w:val="00272A35"/>
    <w:rsid w:val="00274715"/>
    <w:rsid w:val="00274B86"/>
    <w:rsid w:val="00275156"/>
    <w:rsid w:val="002768DE"/>
    <w:rsid w:val="0027791E"/>
    <w:rsid w:val="00280676"/>
    <w:rsid w:val="0028076C"/>
    <w:rsid w:val="002819DE"/>
    <w:rsid w:val="002868B9"/>
    <w:rsid w:val="002870E6"/>
    <w:rsid w:val="0029073E"/>
    <w:rsid w:val="00290A1D"/>
    <w:rsid w:val="00290E7B"/>
    <w:rsid w:val="002926A4"/>
    <w:rsid w:val="00292A4B"/>
    <w:rsid w:val="002942B4"/>
    <w:rsid w:val="002961D6"/>
    <w:rsid w:val="002962BA"/>
    <w:rsid w:val="002A02CD"/>
    <w:rsid w:val="002A0CA9"/>
    <w:rsid w:val="002A105F"/>
    <w:rsid w:val="002A1087"/>
    <w:rsid w:val="002A1125"/>
    <w:rsid w:val="002A11EC"/>
    <w:rsid w:val="002A13F3"/>
    <w:rsid w:val="002A2E97"/>
    <w:rsid w:val="002A4428"/>
    <w:rsid w:val="002A6637"/>
    <w:rsid w:val="002A773C"/>
    <w:rsid w:val="002A7C01"/>
    <w:rsid w:val="002B00CA"/>
    <w:rsid w:val="002B113D"/>
    <w:rsid w:val="002B26E6"/>
    <w:rsid w:val="002B2F5A"/>
    <w:rsid w:val="002B402B"/>
    <w:rsid w:val="002B403C"/>
    <w:rsid w:val="002B4866"/>
    <w:rsid w:val="002B51EC"/>
    <w:rsid w:val="002B559C"/>
    <w:rsid w:val="002B55C4"/>
    <w:rsid w:val="002B59F3"/>
    <w:rsid w:val="002C0310"/>
    <w:rsid w:val="002C136C"/>
    <w:rsid w:val="002C322F"/>
    <w:rsid w:val="002C4890"/>
    <w:rsid w:val="002C56FF"/>
    <w:rsid w:val="002C574A"/>
    <w:rsid w:val="002C612C"/>
    <w:rsid w:val="002C625C"/>
    <w:rsid w:val="002C76F0"/>
    <w:rsid w:val="002C77C5"/>
    <w:rsid w:val="002C7E76"/>
    <w:rsid w:val="002D0C9B"/>
    <w:rsid w:val="002D0CB4"/>
    <w:rsid w:val="002D1BF3"/>
    <w:rsid w:val="002D1C5D"/>
    <w:rsid w:val="002D28B6"/>
    <w:rsid w:val="002D2E2E"/>
    <w:rsid w:val="002D31F5"/>
    <w:rsid w:val="002D3322"/>
    <w:rsid w:val="002D334E"/>
    <w:rsid w:val="002E1304"/>
    <w:rsid w:val="002E16D9"/>
    <w:rsid w:val="002E295B"/>
    <w:rsid w:val="002E2AD2"/>
    <w:rsid w:val="002E2C38"/>
    <w:rsid w:val="002E2D32"/>
    <w:rsid w:val="002E2F62"/>
    <w:rsid w:val="002E3116"/>
    <w:rsid w:val="002E3232"/>
    <w:rsid w:val="002E4569"/>
    <w:rsid w:val="002E4938"/>
    <w:rsid w:val="002E53FE"/>
    <w:rsid w:val="002E5A33"/>
    <w:rsid w:val="002E6047"/>
    <w:rsid w:val="002E6C15"/>
    <w:rsid w:val="002E79B4"/>
    <w:rsid w:val="002F1243"/>
    <w:rsid w:val="002F27BE"/>
    <w:rsid w:val="002F2FB4"/>
    <w:rsid w:val="002F5608"/>
    <w:rsid w:val="002F767F"/>
    <w:rsid w:val="00305E8D"/>
    <w:rsid w:val="00306DE1"/>
    <w:rsid w:val="00307A23"/>
    <w:rsid w:val="00310608"/>
    <w:rsid w:val="00311D95"/>
    <w:rsid w:val="0031355E"/>
    <w:rsid w:val="00314645"/>
    <w:rsid w:val="00314AFF"/>
    <w:rsid w:val="00315A7F"/>
    <w:rsid w:val="00315FD5"/>
    <w:rsid w:val="00316045"/>
    <w:rsid w:val="0031719C"/>
    <w:rsid w:val="003174BC"/>
    <w:rsid w:val="00320109"/>
    <w:rsid w:val="00320F7A"/>
    <w:rsid w:val="00321BA1"/>
    <w:rsid w:val="00322879"/>
    <w:rsid w:val="00323F22"/>
    <w:rsid w:val="00331432"/>
    <w:rsid w:val="003359DE"/>
    <w:rsid w:val="003359E1"/>
    <w:rsid w:val="003376F8"/>
    <w:rsid w:val="00341D99"/>
    <w:rsid w:val="00342219"/>
    <w:rsid w:val="00342255"/>
    <w:rsid w:val="003425AD"/>
    <w:rsid w:val="00344737"/>
    <w:rsid w:val="003476A9"/>
    <w:rsid w:val="0035090F"/>
    <w:rsid w:val="00351F15"/>
    <w:rsid w:val="00352191"/>
    <w:rsid w:val="0035368E"/>
    <w:rsid w:val="003539AB"/>
    <w:rsid w:val="00353C25"/>
    <w:rsid w:val="00354207"/>
    <w:rsid w:val="00354B9E"/>
    <w:rsid w:val="00354D01"/>
    <w:rsid w:val="00354EAA"/>
    <w:rsid w:val="0035504D"/>
    <w:rsid w:val="003565B6"/>
    <w:rsid w:val="003568BF"/>
    <w:rsid w:val="00356F50"/>
    <w:rsid w:val="003570DB"/>
    <w:rsid w:val="00360808"/>
    <w:rsid w:val="0036115A"/>
    <w:rsid w:val="00361660"/>
    <w:rsid w:val="003617D1"/>
    <w:rsid w:val="00361C20"/>
    <w:rsid w:val="00361E9F"/>
    <w:rsid w:val="00362451"/>
    <w:rsid w:val="00362637"/>
    <w:rsid w:val="00362937"/>
    <w:rsid w:val="00364C7D"/>
    <w:rsid w:val="00364D2D"/>
    <w:rsid w:val="003651AB"/>
    <w:rsid w:val="00365F01"/>
    <w:rsid w:val="00365F09"/>
    <w:rsid w:val="00367D88"/>
    <w:rsid w:val="003718E3"/>
    <w:rsid w:val="00372E75"/>
    <w:rsid w:val="003737EC"/>
    <w:rsid w:val="00375173"/>
    <w:rsid w:val="00375D99"/>
    <w:rsid w:val="003810CF"/>
    <w:rsid w:val="00382C36"/>
    <w:rsid w:val="00382FA4"/>
    <w:rsid w:val="00384529"/>
    <w:rsid w:val="003860BD"/>
    <w:rsid w:val="003864FD"/>
    <w:rsid w:val="00387EFB"/>
    <w:rsid w:val="0039109D"/>
    <w:rsid w:val="00393B24"/>
    <w:rsid w:val="0039453F"/>
    <w:rsid w:val="00396CCF"/>
    <w:rsid w:val="00396D2D"/>
    <w:rsid w:val="00397094"/>
    <w:rsid w:val="003A034A"/>
    <w:rsid w:val="003A09D1"/>
    <w:rsid w:val="003A0CC1"/>
    <w:rsid w:val="003A0D8B"/>
    <w:rsid w:val="003A1229"/>
    <w:rsid w:val="003A15C9"/>
    <w:rsid w:val="003A1A5C"/>
    <w:rsid w:val="003A1D88"/>
    <w:rsid w:val="003A1F92"/>
    <w:rsid w:val="003A2224"/>
    <w:rsid w:val="003A26DC"/>
    <w:rsid w:val="003A2E1C"/>
    <w:rsid w:val="003A3023"/>
    <w:rsid w:val="003A3BD7"/>
    <w:rsid w:val="003A3D15"/>
    <w:rsid w:val="003A5321"/>
    <w:rsid w:val="003A559C"/>
    <w:rsid w:val="003B007A"/>
    <w:rsid w:val="003B0379"/>
    <w:rsid w:val="003B100B"/>
    <w:rsid w:val="003B2083"/>
    <w:rsid w:val="003B23FE"/>
    <w:rsid w:val="003B35F6"/>
    <w:rsid w:val="003B45F8"/>
    <w:rsid w:val="003B4A93"/>
    <w:rsid w:val="003B54E3"/>
    <w:rsid w:val="003B66E4"/>
    <w:rsid w:val="003B698A"/>
    <w:rsid w:val="003C046F"/>
    <w:rsid w:val="003C08B1"/>
    <w:rsid w:val="003C0AE8"/>
    <w:rsid w:val="003C2C70"/>
    <w:rsid w:val="003C3266"/>
    <w:rsid w:val="003C42CC"/>
    <w:rsid w:val="003C4A7F"/>
    <w:rsid w:val="003C6F10"/>
    <w:rsid w:val="003C7C7E"/>
    <w:rsid w:val="003D06CF"/>
    <w:rsid w:val="003D23C5"/>
    <w:rsid w:val="003D4B8E"/>
    <w:rsid w:val="003D4BAA"/>
    <w:rsid w:val="003E0029"/>
    <w:rsid w:val="003E0BF5"/>
    <w:rsid w:val="003E2242"/>
    <w:rsid w:val="003E238E"/>
    <w:rsid w:val="003E2659"/>
    <w:rsid w:val="003E2AB6"/>
    <w:rsid w:val="003E3E11"/>
    <w:rsid w:val="003E4C79"/>
    <w:rsid w:val="003E503C"/>
    <w:rsid w:val="003E5CA4"/>
    <w:rsid w:val="003E67EA"/>
    <w:rsid w:val="003E6D2E"/>
    <w:rsid w:val="003E78D1"/>
    <w:rsid w:val="003F0AEB"/>
    <w:rsid w:val="003F1BBE"/>
    <w:rsid w:val="003F39D4"/>
    <w:rsid w:val="003F475E"/>
    <w:rsid w:val="003F54D1"/>
    <w:rsid w:val="003F5E68"/>
    <w:rsid w:val="003F701F"/>
    <w:rsid w:val="003F76D2"/>
    <w:rsid w:val="003F7EC5"/>
    <w:rsid w:val="00401C8F"/>
    <w:rsid w:val="00403218"/>
    <w:rsid w:val="00403429"/>
    <w:rsid w:val="00404104"/>
    <w:rsid w:val="004069FF"/>
    <w:rsid w:val="00407272"/>
    <w:rsid w:val="004079B8"/>
    <w:rsid w:val="00410800"/>
    <w:rsid w:val="00410934"/>
    <w:rsid w:val="00410C9E"/>
    <w:rsid w:val="00411B60"/>
    <w:rsid w:val="00412DE0"/>
    <w:rsid w:val="0041550F"/>
    <w:rsid w:val="00415CEE"/>
    <w:rsid w:val="00416255"/>
    <w:rsid w:val="00416E12"/>
    <w:rsid w:val="00417374"/>
    <w:rsid w:val="00420379"/>
    <w:rsid w:val="004211D6"/>
    <w:rsid w:val="00421473"/>
    <w:rsid w:val="004239B1"/>
    <w:rsid w:val="004240CF"/>
    <w:rsid w:val="00425E2A"/>
    <w:rsid w:val="0042650A"/>
    <w:rsid w:val="00426F34"/>
    <w:rsid w:val="004308EF"/>
    <w:rsid w:val="00431352"/>
    <w:rsid w:val="00433146"/>
    <w:rsid w:val="00433CBC"/>
    <w:rsid w:val="00433DB7"/>
    <w:rsid w:val="00434A4C"/>
    <w:rsid w:val="004358B6"/>
    <w:rsid w:val="00435C5A"/>
    <w:rsid w:val="0043711E"/>
    <w:rsid w:val="00437B31"/>
    <w:rsid w:val="00440842"/>
    <w:rsid w:val="00441498"/>
    <w:rsid w:val="00441651"/>
    <w:rsid w:val="00442EC1"/>
    <w:rsid w:val="00443847"/>
    <w:rsid w:val="00443FC8"/>
    <w:rsid w:val="0044412D"/>
    <w:rsid w:val="0044424B"/>
    <w:rsid w:val="004444DC"/>
    <w:rsid w:val="00444C1C"/>
    <w:rsid w:val="004462AA"/>
    <w:rsid w:val="00447920"/>
    <w:rsid w:val="0045064D"/>
    <w:rsid w:val="004506BE"/>
    <w:rsid w:val="0045086D"/>
    <w:rsid w:val="00451524"/>
    <w:rsid w:val="004525B3"/>
    <w:rsid w:val="00453465"/>
    <w:rsid w:val="004549CA"/>
    <w:rsid w:val="00454FF6"/>
    <w:rsid w:val="004569DB"/>
    <w:rsid w:val="00457680"/>
    <w:rsid w:val="00457A96"/>
    <w:rsid w:val="00457D78"/>
    <w:rsid w:val="0046149D"/>
    <w:rsid w:val="004620E8"/>
    <w:rsid w:val="00462C07"/>
    <w:rsid w:val="00462E3A"/>
    <w:rsid w:val="00463C7D"/>
    <w:rsid w:val="00463D68"/>
    <w:rsid w:val="00464955"/>
    <w:rsid w:val="00464B2A"/>
    <w:rsid w:val="004654A2"/>
    <w:rsid w:val="004659C9"/>
    <w:rsid w:val="004665A8"/>
    <w:rsid w:val="0046707F"/>
    <w:rsid w:val="004701EE"/>
    <w:rsid w:val="00470463"/>
    <w:rsid w:val="004705A7"/>
    <w:rsid w:val="00472183"/>
    <w:rsid w:val="00472DBF"/>
    <w:rsid w:val="00473EA7"/>
    <w:rsid w:val="004746E4"/>
    <w:rsid w:val="0047552B"/>
    <w:rsid w:val="00475F69"/>
    <w:rsid w:val="00476060"/>
    <w:rsid w:val="004760F7"/>
    <w:rsid w:val="004779CE"/>
    <w:rsid w:val="00477CDF"/>
    <w:rsid w:val="00480A8D"/>
    <w:rsid w:val="004813AB"/>
    <w:rsid w:val="004829D4"/>
    <w:rsid w:val="004846CE"/>
    <w:rsid w:val="00486C3B"/>
    <w:rsid w:val="00490816"/>
    <w:rsid w:val="00493727"/>
    <w:rsid w:val="004955AD"/>
    <w:rsid w:val="00495F6E"/>
    <w:rsid w:val="00496249"/>
    <w:rsid w:val="00496264"/>
    <w:rsid w:val="00497C2F"/>
    <w:rsid w:val="004A0F36"/>
    <w:rsid w:val="004A156D"/>
    <w:rsid w:val="004A257C"/>
    <w:rsid w:val="004A2A2D"/>
    <w:rsid w:val="004A2FD0"/>
    <w:rsid w:val="004A34D8"/>
    <w:rsid w:val="004A411C"/>
    <w:rsid w:val="004A5964"/>
    <w:rsid w:val="004A6AE6"/>
    <w:rsid w:val="004A7090"/>
    <w:rsid w:val="004A7855"/>
    <w:rsid w:val="004B030F"/>
    <w:rsid w:val="004B0820"/>
    <w:rsid w:val="004B0A98"/>
    <w:rsid w:val="004B1F5A"/>
    <w:rsid w:val="004B285F"/>
    <w:rsid w:val="004B46D5"/>
    <w:rsid w:val="004B6FF3"/>
    <w:rsid w:val="004B79A0"/>
    <w:rsid w:val="004B7E0F"/>
    <w:rsid w:val="004C0963"/>
    <w:rsid w:val="004C0C70"/>
    <w:rsid w:val="004C1D82"/>
    <w:rsid w:val="004C3981"/>
    <w:rsid w:val="004C4BB9"/>
    <w:rsid w:val="004C4E5A"/>
    <w:rsid w:val="004C5B1F"/>
    <w:rsid w:val="004C7016"/>
    <w:rsid w:val="004C752B"/>
    <w:rsid w:val="004C7550"/>
    <w:rsid w:val="004C75C9"/>
    <w:rsid w:val="004C75FA"/>
    <w:rsid w:val="004D35CB"/>
    <w:rsid w:val="004D389C"/>
    <w:rsid w:val="004D446B"/>
    <w:rsid w:val="004D4E4E"/>
    <w:rsid w:val="004D545B"/>
    <w:rsid w:val="004D633A"/>
    <w:rsid w:val="004E013A"/>
    <w:rsid w:val="004E0C48"/>
    <w:rsid w:val="004E1818"/>
    <w:rsid w:val="004E2188"/>
    <w:rsid w:val="004E2598"/>
    <w:rsid w:val="004E315B"/>
    <w:rsid w:val="004E35EC"/>
    <w:rsid w:val="004E45A9"/>
    <w:rsid w:val="004E5491"/>
    <w:rsid w:val="004E56DB"/>
    <w:rsid w:val="004E7315"/>
    <w:rsid w:val="004F0E47"/>
    <w:rsid w:val="004F2ED4"/>
    <w:rsid w:val="004F2F48"/>
    <w:rsid w:val="004F313F"/>
    <w:rsid w:val="004F4F1D"/>
    <w:rsid w:val="004F6721"/>
    <w:rsid w:val="004F6A7A"/>
    <w:rsid w:val="004F7892"/>
    <w:rsid w:val="005008BF"/>
    <w:rsid w:val="0050131F"/>
    <w:rsid w:val="00501495"/>
    <w:rsid w:val="00503B9D"/>
    <w:rsid w:val="00503DE9"/>
    <w:rsid w:val="00505272"/>
    <w:rsid w:val="005052DB"/>
    <w:rsid w:val="005063B0"/>
    <w:rsid w:val="005067EC"/>
    <w:rsid w:val="00513142"/>
    <w:rsid w:val="00514BE0"/>
    <w:rsid w:val="0051567D"/>
    <w:rsid w:val="00516EE6"/>
    <w:rsid w:val="0051769B"/>
    <w:rsid w:val="00517823"/>
    <w:rsid w:val="00520C16"/>
    <w:rsid w:val="005213B3"/>
    <w:rsid w:val="005222F0"/>
    <w:rsid w:val="005246D9"/>
    <w:rsid w:val="00525666"/>
    <w:rsid w:val="00525CAC"/>
    <w:rsid w:val="00530487"/>
    <w:rsid w:val="00532690"/>
    <w:rsid w:val="00534797"/>
    <w:rsid w:val="0053609D"/>
    <w:rsid w:val="00536F81"/>
    <w:rsid w:val="00537248"/>
    <w:rsid w:val="005374AC"/>
    <w:rsid w:val="00537627"/>
    <w:rsid w:val="0053794B"/>
    <w:rsid w:val="00537A65"/>
    <w:rsid w:val="00540201"/>
    <w:rsid w:val="00543309"/>
    <w:rsid w:val="00543437"/>
    <w:rsid w:val="00543C76"/>
    <w:rsid w:val="00544238"/>
    <w:rsid w:val="005442F3"/>
    <w:rsid w:val="00544BC1"/>
    <w:rsid w:val="005450D1"/>
    <w:rsid w:val="005458E1"/>
    <w:rsid w:val="00546900"/>
    <w:rsid w:val="00546EF6"/>
    <w:rsid w:val="005474C1"/>
    <w:rsid w:val="00550CEA"/>
    <w:rsid w:val="0055164E"/>
    <w:rsid w:val="00553902"/>
    <w:rsid w:val="00553F88"/>
    <w:rsid w:val="00556053"/>
    <w:rsid w:val="005566B9"/>
    <w:rsid w:val="00556B66"/>
    <w:rsid w:val="005576F3"/>
    <w:rsid w:val="0056041F"/>
    <w:rsid w:val="00560729"/>
    <w:rsid w:val="00563C77"/>
    <w:rsid w:val="00564EC0"/>
    <w:rsid w:val="005655B1"/>
    <w:rsid w:val="00567100"/>
    <w:rsid w:val="005701B5"/>
    <w:rsid w:val="005701EF"/>
    <w:rsid w:val="00570A93"/>
    <w:rsid w:val="005712B9"/>
    <w:rsid w:val="00571BC3"/>
    <w:rsid w:val="00571E30"/>
    <w:rsid w:val="00571F6F"/>
    <w:rsid w:val="00575319"/>
    <w:rsid w:val="0057576D"/>
    <w:rsid w:val="00581ABE"/>
    <w:rsid w:val="00584370"/>
    <w:rsid w:val="00584792"/>
    <w:rsid w:val="00584ACE"/>
    <w:rsid w:val="005905F3"/>
    <w:rsid w:val="00590D54"/>
    <w:rsid w:val="00590E27"/>
    <w:rsid w:val="00591D30"/>
    <w:rsid w:val="00592EB0"/>
    <w:rsid w:val="00593BAA"/>
    <w:rsid w:val="00596285"/>
    <w:rsid w:val="00596B4C"/>
    <w:rsid w:val="00596F8A"/>
    <w:rsid w:val="005976A9"/>
    <w:rsid w:val="00597A50"/>
    <w:rsid w:val="00597AEB"/>
    <w:rsid w:val="005A16A0"/>
    <w:rsid w:val="005A1809"/>
    <w:rsid w:val="005A206E"/>
    <w:rsid w:val="005A2DA3"/>
    <w:rsid w:val="005A2EB4"/>
    <w:rsid w:val="005A330D"/>
    <w:rsid w:val="005A3AE2"/>
    <w:rsid w:val="005A407D"/>
    <w:rsid w:val="005A4F36"/>
    <w:rsid w:val="005A4F94"/>
    <w:rsid w:val="005A566C"/>
    <w:rsid w:val="005A5BCB"/>
    <w:rsid w:val="005B300C"/>
    <w:rsid w:val="005B3362"/>
    <w:rsid w:val="005B43D2"/>
    <w:rsid w:val="005B5332"/>
    <w:rsid w:val="005B78EB"/>
    <w:rsid w:val="005C0058"/>
    <w:rsid w:val="005C0B99"/>
    <w:rsid w:val="005C1570"/>
    <w:rsid w:val="005C3CE8"/>
    <w:rsid w:val="005C4683"/>
    <w:rsid w:val="005C4C1A"/>
    <w:rsid w:val="005C5386"/>
    <w:rsid w:val="005C5B46"/>
    <w:rsid w:val="005C5D3A"/>
    <w:rsid w:val="005C6001"/>
    <w:rsid w:val="005D3551"/>
    <w:rsid w:val="005D3DEE"/>
    <w:rsid w:val="005D426C"/>
    <w:rsid w:val="005D545D"/>
    <w:rsid w:val="005D57EF"/>
    <w:rsid w:val="005D68E6"/>
    <w:rsid w:val="005E03B2"/>
    <w:rsid w:val="005E1E58"/>
    <w:rsid w:val="005E2605"/>
    <w:rsid w:val="005E2BB2"/>
    <w:rsid w:val="005E31DF"/>
    <w:rsid w:val="005E4088"/>
    <w:rsid w:val="005E4ECD"/>
    <w:rsid w:val="005E506C"/>
    <w:rsid w:val="005E520A"/>
    <w:rsid w:val="005E6AF8"/>
    <w:rsid w:val="005E718F"/>
    <w:rsid w:val="005E76F6"/>
    <w:rsid w:val="005F007F"/>
    <w:rsid w:val="005F083D"/>
    <w:rsid w:val="005F0FCB"/>
    <w:rsid w:val="005F3925"/>
    <w:rsid w:val="005F395B"/>
    <w:rsid w:val="005F4EF3"/>
    <w:rsid w:val="005F58DF"/>
    <w:rsid w:val="005F5F43"/>
    <w:rsid w:val="005F6A9D"/>
    <w:rsid w:val="005F7E81"/>
    <w:rsid w:val="006017B1"/>
    <w:rsid w:val="00601A66"/>
    <w:rsid w:val="00601EB5"/>
    <w:rsid w:val="00602B6D"/>
    <w:rsid w:val="0060315E"/>
    <w:rsid w:val="00603E13"/>
    <w:rsid w:val="006054BF"/>
    <w:rsid w:val="00605675"/>
    <w:rsid w:val="00610DDE"/>
    <w:rsid w:val="00611E37"/>
    <w:rsid w:val="00613482"/>
    <w:rsid w:val="00613F26"/>
    <w:rsid w:val="00613FDE"/>
    <w:rsid w:val="00614091"/>
    <w:rsid w:val="00614DA7"/>
    <w:rsid w:val="0061576B"/>
    <w:rsid w:val="006162BE"/>
    <w:rsid w:val="006165B4"/>
    <w:rsid w:val="00616A7F"/>
    <w:rsid w:val="006200BE"/>
    <w:rsid w:val="00620EA4"/>
    <w:rsid w:val="00620EDD"/>
    <w:rsid w:val="00623842"/>
    <w:rsid w:val="0062407E"/>
    <w:rsid w:val="0062531C"/>
    <w:rsid w:val="00625380"/>
    <w:rsid w:val="00625C20"/>
    <w:rsid w:val="0062613F"/>
    <w:rsid w:val="006262DB"/>
    <w:rsid w:val="00626937"/>
    <w:rsid w:val="0063180D"/>
    <w:rsid w:val="00632728"/>
    <w:rsid w:val="006346B9"/>
    <w:rsid w:val="00635B8F"/>
    <w:rsid w:val="006367D6"/>
    <w:rsid w:val="006377E1"/>
    <w:rsid w:val="006408C2"/>
    <w:rsid w:val="00641910"/>
    <w:rsid w:val="00642BEB"/>
    <w:rsid w:val="006433EC"/>
    <w:rsid w:val="006437CD"/>
    <w:rsid w:val="00647D63"/>
    <w:rsid w:val="00650921"/>
    <w:rsid w:val="00651710"/>
    <w:rsid w:val="006518B7"/>
    <w:rsid w:val="00651F4F"/>
    <w:rsid w:val="00652075"/>
    <w:rsid w:val="0065221A"/>
    <w:rsid w:val="006524B7"/>
    <w:rsid w:val="006527DE"/>
    <w:rsid w:val="00652F63"/>
    <w:rsid w:val="00655637"/>
    <w:rsid w:val="0065572F"/>
    <w:rsid w:val="006560A1"/>
    <w:rsid w:val="0065657B"/>
    <w:rsid w:val="00657ED6"/>
    <w:rsid w:val="00657F86"/>
    <w:rsid w:val="00660094"/>
    <w:rsid w:val="00661D79"/>
    <w:rsid w:val="006621EE"/>
    <w:rsid w:val="006626B8"/>
    <w:rsid w:val="006644F2"/>
    <w:rsid w:val="006655F4"/>
    <w:rsid w:val="0066714D"/>
    <w:rsid w:val="00667DC5"/>
    <w:rsid w:val="00671088"/>
    <w:rsid w:val="006737CC"/>
    <w:rsid w:val="00673D97"/>
    <w:rsid w:val="00673DCF"/>
    <w:rsid w:val="0067461B"/>
    <w:rsid w:val="00675927"/>
    <w:rsid w:val="006759DE"/>
    <w:rsid w:val="00675FB4"/>
    <w:rsid w:val="006811B1"/>
    <w:rsid w:val="00681504"/>
    <w:rsid w:val="0068284A"/>
    <w:rsid w:val="00682890"/>
    <w:rsid w:val="0068374B"/>
    <w:rsid w:val="006839B7"/>
    <w:rsid w:val="00684D3E"/>
    <w:rsid w:val="0068542C"/>
    <w:rsid w:val="00685856"/>
    <w:rsid w:val="00685C10"/>
    <w:rsid w:val="0069191F"/>
    <w:rsid w:val="0069199C"/>
    <w:rsid w:val="00691E4F"/>
    <w:rsid w:val="006920BB"/>
    <w:rsid w:val="006933A2"/>
    <w:rsid w:val="00693C55"/>
    <w:rsid w:val="006940AC"/>
    <w:rsid w:val="006959B0"/>
    <w:rsid w:val="0069624B"/>
    <w:rsid w:val="00696CF7"/>
    <w:rsid w:val="00697D8F"/>
    <w:rsid w:val="006A00E6"/>
    <w:rsid w:val="006A00FD"/>
    <w:rsid w:val="006A02FE"/>
    <w:rsid w:val="006A0898"/>
    <w:rsid w:val="006A35F6"/>
    <w:rsid w:val="006A3C39"/>
    <w:rsid w:val="006A499F"/>
    <w:rsid w:val="006A6DC7"/>
    <w:rsid w:val="006B1674"/>
    <w:rsid w:val="006B293D"/>
    <w:rsid w:val="006B448C"/>
    <w:rsid w:val="006B5906"/>
    <w:rsid w:val="006B6CF0"/>
    <w:rsid w:val="006B6F55"/>
    <w:rsid w:val="006B7CF9"/>
    <w:rsid w:val="006B7E1F"/>
    <w:rsid w:val="006C0676"/>
    <w:rsid w:val="006C21FB"/>
    <w:rsid w:val="006C3C48"/>
    <w:rsid w:val="006C4980"/>
    <w:rsid w:val="006D017B"/>
    <w:rsid w:val="006D1002"/>
    <w:rsid w:val="006D13A2"/>
    <w:rsid w:val="006D1852"/>
    <w:rsid w:val="006D1B50"/>
    <w:rsid w:val="006D1F44"/>
    <w:rsid w:val="006D50A0"/>
    <w:rsid w:val="006D5DA4"/>
    <w:rsid w:val="006D6692"/>
    <w:rsid w:val="006D6F7D"/>
    <w:rsid w:val="006D74B7"/>
    <w:rsid w:val="006E1EE5"/>
    <w:rsid w:val="006E21AA"/>
    <w:rsid w:val="006E2339"/>
    <w:rsid w:val="006E2367"/>
    <w:rsid w:val="006E2E6A"/>
    <w:rsid w:val="006E33F2"/>
    <w:rsid w:val="006E40CB"/>
    <w:rsid w:val="006E66DD"/>
    <w:rsid w:val="006E7C16"/>
    <w:rsid w:val="006F137A"/>
    <w:rsid w:val="006F1409"/>
    <w:rsid w:val="006F19D6"/>
    <w:rsid w:val="006F2448"/>
    <w:rsid w:val="006F28C8"/>
    <w:rsid w:val="006F2DB5"/>
    <w:rsid w:val="006F4819"/>
    <w:rsid w:val="006F65FF"/>
    <w:rsid w:val="007013CB"/>
    <w:rsid w:val="00702607"/>
    <w:rsid w:val="00703343"/>
    <w:rsid w:val="0070387C"/>
    <w:rsid w:val="00704819"/>
    <w:rsid w:val="00705444"/>
    <w:rsid w:val="00706B93"/>
    <w:rsid w:val="00706DDE"/>
    <w:rsid w:val="00711786"/>
    <w:rsid w:val="007125C2"/>
    <w:rsid w:val="00713967"/>
    <w:rsid w:val="00714041"/>
    <w:rsid w:val="007146BC"/>
    <w:rsid w:val="007157D5"/>
    <w:rsid w:val="00715FD3"/>
    <w:rsid w:val="007213B5"/>
    <w:rsid w:val="00721A8B"/>
    <w:rsid w:val="007222EF"/>
    <w:rsid w:val="0072368C"/>
    <w:rsid w:val="0072374C"/>
    <w:rsid w:val="00723A2E"/>
    <w:rsid w:val="00724362"/>
    <w:rsid w:val="007244A3"/>
    <w:rsid w:val="00724E25"/>
    <w:rsid w:val="0072500B"/>
    <w:rsid w:val="007253E1"/>
    <w:rsid w:val="0072574C"/>
    <w:rsid w:val="00726A52"/>
    <w:rsid w:val="00726FF5"/>
    <w:rsid w:val="0073032C"/>
    <w:rsid w:val="007304F9"/>
    <w:rsid w:val="0073181D"/>
    <w:rsid w:val="00731CE9"/>
    <w:rsid w:val="00731E6E"/>
    <w:rsid w:val="00732307"/>
    <w:rsid w:val="00732A97"/>
    <w:rsid w:val="00732C83"/>
    <w:rsid w:val="00733874"/>
    <w:rsid w:val="00733FA2"/>
    <w:rsid w:val="00735D7A"/>
    <w:rsid w:val="00736A45"/>
    <w:rsid w:val="00737A7D"/>
    <w:rsid w:val="00740595"/>
    <w:rsid w:val="00741222"/>
    <w:rsid w:val="0074215B"/>
    <w:rsid w:val="00745499"/>
    <w:rsid w:val="00745B41"/>
    <w:rsid w:val="00746267"/>
    <w:rsid w:val="00747B09"/>
    <w:rsid w:val="007522A9"/>
    <w:rsid w:val="00752FDE"/>
    <w:rsid w:val="00753372"/>
    <w:rsid w:val="00753DDB"/>
    <w:rsid w:val="007552C9"/>
    <w:rsid w:val="00755C03"/>
    <w:rsid w:val="00755F52"/>
    <w:rsid w:val="00756EE6"/>
    <w:rsid w:val="0075708C"/>
    <w:rsid w:val="0076008D"/>
    <w:rsid w:val="00760121"/>
    <w:rsid w:val="007603EB"/>
    <w:rsid w:val="00760635"/>
    <w:rsid w:val="0076264B"/>
    <w:rsid w:val="00763B24"/>
    <w:rsid w:val="007644E9"/>
    <w:rsid w:val="007653A4"/>
    <w:rsid w:val="00765860"/>
    <w:rsid w:val="00765C2E"/>
    <w:rsid w:val="00766088"/>
    <w:rsid w:val="0076622F"/>
    <w:rsid w:val="007668CA"/>
    <w:rsid w:val="0077035C"/>
    <w:rsid w:val="00770C0E"/>
    <w:rsid w:val="00771DEC"/>
    <w:rsid w:val="00772D9C"/>
    <w:rsid w:val="00773FB7"/>
    <w:rsid w:val="00776579"/>
    <w:rsid w:val="007774E5"/>
    <w:rsid w:val="00780630"/>
    <w:rsid w:val="00783355"/>
    <w:rsid w:val="007849CD"/>
    <w:rsid w:val="00784B15"/>
    <w:rsid w:val="00784E53"/>
    <w:rsid w:val="0078639C"/>
    <w:rsid w:val="00786BC5"/>
    <w:rsid w:val="007878FA"/>
    <w:rsid w:val="007909BA"/>
    <w:rsid w:val="00793D8E"/>
    <w:rsid w:val="00796BD7"/>
    <w:rsid w:val="00796CEF"/>
    <w:rsid w:val="00796D76"/>
    <w:rsid w:val="00797898"/>
    <w:rsid w:val="00797C6D"/>
    <w:rsid w:val="007A0361"/>
    <w:rsid w:val="007A0539"/>
    <w:rsid w:val="007A0B95"/>
    <w:rsid w:val="007A2764"/>
    <w:rsid w:val="007A2CCD"/>
    <w:rsid w:val="007A3035"/>
    <w:rsid w:val="007A5DCA"/>
    <w:rsid w:val="007A5E5A"/>
    <w:rsid w:val="007A5F41"/>
    <w:rsid w:val="007A64EB"/>
    <w:rsid w:val="007A66C5"/>
    <w:rsid w:val="007A7F0C"/>
    <w:rsid w:val="007B0E43"/>
    <w:rsid w:val="007B0E71"/>
    <w:rsid w:val="007B2943"/>
    <w:rsid w:val="007B2BC3"/>
    <w:rsid w:val="007B2D19"/>
    <w:rsid w:val="007B3144"/>
    <w:rsid w:val="007B4B8D"/>
    <w:rsid w:val="007B6630"/>
    <w:rsid w:val="007C0068"/>
    <w:rsid w:val="007C0858"/>
    <w:rsid w:val="007C1C78"/>
    <w:rsid w:val="007C1CC4"/>
    <w:rsid w:val="007C2514"/>
    <w:rsid w:val="007C3C07"/>
    <w:rsid w:val="007C3F8E"/>
    <w:rsid w:val="007C4251"/>
    <w:rsid w:val="007C68A5"/>
    <w:rsid w:val="007C77BC"/>
    <w:rsid w:val="007C7B2D"/>
    <w:rsid w:val="007D035D"/>
    <w:rsid w:val="007D0F86"/>
    <w:rsid w:val="007D1E03"/>
    <w:rsid w:val="007D2E4D"/>
    <w:rsid w:val="007D45EC"/>
    <w:rsid w:val="007D480B"/>
    <w:rsid w:val="007D49D4"/>
    <w:rsid w:val="007D5AD8"/>
    <w:rsid w:val="007E0BC9"/>
    <w:rsid w:val="007E252E"/>
    <w:rsid w:val="007E2F32"/>
    <w:rsid w:val="007E30BA"/>
    <w:rsid w:val="007E34E5"/>
    <w:rsid w:val="007E4B26"/>
    <w:rsid w:val="007E4B50"/>
    <w:rsid w:val="007E6065"/>
    <w:rsid w:val="007E7E22"/>
    <w:rsid w:val="007F09EA"/>
    <w:rsid w:val="007F297A"/>
    <w:rsid w:val="007F3B13"/>
    <w:rsid w:val="007F4291"/>
    <w:rsid w:val="0080046F"/>
    <w:rsid w:val="00800FE9"/>
    <w:rsid w:val="00801215"/>
    <w:rsid w:val="008017C7"/>
    <w:rsid w:val="008019E6"/>
    <w:rsid w:val="00802735"/>
    <w:rsid w:val="008028F3"/>
    <w:rsid w:val="00803692"/>
    <w:rsid w:val="00804F9C"/>
    <w:rsid w:val="00805809"/>
    <w:rsid w:val="0080659C"/>
    <w:rsid w:val="0080694A"/>
    <w:rsid w:val="00806D4E"/>
    <w:rsid w:val="0080751E"/>
    <w:rsid w:val="008077F2"/>
    <w:rsid w:val="00811FA1"/>
    <w:rsid w:val="0081323E"/>
    <w:rsid w:val="00814416"/>
    <w:rsid w:val="00814BD0"/>
    <w:rsid w:val="0081523E"/>
    <w:rsid w:val="008158C7"/>
    <w:rsid w:val="0081740D"/>
    <w:rsid w:val="00817676"/>
    <w:rsid w:val="00817D41"/>
    <w:rsid w:val="0082076B"/>
    <w:rsid w:val="00821E69"/>
    <w:rsid w:val="00822EEF"/>
    <w:rsid w:val="0082415D"/>
    <w:rsid w:val="00824B3E"/>
    <w:rsid w:val="008279A7"/>
    <w:rsid w:val="00827CE9"/>
    <w:rsid w:val="00830897"/>
    <w:rsid w:val="00830AC0"/>
    <w:rsid w:val="008311AE"/>
    <w:rsid w:val="00831BF1"/>
    <w:rsid w:val="008325B1"/>
    <w:rsid w:val="00832ECA"/>
    <w:rsid w:val="00833792"/>
    <w:rsid w:val="008353FD"/>
    <w:rsid w:val="0083653F"/>
    <w:rsid w:val="008411B1"/>
    <w:rsid w:val="00841F85"/>
    <w:rsid w:val="0084350E"/>
    <w:rsid w:val="008446C0"/>
    <w:rsid w:val="008452C0"/>
    <w:rsid w:val="00847C46"/>
    <w:rsid w:val="00850854"/>
    <w:rsid w:val="00850F1C"/>
    <w:rsid w:val="00851286"/>
    <w:rsid w:val="008523E7"/>
    <w:rsid w:val="008528D5"/>
    <w:rsid w:val="00853909"/>
    <w:rsid w:val="00853B0B"/>
    <w:rsid w:val="00854DAF"/>
    <w:rsid w:val="00856F3B"/>
    <w:rsid w:val="008578C6"/>
    <w:rsid w:val="00857E26"/>
    <w:rsid w:val="00860BAB"/>
    <w:rsid w:val="00861977"/>
    <w:rsid w:val="00861C47"/>
    <w:rsid w:val="0086220F"/>
    <w:rsid w:val="0086282F"/>
    <w:rsid w:val="00863325"/>
    <w:rsid w:val="00863389"/>
    <w:rsid w:val="00863F9A"/>
    <w:rsid w:val="00865280"/>
    <w:rsid w:val="0086545F"/>
    <w:rsid w:val="0086547E"/>
    <w:rsid w:val="00866550"/>
    <w:rsid w:val="008666BD"/>
    <w:rsid w:val="00866928"/>
    <w:rsid w:val="00867F94"/>
    <w:rsid w:val="00870506"/>
    <w:rsid w:val="00870CD3"/>
    <w:rsid w:val="00872B1A"/>
    <w:rsid w:val="00872C05"/>
    <w:rsid w:val="00874541"/>
    <w:rsid w:val="008749FC"/>
    <w:rsid w:val="00874DBA"/>
    <w:rsid w:val="00874F9F"/>
    <w:rsid w:val="008754D6"/>
    <w:rsid w:val="00875917"/>
    <w:rsid w:val="008763EA"/>
    <w:rsid w:val="00880FA0"/>
    <w:rsid w:val="0088143E"/>
    <w:rsid w:val="00882169"/>
    <w:rsid w:val="008835F1"/>
    <w:rsid w:val="0088459A"/>
    <w:rsid w:val="00885703"/>
    <w:rsid w:val="008860DB"/>
    <w:rsid w:val="00891206"/>
    <w:rsid w:val="00892901"/>
    <w:rsid w:val="00892B04"/>
    <w:rsid w:val="00893483"/>
    <w:rsid w:val="008934BE"/>
    <w:rsid w:val="00894F7F"/>
    <w:rsid w:val="0089693F"/>
    <w:rsid w:val="00896942"/>
    <w:rsid w:val="00896F96"/>
    <w:rsid w:val="00897AD5"/>
    <w:rsid w:val="008A2210"/>
    <w:rsid w:val="008A36A9"/>
    <w:rsid w:val="008A5342"/>
    <w:rsid w:val="008B1278"/>
    <w:rsid w:val="008B1E59"/>
    <w:rsid w:val="008B21E8"/>
    <w:rsid w:val="008B2249"/>
    <w:rsid w:val="008B28B4"/>
    <w:rsid w:val="008B4C7D"/>
    <w:rsid w:val="008B5422"/>
    <w:rsid w:val="008B617D"/>
    <w:rsid w:val="008B61C1"/>
    <w:rsid w:val="008B6EE8"/>
    <w:rsid w:val="008B7E3D"/>
    <w:rsid w:val="008B7EE7"/>
    <w:rsid w:val="008C19D9"/>
    <w:rsid w:val="008C252A"/>
    <w:rsid w:val="008C3651"/>
    <w:rsid w:val="008C4FEC"/>
    <w:rsid w:val="008C6BE6"/>
    <w:rsid w:val="008C6CD5"/>
    <w:rsid w:val="008C76D6"/>
    <w:rsid w:val="008C7C10"/>
    <w:rsid w:val="008C7D48"/>
    <w:rsid w:val="008D03C2"/>
    <w:rsid w:val="008D10F0"/>
    <w:rsid w:val="008D1FFE"/>
    <w:rsid w:val="008D2AC6"/>
    <w:rsid w:val="008D2B0E"/>
    <w:rsid w:val="008D2D99"/>
    <w:rsid w:val="008D37C9"/>
    <w:rsid w:val="008D3E91"/>
    <w:rsid w:val="008D416C"/>
    <w:rsid w:val="008D47C5"/>
    <w:rsid w:val="008D55CE"/>
    <w:rsid w:val="008D5B7B"/>
    <w:rsid w:val="008D6552"/>
    <w:rsid w:val="008D7239"/>
    <w:rsid w:val="008D7661"/>
    <w:rsid w:val="008E057D"/>
    <w:rsid w:val="008E0581"/>
    <w:rsid w:val="008E114B"/>
    <w:rsid w:val="008E1910"/>
    <w:rsid w:val="008E3A04"/>
    <w:rsid w:val="008E3E57"/>
    <w:rsid w:val="008E4297"/>
    <w:rsid w:val="008E506C"/>
    <w:rsid w:val="008E541A"/>
    <w:rsid w:val="008F0B05"/>
    <w:rsid w:val="008F11BD"/>
    <w:rsid w:val="008F1AFE"/>
    <w:rsid w:val="008F2DC1"/>
    <w:rsid w:val="008F3458"/>
    <w:rsid w:val="008F4080"/>
    <w:rsid w:val="008F6964"/>
    <w:rsid w:val="008F70F0"/>
    <w:rsid w:val="009017E4"/>
    <w:rsid w:val="0090195B"/>
    <w:rsid w:val="00902470"/>
    <w:rsid w:val="00902788"/>
    <w:rsid w:val="00902E7F"/>
    <w:rsid w:val="00907B24"/>
    <w:rsid w:val="009103CD"/>
    <w:rsid w:val="00911CF6"/>
    <w:rsid w:val="00911DD1"/>
    <w:rsid w:val="00912156"/>
    <w:rsid w:val="00912BC6"/>
    <w:rsid w:val="00913466"/>
    <w:rsid w:val="00913A1A"/>
    <w:rsid w:val="009145B3"/>
    <w:rsid w:val="0091485E"/>
    <w:rsid w:val="00915155"/>
    <w:rsid w:val="0091522C"/>
    <w:rsid w:val="00915547"/>
    <w:rsid w:val="009162EE"/>
    <w:rsid w:val="00916E05"/>
    <w:rsid w:val="0091757C"/>
    <w:rsid w:val="0091760F"/>
    <w:rsid w:val="00917DBE"/>
    <w:rsid w:val="00921108"/>
    <w:rsid w:val="0092168F"/>
    <w:rsid w:val="00924756"/>
    <w:rsid w:val="00925A37"/>
    <w:rsid w:val="00926927"/>
    <w:rsid w:val="00927277"/>
    <w:rsid w:val="00927807"/>
    <w:rsid w:val="0093089D"/>
    <w:rsid w:val="009319F3"/>
    <w:rsid w:val="00932695"/>
    <w:rsid w:val="00932FE4"/>
    <w:rsid w:val="00935461"/>
    <w:rsid w:val="009356FC"/>
    <w:rsid w:val="00935750"/>
    <w:rsid w:val="009368D7"/>
    <w:rsid w:val="00940613"/>
    <w:rsid w:val="009419F0"/>
    <w:rsid w:val="00943D48"/>
    <w:rsid w:val="009455F1"/>
    <w:rsid w:val="00945992"/>
    <w:rsid w:val="009459E3"/>
    <w:rsid w:val="00946254"/>
    <w:rsid w:val="00946F3A"/>
    <w:rsid w:val="009470C0"/>
    <w:rsid w:val="0095001A"/>
    <w:rsid w:val="009519F4"/>
    <w:rsid w:val="009524AC"/>
    <w:rsid w:val="00952604"/>
    <w:rsid w:val="00952C3C"/>
    <w:rsid w:val="00953936"/>
    <w:rsid w:val="009550FA"/>
    <w:rsid w:val="00955F10"/>
    <w:rsid w:val="009579DD"/>
    <w:rsid w:val="009603E1"/>
    <w:rsid w:val="0096104C"/>
    <w:rsid w:val="009618CB"/>
    <w:rsid w:val="00963268"/>
    <w:rsid w:val="009647C4"/>
    <w:rsid w:val="00966D66"/>
    <w:rsid w:val="009670D0"/>
    <w:rsid w:val="0096718D"/>
    <w:rsid w:val="0097051E"/>
    <w:rsid w:val="00970FDB"/>
    <w:rsid w:val="00971D64"/>
    <w:rsid w:val="00974219"/>
    <w:rsid w:val="00975359"/>
    <w:rsid w:val="00976042"/>
    <w:rsid w:val="0097610A"/>
    <w:rsid w:val="0097654D"/>
    <w:rsid w:val="00980B59"/>
    <w:rsid w:val="009820F9"/>
    <w:rsid w:val="00983D2F"/>
    <w:rsid w:val="009847C9"/>
    <w:rsid w:val="0098528D"/>
    <w:rsid w:val="00986F73"/>
    <w:rsid w:val="00991464"/>
    <w:rsid w:val="00991EC8"/>
    <w:rsid w:val="009923F7"/>
    <w:rsid w:val="00992DCB"/>
    <w:rsid w:val="00993C39"/>
    <w:rsid w:val="009947ED"/>
    <w:rsid w:val="00995DDC"/>
    <w:rsid w:val="00996E9A"/>
    <w:rsid w:val="009973C3"/>
    <w:rsid w:val="009A06FF"/>
    <w:rsid w:val="009A18AC"/>
    <w:rsid w:val="009A254D"/>
    <w:rsid w:val="009A262E"/>
    <w:rsid w:val="009A29FE"/>
    <w:rsid w:val="009A5838"/>
    <w:rsid w:val="009A6242"/>
    <w:rsid w:val="009A6886"/>
    <w:rsid w:val="009B07BB"/>
    <w:rsid w:val="009B0CFD"/>
    <w:rsid w:val="009B1624"/>
    <w:rsid w:val="009B22ED"/>
    <w:rsid w:val="009B3824"/>
    <w:rsid w:val="009B3E9A"/>
    <w:rsid w:val="009B55CC"/>
    <w:rsid w:val="009B5B1A"/>
    <w:rsid w:val="009B757B"/>
    <w:rsid w:val="009B7732"/>
    <w:rsid w:val="009C0ABF"/>
    <w:rsid w:val="009C1114"/>
    <w:rsid w:val="009C377F"/>
    <w:rsid w:val="009C39AB"/>
    <w:rsid w:val="009C43E9"/>
    <w:rsid w:val="009C4E2D"/>
    <w:rsid w:val="009C7501"/>
    <w:rsid w:val="009D00D4"/>
    <w:rsid w:val="009D0C40"/>
    <w:rsid w:val="009D1ACB"/>
    <w:rsid w:val="009D3F0B"/>
    <w:rsid w:val="009D5946"/>
    <w:rsid w:val="009D5DB1"/>
    <w:rsid w:val="009D7114"/>
    <w:rsid w:val="009E042C"/>
    <w:rsid w:val="009E2AC8"/>
    <w:rsid w:val="009E2B0C"/>
    <w:rsid w:val="009E3027"/>
    <w:rsid w:val="009E45C6"/>
    <w:rsid w:val="009E670C"/>
    <w:rsid w:val="009E7729"/>
    <w:rsid w:val="009F1336"/>
    <w:rsid w:val="009F20CD"/>
    <w:rsid w:val="009F2D4E"/>
    <w:rsid w:val="009F3554"/>
    <w:rsid w:val="009F35B3"/>
    <w:rsid w:val="009F4BED"/>
    <w:rsid w:val="009F77D5"/>
    <w:rsid w:val="009F7ED6"/>
    <w:rsid w:val="00A00346"/>
    <w:rsid w:val="00A004DE"/>
    <w:rsid w:val="00A0069D"/>
    <w:rsid w:val="00A01632"/>
    <w:rsid w:val="00A02225"/>
    <w:rsid w:val="00A036A5"/>
    <w:rsid w:val="00A05BE8"/>
    <w:rsid w:val="00A06A1A"/>
    <w:rsid w:val="00A10BE2"/>
    <w:rsid w:val="00A10D7B"/>
    <w:rsid w:val="00A11DB5"/>
    <w:rsid w:val="00A11F05"/>
    <w:rsid w:val="00A12EB9"/>
    <w:rsid w:val="00A13723"/>
    <w:rsid w:val="00A140C2"/>
    <w:rsid w:val="00A14ADA"/>
    <w:rsid w:val="00A14D1B"/>
    <w:rsid w:val="00A16E85"/>
    <w:rsid w:val="00A2237D"/>
    <w:rsid w:val="00A2465D"/>
    <w:rsid w:val="00A26077"/>
    <w:rsid w:val="00A30985"/>
    <w:rsid w:val="00A322AD"/>
    <w:rsid w:val="00A325AD"/>
    <w:rsid w:val="00A327DF"/>
    <w:rsid w:val="00A32DCE"/>
    <w:rsid w:val="00A32E21"/>
    <w:rsid w:val="00A3353C"/>
    <w:rsid w:val="00A336F0"/>
    <w:rsid w:val="00A34397"/>
    <w:rsid w:val="00A34739"/>
    <w:rsid w:val="00A35B26"/>
    <w:rsid w:val="00A363F2"/>
    <w:rsid w:val="00A372E5"/>
    <w:rsid w:val="00A379C5"/>
    <w:rsid w:val="00A416BA"/>
    <w:rsid w:val="00A42065"/>
    <w:rsid w:val="00A42B50"/>
    <w:rsid w:val="00A42B7A"/>
    <w:rsid w:val="00A42EDC"/>
    <w:rsid w:val="00A44F8E"/>
    <w:rsid w:val="00A45020"/>
    <w:rsid w:val="00A45404"/>
    <w:rsid w:val="00A45F8E"/>
    <w:rsid w:val="00A520FA"/>
    <w:rsid w:val="00A52203"/>
    <w:rsid w:val="00A52CD6"/>
    <w:rsid w:val="00A53BD6"/>
    <w:rsid w:val="00A541F0"/>
    <w:rsid w:val="00A54EB5"/>
    <w:rsid w:val="00A54FA0"/>
    <w:rsid w:val="00A55636"/>
    <w:rsid w:val="00A5624C"/>
    <w:rsid w:val="00A56B14"/>
    <w:rsid w:val="00A5703F"/>
    <w:rsid w:val="00A57464"/>
    <w:rsid w:val="00A57C60"/>
    <w:rsid w:val="00A57EA9"/>
    <w:rsid w:val="00A6099E"/>
    <w:rsid w:val="00A61A4A"/>
    <w:rsid w:val="00A6260C"/>
    <w:rsid w:val="00A66604"/>
    <w:rsid w:val="00A67DD9"/>
    <w:rsid w:val="00A70D4C"/>
    <w:rsid w:val="00A73311"/>
    <w:rsid w:val="00A74258"/>
    <w:rsid w:val="00A753ED"/>
    <w:rsid w:val="00A75E0A"/>
    <w:rsid w:val="00A76749"/>
    <w:rsid w:val="00A77E4B"/>
    <w:rsid w:val="00A81506"/>
    <w:rsid w:val="00A82194"/>
    <w:rsid w:val="00A8252C"/>
    <w:rsid w:val="00A8291B"/>
    <w:rsid w:val="00A834B4"/>
    <w:rsid w:val="00A84045"/>
    <w:rsid w:val="00A8407E"/>
    <w:rsid w:val="00A84B56"/>
    <w:rsid w:val="00A85FF1"/>
    <w:rsid w:val="00A8701B"/>
    <w:rsid w:val="00A90B73"/>
    <w:rsid w:val="00A92C30"/>
    <w:rsid w:val="00A934EA"/>
    <w:rsid w:val="00A955F0"/>
    <w:rsid w:val="00A95FE9"/>
    <w:rsid w:val="00A96A13"/>
    <w:rsid w:val="00A96B21"/>
    <w:rsid w:val="00AA0A33"/>
    <w:rsid w:val="00AA0F59"/>
    <w:rsid w:val="00AA12BD"/>
    <w:rsid w:val="00AA33B2"/>
    <w:rsid w:val="00AA3962"/>
    <w:rsid w:val="00AA418A"/>
    <w:rsid w:val="00AA46E7"/>
    <w:rsid w:val="00AA57CA"/>
    <w:rsid w:val="00AA6D2F"/>
    <w:rsid w:val="00AA7E79"/>
    <w:rsid w:val="00AB16C3"/>
    <w:rsid w:val="00AB1A91"/>
    <w:rsid w:val="00AB3303"/>
    <w:rsid w:val="00AB38DA"/>
    <w:rsid w:val="00AB3906"/>
    <w:rsid w:val="00AB41CF"/>
    <w:rsid w:val="00AB4249"/>
    <w:rsid w:val="00AC0BA4"/>
    <w:rsid w:val="00AC163D"/>
    <w:rsid w:val="00AC1ADB"/>
    <w:rsid w:val="00AC2671"/>
    <w:rsid w:val="00AC2B95"/>
    <w:rsid w:val="00AC2E48"/>
    <w:rsid w:val="00AC3A74"/>
    <w:rsid w:val="00AC4BF6"/>
    <w:rsid w:val="00AC5712"/>
    <w:rsid w:val="00AD05F2"/>
    <w:rsid w:val="00AD0631"/>
    <w:rsid w:val="00AD0A97"/>
    <w:rsid w:val="00AD0AC2"/>
    <w:rsid w:val="00AD1373"/>
    <w:rsid w:val="00AD3813"/>
    <w:rsid w:val="00AD4B4A"/>
    <w:rsid w:val="00AD4B85"/>
    <w:rsid w:val="00AD518A"/>
    <w:rsid w:val="00AD54C8"/>
    <w:rsid w:val="00AD7049"/>
    <w:rsid w:val="00AD7572"/>
    <w:rsid w:val="00AD7D3B"/>
    <w:rsid w:val="00AE0034"/>
    <w:rsid w:val="00AE1A95"/>
    <w:rsid w:val="00AE21B3"/>
    <w:rsid w:val="00AE265B"/>
    <w:rsid w:val="00AE34E8"/>
    <w:rsid w:val="00AE4538"/>
    <w:rsid w:val="00AE5ED6"/>
    <w:rsid w:val="00AE6ECB"/>
    <w:rsid w:val="00AF1947"/>
    <w:rsid w:val="00AF1CF6"/>
    <w:rsid w:val="00AF2269"/>
    <w:rsid w:val="00AF2F29"/>
    <w:rsid w:val="00AF3228"/>
    <w:rsid w:val="00AF41FF"/>
    <w:rsid w:val="00AF46BA"/>
    <w:rsid w:val="00AF4998"/>
    <w:rsid w:val="00AF5323"/>
    <w:rsid w:val="00AF550B"/>
    <w:rsid w:val="00AF63E8"/>
    <w:rsid w:val="00AF7E44"/>
    <w:rsid w:val="00B00087"/>
    <w:rsid w:val="00B01A85"/>
    <w:rsid w:val="00B02EA7"/>
    <w:rsid w:val="00B033B0"/>
    <w:rsid w:val="00B03D6A"/>
    <w:rsid w:val="00B04D2A"/>
    <w:rsid w:val="00B068D6"/>
    <w:rsid w:val="00B06E04"/>
    <w:rsid w:val="00B0719E"/>
    <w:rsid w:val="00B07857"/>
    <w:rsid w:val="00B10C4A"/>
    <w:rsid w:val="00B14679"/>
    <w:rsid w:val="00B1491A"/>
    <w:rsid w:val="00B17622"/>
    <w:rsid w:val="00B17B91"/>
    <w:rsid w:val="00B20447"/>
    <w:rsid w:val="00B2244D"/>
    <w:rsid w:val="00B24AEF"/>
    <w:rsid w:val="00B2515D"/>
    <w:rsid w:val="00B2668A"/>
    <w:rsid w:val="00B27506"/>
    <w:rsid w:val="00B31F6C"/>
    <w:rsid w:val="00B3338F"/>
    <w:rsid w:val="00B35086"/>
    <w:rsid w:val="00B350EE"/>
    <w:rsid w:val="00B355D5"/>
    <w:rsid w:val="00B36CEC"/>
    <w:rsid w:val="00B36EA9"/>
    <w:rsid w:val="00B37720"/>
    <w:rsid w:val="00B37B72"/>
    <w:rsid w:val="00B40853"/>
    <w:rsid w:val="00B41DED"/>
    <w:rsid w:val="00B41EC0"/>
    <w:rsid w:val="00B42026"/>
    <w:rsid w:val="00B4262F"/>
    <w:rsid w:val="00B439D3"/>
    <w:rsid w:val="00B439F9"/>
    <w:rsid w:val="00B44A95"/>
    <w:rsid w:val="00B4719E"/>
    <w:rsid w:val="00B47247"/>
    <w:rsid w:val="00B50363"/>
    <w:rsid w:val="00B53777"/>
    <w:rsid w:val="00B54142"/>
    <w:rsid w:val="00B554D2"/>
    <w:rsid w:val="00B5561A"/>
    <w:rsid w:val="00B55F29"/>
    <w:rsid w:val="00B562A8"/>
    <w:rsid w:val="00B5658E"/>
    <w:rsid w:val="00B56B54"/>
    <w:rsid w:val="00B56E44"/>
    <w:rsid w:val="00B572EA"/>
    <w:rsid w:val="00B600C3"/>
    <w:rsid w:val="00B6329F"/>
    <w:rsid w:val="00B65A4F"/>
    <w:rsid w:val="00B66D28"/>
    <w:rsid w:val="00B66F73"/>
    <w:rsid w:val="00B67B8B"/>
    <w:rsid w:val="00B708C5"/>
    <w:rsid w:val="00B71A57"/>
    <w:rsid w:val="00B754B0"/>
    <w:rsid w:val="00B7605E"/>
    <w:rsid w:val="00B77492"/>
    <w:rsid w:val="00B819DB"/>
    <w:rsid w:val="00B833AE"/>
    <w:rsid w:val="00B8390C"/>
    <w:rsid w:val="00B846A3"/>
    <w:rsid w:val="00B84AF2"/>
    <w:rsid w:val="00B8742B"/>
    <w:rsid w:val="00B87CE1"/>
    <w:rsid w:val="00B906D3"/>
    <w:rsid w:val="00B90C12"/>
    <w:rsid w:val="00B91A3A"/>
    <w:rsid w:val="00B92CE6"/>
    <w:rsid w:val="00B92E85"/>
    <w:rsid w:val="00B93EB2"/>
    <w:rsid w:val="00B95C65"/>
    <w:rsid w:val="00B95EED"/>
    <w:rsid w:val="00B96C3A"/>
    <w:rsid w:val="00B97382"/>
    <w:rsid w:val="00BA000E"/>
    <w:rsid w:val="00BA08A4"/>
    <w:rsid w:val="00BA0A65"/>
    <w:rsid w:val="00BA0AD9"/>
    <w:rsid w:val="00BA2EE4"/>
    <w:rsid w:val="00BA36EC"/>
    <w:rsid w:val="00BA3CC5"/>
    <w:rsid w:val="00BA3CE6"/>
    <w:rsid w:val="00BA4DDB"/>
    <w:rsid w:val="00BA576C"/>
    <w:rsid w:val="00BA68FB"/>
    <w:rsid w:val="00BB07E3"/>
    <w:rsid w:val="00BB1CF9"/>
    <w:rsid w:val="00BB21BC"/>
    <w:rsid w:val="00BB25F0"/>
    <w:rsid w:val="00BB30D0"/>
    <w:rsid w:val="00BB324E"/>
    <w:rsid w:val="00BB3A58"/>
    <w:rsid w:val="00BB48ED"/>
    <w:rsid w:val="00BB5AAF"/>
    <w:rsid w:val="00BB6328"/>
    <w:rsid w:val="00BB6847"/>
    <w:rsid w:val="00BB6F75"/>
    <w:rsid w:val="00BB7500"/>
    <w:rsid w:val="00BB7C49"/>
    <w:rsid w:val="00BC0700"/>
    <w:rsid w:val="00BC1B6F"/>
    <w:rsid w:val="00BC1E16"/>
    <w:rsid w:val="00BC2FC7"/>
    <w:rsid w:val="00BC60CC"/>
    <w:rsid w:val="00BD0719"/>
    <w:rsid w:val="00BD0EB7"/>
    <w:rsid w:val="00BD349B"/>
    <w:rsid w:val="00BD3B82"/>
    <w:rsid w:val="00BD4093"/>
    <w:rsid w:val="00BD518C"/>
    <w:rsid w:val="00BD5AAA"/>
    <w:rsid w:val="00BD5B30"/>
    <w:rsid w:val="00BD7E84"/>
    <w:rsid w:val="00BE045F"/>
    <w:rsid w:val="00BE10A0"/>
    <w:rsid w:val="00BE1DE4"/>
    <w:rsid w:val="00BE3172"/>
    <w:rsid w:val="00BE4038"/>
    <w:rsid w:val="00BE5064"/>
    <w:rsid w:val="00BE50B4"/>
    <w:rsid w:val="00BE54F2"/>
    <w:rsid w:val="00BE5FC1"/>
    <w:rsid w:val="00BF1DF7"/>
    <w:rsid w:val="00BF31A4"/>
    <w:rsid w:val="00BF35A8"/>
    <w:rsid w:val="00BF3FBB"/>
    <w:rsid w:val="00BF4218"/>
    <w:rsid w:val="00BF4734"/>
    <w:rsid w:val="00C0032F"/>
    <w:rsid w:val="00C01490"/>
    <w:rsid w:val="00C021F7"/>
    <w:rsid w:val="00C04043"/>
    <w:rsid w:val="00C04DB5"/>
    <w:rsid w:val="00C04E39"/>
    <w:rsid w:val="00C06B1F"/>
    <w:rsid w:val="00C07EC3"/>
    <w:rsid w:val="00C11FB6"/>
    <w:rsid w:val="00C1206D"/>
    <w:rsid w:val="00C128B1"/>
    <w:rsid w:val="00C12D50"/>
    <w:rsid w:val="00C1306A"/>
    <w:rsid w:val="00C13906"/>
    <w:rsid w:val="00C150C0"/>
    <w:rsid w:val="00C16405"/>
    <w:rsid w:val="00C17773"/>
    <w:rsid w:val="00C20DB1"/>
    <w:rsid w:val="00C2220A"/>
    <w:rsid w:val="00C22A19"/>
    <w:rsid w:val="00C23242"/>
    <w:rsid w:val="00C2354A"/>
    <w:rsid w:val="00C2444A"/>
    <w:rsid w:val="00C248AA"/>
    <w:rsid w:val="00C25D48"/>
    <w:rsid w:val="00C26BEB"/>
    <w:rsid w:val="00C27644"/>
    <w:rsid w:val="00C27B9F"/>
    <w:rsid w:val="00C30261"/>
    <w:rsid w:val="00C30A2E"/>
    <w:rsid w:val="00C32055"/>
    <w:rsid w:val="00C33242"/>
    <w:rsid w:val="00C334C2"/>
    <w:rsid w:val="00C34D3D"/>
    <w:rsid w:val="00C34E71"/>
    <w:rsid w:val="00C34EED"/>
    <w:rsid w:val="00C4015C"/>
    <w:rsid w:val="00C41C0F"/>
    <w:rsid w:val="00C43141"/>
    <w:rsid w:val="00C43C69"/>
    <w:rsid w:val="00C46B2E"/>
    <w:rsid w:val="00C50D59"/>
    <w:rsid w:val="00C50DD6"/>
    <w:rsid w:val="00C51EC3"/>
    <w:rsid w:val="00C52643"/>
    <w:rsid w:val="00C52A0C"/>
    <w:rsid w:val="00C53EAD"/>
    <w:rsid w:val="00C541A6"/>
    <w:rsid w:val="00C571BD"/>
    <w:rsid w:val="00C60D3D"/>
    <w:rsid w:val="00C60DD6"/>
    <w:rsid w:val="00C62DA8"/>
    <w:rsid w:val="00C633F7"/>
    <w:rsid w:val="00C63627"/>
    <w:rsid w:val="00C65EF7"/>
    <w:rsid w:val="00C664CD"/>
    <w:rsid w:val="00C7007F"/>
    <w:rsid w:val="00C704AA"/>
    <w:rsid w:val="00C70884"/>
    <w:rsid w:val="00C720E4"/>
    <w:rsid w:val="00C72A34"/>
    <w:rsid w:val="00C72ED6"/>
    <w:rsid w:val="00C73112"/>
    <w:rsid w:val="00C73613"/>
    <w:rsid w:val="00C737C9"/>
    <w:rsid w:val="00C73ED9"/>
    <w:rsid w:val="00C743D6"/>
    <w:rsid w:val="00C7577D"/>
    <w:rsid w:val="00C76704"/>
    <w:rsid w:val="00C80A69"/>
    <w:rsid w:val="00C8140A"/>
    <w:rsid w:val="00C82212"/>
    <w:rsid w:val="00C829F3"/>
    <w:rsid w:val="00C84311"/>
    <w:rsid w:val="00C84411"/>
    <w:rsid w:val="00C85DB2"/>
    <w:rsid w:val="00C862C4"/>
    <w:rsid w:val="00C877CE"/>
    <w:rsid w:val="00C911EC"/>
    <w:rsid w:val="00C92508"/>
    <w:rsid w:val="00C935EF"/>
    <w:rsid w:val="00C94011"/>
    <w:rsid w:val="00C95204"/>
    <w:rsid w:val="00C95B4B"/>
    <w:rsid w:val="00C95C45"/>
    <w:rsid w:val="00C96767"/>
    <w:rsid w:val="00CA1273"/>
    <w:rsid w:val="00CA1885"/>
    <w:rsid w:val="00CA20ED"/>
    <w:rsid w:val="00CA2368"/>
    <w:rsid w:val="00CA4497"/>
    <w:rsid w:val="00CA5A5B"/>
    <w:rsid w:val="00CA6A77"/>
    <w:rsid w:val="00CA6ABD"/>
    <w:rsid w:val="00CA72BB"/>
    <w:rsid w:val="00CA7FFA"/>
    <w:rsid w:val="00CB1414"/>
    <w:rsid w:val="00CB3804"/>
    <w:rsid w:val="00CB4228"/>
    <w:rsid w:val="00CB4E4D"/>
    <w:rsid w:val="00CB4EB1"/>
    <w:rsid w:val="00CB5E0A"/>
    <w:rsid w:val="00CB75F1"/>
    <w:rsid w:val="00CC00E7"/>
    <w:rsid w:val="00CC05BC"/>
    <w:rsid w:val="00CC188E"/>
    <w:rsid w:val="00CC3F1D"/>
    <w:rsid w:val="00CC51D4"/>
    <w:rsid w:val="00CC51F3"/>
    <w:rsid w:val="00CC616E"/>
    <w:rsid w:val="00CC618C"/>
    <w:rsid w:val="00CC7172"/>
    <w:rsid w:val="00CD0496"/>
    <w:rsid w:val="00CD0E82"/>
    <w:rsid w:val="00CD2022"/>
    <w:rsid w:val="00CD2337"/>
    <w:rsid w:val="00CD290C"/>
    <w:rsid w:val="00CD2E14"/>
    <w:rsid w:val="00CD59D1"/>
    <w:rsid w:val="00CD6A1D"/>
    <w:rsid w:val="00CD6D07"/>
    <w:rsid w:val="00CE0B5B"/>
    <w:rsid w:val="00CE1ECD"/>
    <w:rsid w:val="00CE23A7"/>
    <w:rsid w:val="00CE2922"/>
    <w:rsid w:val="00CE3D0D"/>
    <w:rsid w:val="00CE48EA"/>
    <w:rsid w:val="00CE7B01"/>
    <w:rsid w:val="00CF1F15"/>
    <w:rsid w:val="00CF287F"/>
    <w:rsid w:val="00CF34A8"/>
    <w:rsid w:val="00CF36AF"/>
    <w:rsid w:val="00CF3912"/>
    <w:rsid w:val="00CF4BCE"/>
    <w:rsid w:val="00CF636E"/>
    <w:rsid w:val="00CF70AB"/>
    <w:rsid w:val="00CF7694"/>
    <w:rsid w:val="00CF7A81"/>
    <w:rsid w:val="00D00466"/>
    <w:rsid w:val="00D0332D"/>
    <w:rsid w:val="00D04CEE"/>
    <w:rsid w:val="00D05136"/>
    <w:rsid w:val="00D05AAC"/>
    <w:rsid w:val="00D06411"/>
    <w:rsid w:val="00D1003F"/>
    <w:rsid w:val="00D116F2"/>
    <w:rsid w:val="00D12266"/>
    <w:rsid w:val="00D133D1"/>
    <w:rsid w:val="00D14911"/>
    <w:rsid w:val="00D165CD"/>
    <w:rsid w:val="00D16DEB"/>
    <w:rsid w:val="00D17516"/>
    <w:rsid w:val="00D17A14"/>
    <w:rsid w:val="00D21804"/>
    <w:rsid w:val="00D23BB6"/>
    <w:rsid w:val="00D26509"/>
    <w:rsid w:val="00D26C2F"/>
    <w:rsid w:val="00D30151"/>
    <w:rsid w:val="00D30519"/>
    <w:rsid w:val="00D3059B"/>
    <w:rsid w:val="00D31292"/>
    <w:rsid w:val="00D31F35"/>
    <w:rsid w:val="00D32DB7"/>
    <w:rsid w:val="00D349B8"/>
    <w:rsid w:val="00D34CC4"/>
    <w:rsid w:val="00D34CFA"/>
    <w:rsid w:val="00D351A6"/>
    <w:rsid w:val="00D3599A"/>
    <w:rsid w:val="00D35CD1"/>
    <w:rsid w:val="00D363EF"/>
    <w:rsid w:val="00D36D42"/>
    <w:rsid w:val="00D3755C"/>
    <w:rsid w:val="00D422F9"/>
    <w:rsid w:val="00D42903"/>
    <w:rsid w:val="00D429D3"/>
    <w:rsid w:val="00D42AD8"/>
    <w:rsid w:val="00D42CFE"/>
    <w:rsid w:val="00D446AB"/>
    <w:rsid w:val="00D44B2F"/>
    <w:rsid w:val="00D45318"/>
    <w:rsid w:val="00D4782E"/>
    <w:rsid w:val="00D47F5A"/>
    <w:rsid w:val="00D507BC"/>
    <w:rsid w:val="00D50C03"/>
    <w:rsid w:val="00D512A7"/>
    <w:rsid w:val="00D515AE"/>
    <w:rsid w:val="00D51664"/>
    <w:rsid w:val="00D52479"/>
    <w:rsid w:val="00D53B92"/>
    <w:rsid w:val="00D53D85"/>
    <w:rsid w:val="00D56D70"/>
    <w:rsid w:val="00D574E0"/>
    <w:rsid w:val="00D57793"/>
    <w:rsid w:val="00D60046"/>
    <w:rsid w:val="00D64AAE"/>
    <w:rsid w:val="00D65847"/>
    <w:rsid w:val="00D65DCB"/>
    <w:rsid w:val="00D661CD"/>
    <w:rsid w:val="00D671F1"/>
    <w:rsid w:val="00D676BF"/>
    <w:rsid w:val="00D67852"/>
    <w:rsid w:val="00D67D65"/>
    <w:rsid w:val="00D70473"/>
    <w:rsid w:val="00D705D0"/>
    <w:rsid w:val="00D7194A"/>
    <w:rsid w:val="00D71A34"/>
    <w:rsid w:val="00D71DCA"/>
    <w:rsid w:val="00D71FFB"/>
    <w:rsid w:val="00D724AC"/>
    <w:rsid w:val="00D7264E"/>
    <w:rsid w:val="00D74883"/>
    <w:rsid w:val="00D756C7"/>
    <w:rsid w:val="00D757EA"/>
    <w:rsid w:val="00D769FE"/>
    <w:rsid w:val="00D77845"/>
    <w:rsid w:val="00D8015F"/>
    <w:rsid w:val="00D801F9"/>
    <w:rsid w:val="00D806CD"/>
    <w:rsid w:val="00D81405"/>
    <w:rsid w:val="00D81C76"/>
    <w:rsid w:val="00D83151"/>
    <w:rsid w:val="00D84D06"/>
    <w:rsid w:val="00D85C87"/>
    <w:rsid w:val="00D8658A"/>
    <w:rsid w:val="00D86989"/>
    <w:rsid w:val="00D915CB"/>
    <w:rsid w:val="00D91AA1"/>
    <w:rsid w:val="00D921FC"/>
    <w:rsid w:val="00D93224"/>
    <w:rsid w:val="00D94C5D"/>
    <w:rsid w:val="00D95386"/>
    <w:rsid w:val="00D95F3C"/>
    <w:rsid w:val="00D96F35"/>
    <w:rsid w:val="00DA1F42"/>
    <w:rsid w:val="00DA2918"/>
    <w:rsid w:val="00DA4643"/>
    <w:rsid w:val="00DA7CD6"/>
    <w:rsid w:val="00DB013B"/>
    <w:rsid w:val="00DB11AA"/>
    <w:rsid w:val="00DB1983"/>
    <w:rsid w:val="00DB1B05"/>
    <w:rsid w:val="00DB1F16"/>
    <w:rsid w:val="00DB3C78"/>
    <w:rsid w:val="00DB56D6"/>
    <w:rsid w:val="00DB62E3"/>
    <w:rsid w:val="00DB7BDD"/>
    <w:rsid w:val="00DB7D4F"/>
    <w:rsid w:val="00DB7F75"/>
    <w:rsid w:val="00DC01BD"/>
    <w:rsid w:val="00DC0514"/>
    <w:rsid w:val="00DC2765"/>
    <w:rsid w:val="00DC3DF3"/>
    <w:rsid w:val="00DC496E"/>
    <w:rsid w:val="00DC4C7A"/>
    <w:rsid w:val="00DC58FD"/>
    <w:rsid w:val="00DC7972"/>
    <w:rsid w:val="00DD2410"/>
    <w:rsid w:val="00DD49B4"/>
    <w:rsid w:val="00DD6A94"/>
    <w:rsid w:val="00DD79FE"/>
    <w:rsid w:val="00DD7E0F"/>
    <w:rsid w:val="00DE0A60"/>
    <w:rsid w:val="00DE0B0D"/>
    <w:rsid w:val="00DE2729"/>
    <w:rsid w:val="00DE2C45"/>
    <w:rsid w:val="00DE3314"/>
    <w:rsid w:val="00DE477D"/>
    <w:rsid w:val="00DE4BDA"/>
    <w:rsid w:val="00DE54DF"/>
    <w:rsid w:val="00DE6439"/>
    <w:rsid w:val="00DE6EF6"/>
    <w:rsid w:val="00DF09D9"/>
    <w:rsid w:val="00DF1306"/>
    <w:rsid w:val="00DF1A7B"/>
    <w:rsid w:val="00DF2145"/>
    <w:rsid w:val="00DF2E12"/>
    <w:rsid w:val="00DF4F72"/>
    <w:rsid w:val="00DF60AC"/>
    <w:rsid w:val="00DF715D"/>
    <w:rsid w:val="00DF718A"/>
    <w:rsid w:val="00E012C4"/>
    <w:rsid w:val="00E017FF"/>
    <w:rsid w:val="00E01929"/>
    <w:rsid w:val="00E02D52"/>
    <w:rsid w:val="00E03EF2"/>
    <w:rsid w:val="00E05BE3"/>
    <w:rsid w:val="00E06AB4"/>
    <w:rsid w:val="00E06EA2"/>
    <w:rsid w:val="00E075E4"/>
    <w:rsid w:val="00E07EE6"/>
    <w:rsid w:val="00E11596"/>
    <w:rsid w:val="00E11D7D"/>
    <w:rsid w:val="00E121BF"/>
    <w:rsid w:val="00E13602"/>
    <w:rsid w:val="00E13A8C"/>
    <w:rsid w:val="00E156B9"/>
    <w:rsid w:val="00E1597C"/>
    <w:rsid w:val="00E16E44"/>
    <w:rsid w:val="00E176BE"/>
    <w:rsid w:val="00E17994"/>
    <w:rsid w:val="00E20482"/>
    <w:rsid w:val="00E22212"/>
    <w:rsid w:val="00E23A19"/>
    <w:rsid w:val="00E24A8F"/>
    <w:rsid w:val="00E27259"/>
    <w:rsid w:val="00E3003E"/>
    <w:rsid w:val="00E31D39"/>
    <w:rsid w:val="00E334AA"/>
    <w:rsid w:val="00E3497D"/>
    <w:rsid w:val="00E37136"/>
    <w:rsid w:val="00E37180"/>
    <w:rsid w:val="00E414EF"/>
    <w:rsid w:val="00E4196F"/>
    <w:rsid w:val="00E41E2E"/>
    <w:rsid w:val="00E424FE"/>
    <w:rsid w:val="00E43191"/>
    <w:rsid w:val="00E43A69"/>
    <w:rsid w:val="00E43F09"/>
    <w:rsid w:val="00E4451B"/>
    <w:rsid w:val="00E44BAC"/>
    <w:rsid w:val="00E45420"/>
    <w:rsid w:val="00E459A5"/>
    <w:rsid w:val="00E46E06"/>
    <w:rsid w:val="00E46E1B"/>
    <w:rsid w:val="00E46FA7"/>
    <w:rsid w:val="00E471F5"/>
    <w:rsid w:val="00E51A2A"/>
    <w:rsid w:val="00E53C8E"/>
    <w:rsid w:val="00E54F2A"/>
    <w:rsid w:val="00E56F92"/>
    <w:rsid w:val="00E572A2"/>
    <w:rsid w:val="00E572C6"/>
    <w:rsid w:val="00E61ADF"/>
    <w:rsid w:val="00E621B4"/>
    <w:rsid w:val="00E6327B"/>
    <w:rsid w:val="00E646DB"/>
    <w:rsid w:val="00E64971"/>
    <w:rsid w:val="00E64AA9"/>
    <w:rsid w:val="00E66BB8"/>
    <w:rsid w:val="00E67709"/>
    <w:rsid w:val="00E703D4"/>
    <w:rsid w:val="00E7155A"/>
    <w:rsid w:val="00E72552"/>
    <w:rsid w:val="00E743C4"/>
    <w:rsid w:val="00E74491"/>
    <w:rsid w:val="00E74B75"/>
    <w:rsid w:val="00E74FBB"/>
    <w:rsid w:val="00E7507E"/>
    <w:rsid w:val="00E751D1"/>
    <w:rsid w:val="00E76EA6"/>
    <w:rsid w:val="00E77B54"/>
    <w:rsid w:val="00E807B4"/>
    <w:rsid w:val="00E80881"/>
    <w:rsid w:val="00E80DA9"/>
    <w:rsid w:val="00E816E9"/>
    <w:rsid w:val="00E828F5"/>
    <w:rsid w:val="00E83A85"/>
    <w:rsid w:val="00E83BFD"/>
    <w:rsid w:val="00E8526C"/>
    <w:rsid w:val="00E857A6"/>
    <w:rsid w:val="00E85CC7"/>
    <w:rsid w:val="00E86837"/>
    <w:rsid w:val="00E86D67"/>
    <w:rsid w:val="00E902ED"/>
    <w:rsid w:val="00E90E7A"/>
    <w:rsid w:val="00E920D4"/>
    <w:rsid w:val="00E932B6"/>
    <w:rsid w:val="00E944EF"/>
    <w:rsid w:val="00E945E3"/>
    <w:rsid w:val="00E947A8"/>
    <w:rsid w:val="00E94FA8"/>
    <w:rsid w:val="00E95938"/>
    <w:rsid w:val="00E96423"/>
    <w:rsid w:val="00E965A0"/>
    <w:rsid w:val="00E97E29"/>
    <w:rsid w:val="00EA01AA"/>
    <w:rsid w:val="00EA03D8"/>
    <w:rsid w:val="00EA075A"/>
    <w:rsid w:val="00EA1E1F"/>
    <w:rsid w:val="00EA3AA6"/>
    <w:rsid w:val="00EA4055"/>
    <w:rsid w:val="00EA4980"/>
    <w:rsid w:val="00EA4E01"/>
    <w:rsid w:val="00EA6673"/>
    <w:rsid w:val="00EA6D14"/>
    <w:rsid w:val="00EA7457"/>
    <w:rsid w:val="00EA7FE2"/>
    <w:rsid w:val="00EB1655"/>
    <w:rsid w:val="00EB365B"/>
    <w:rsid w:val="00EB3EFB"/>
    <w:rsid w:val="00EB4212"/>
    <w:rsid w:val="00EB5698"/>
    <w:rsid w:val="00EB6216"/>
    <w:rsid w:val="00EB621D"/>
    <w:rsid w:val="00EB6BE5"/>
    <w:rsid w:val="00EC059B"/>
    <w:rsid w:val="00EC1DC4"/>
    <w:rsid w:val="00EC35BB"/>
    <w:rsid w:val="00EC3858"/>
    <w:rsid w:val="00EC3A2E"/>
    <w:rsid w:val="00EC7391"/>
    <w:rsid w:val="00EC7F57"/>
    <w:rsid w:val="00ED1948"/>
    <w:rsid w:val="00ED261F"/>
    <w:rsid w:val="00ED28C4"/>
    <w:rsid w:val="00ED3849"/>
    <w:rsid w:val="00ED62F5"/>
    <w:rsid w:val="00EE0119"/>
    <w:rsid w:val="00EE03FA"/>
    <w:rsid w:val="00EE1771"/>
    <w:rsid w:val="00EE24D1"/>
    <w:rsid w:val="00EE2BFA"/>
    <w:rsid w:val="00EE2DB4"/>
    <w:rsid w:val="00EE3734"/>
    <w:rsid w:val="00EE3D43"/>
    <w:rsid w:val="00EE52AC"/>
    <w:rsid w:val="00EE5969"/>
    <w:rsid w:val="00EE66D3"/>
    <w:rsid w:val="00EE6E36"/>
    <w:rsid w:val="00EE74D0"/>
    <w:rsid w:val="00EF00A8"/>
    <w:rsid w:val="00EF03B3"/>
    <w:rsid w:val="00EF0455"/>
    <w:rsid w:val="00EF1691"/>
    <w:rsid w:val="00EF1885"/>
    <w:rsid w:val="00EF4048"/>
    <w:rsid w:val="00EF500B"/>
    <w:rsid w:val="00EF5562"/>
    <w:rsid w:val="00EF5C54"/>
    <w:rsid w:val="00EF63C6"/>
    <w:rsid w:val="00EF704E"/>
    <w:rsid w:val="00EF715D"/>
    <w:rsid w:val="00F02E23"/>
    <w:rsid w:val="00F0407D"/>
    <w:rsid w:val="00F046F3"/>
    <w:rsid w:val="00F05058"/>
    <w:rsid w:val="00F051A5"/>
    <w:rsid w:val="00F05ABE"/>
    <w:rsid w:val="00F0627F"/>
    <w:rsid w:val="00F06E0B"/>
    <w:rsid w:val="00F20F50"/>
    <w:rsid w:val="00F224BA"/>
    <w:rsid w:val="00F22CD0"/>
    <w:rsid w:val="00F23690"/>
    <w:rsid w:val="00F23B66"/>
    <w:rsid w:val="00F24213"/>
    <w:rsid w:val="00F2434A"/>
    <w:rsid w:val="00F258FB"/>
    <w:rsid w:val="00F25B4A"/>
    <w:rsid w:val="00F260E5"/>
    <w:rsid w:val="00F3018C"/>
    <w:rsid w:val="00F32201"/>
    <w:rsid w:val="00F32855"/>
    <w:rsid w:val="00F32DCD"/>
    <w:rsid w:val="00F32FE8"/>
    <w:rsid w:val="00F33A5D"/>
    <w:rsid w:val="00F344B5"/>
    <w:rsid w:val="00F3453E"/>
    <w:rsid w:val="00F34C5D"/>
    <w:rsid w:val="00F364AB"/>
    <w:rsid w:val="00F364D8"/>
    <w:rsid w:val="00F36DED"/>
    <w:rsid w:val="00F371DD"/>
    <w:rsid w:val="00F40F44"/>
    <w:rsid w:val="00F41273"/>
    <w:rsid w:val="00F412ED"/>
    <w:rsid w:val="00F41608"/>
    <w:rsid w:val="00F42E7B"/>
    <w:rsid w:val="00F43007"/>
    <w:rsid w:val="00F4301E"/>
    <w:rsid w:val="00F43AFB"/>
    <w:rsid w:val="00F445CC"/>
    <w:rsid w:val="00F45C7B"/>
    <w:rsid w:val="00F46557"/>
    <w:rsid w:val="00F46EEA"/>
    <w:rsid w:val="00F50E07"/>
    <w:rsid w:val="00F54559"/>
    <w:rsid w:val="00F54B92"/>
    <w:rsid w:val="00F600BA"/>
    <w:rsid w:val="00F60C24"/>
    <w:rsid w:val="00F60FE3"/>
    <w:rsid w:val="00F61C24"/>
    <w:rsid w:val="00F61E0E"/>
    <w:rsid w:val="00F623B1"/>
    <w:rsid w:val="00F62725"/>
    <w:rsid w:val="00F62E7F"/>
    <w:rsid w:val="00F63076"/>
    <w:rsid w:val="00F6319E"/>
    <w:rsid w:val="00F66C39"/>
    <w:rsid w:val="00F66D9C"/>
    <w:rsid w:val="00F71927"/>
    <w:rsid w:val="00F72A69"/>
    <w:rsid w:val="00F74767"/>
    <w:rsid w:val="00F74830"/>
    <w:rsid w:val="00F7515D"/>
    <w:rsid w:val="00F755ED"/>
    <w:rsid w:val="00F75A9D"/>
    <w:rsid w:val="00F75F90"/>
    <w:rsid w:val="00F82946"/>
    <w:rsid w:val="00F82993"/>
    <w:rsid w:val="00F83123"/>
    <w:rsid w:val="00F84142"/>
    <w:rsid w:val="00F84C80"/>
    <w:rsid w:val="00F851F1"/>
    <w:rsid w:val="00F87122"/>
    <w:rsid w:val="00F90153"/>
    <w:rsid w:val="00F905CB"/>
    <w:rsid w:val="00F91A25"/>
    <w:rsid w:val="00F93AAE"/>
    <w:rsid w:val="00F94A61"/>
    <w:rsid w:val="00F96FB1"/>
    <w:rsid w:val="00FA0F69"/>
    <w:rsid w:val="00FA113A"/>
    <w:rsid w:val="00FA18C9"/>
    <w:rsid w:val="00FA31E4"/>
    <w:rsid w:val="00FA3523"/>
    <w:rsid w:val="00FA3EC8"/>
    <w:rsid w:val="00FA48F1"/>
    <w:rsid w:val="00FA5D6B"/>
    <w:rsid w:val="00FA6D9B"/>
    <w:rsid w:val="00FB03D3"/>
    <w:rsid w:val="00FB2DE9"/>
    <w:rsid w:val="00FB4A27"/>
    <w:rsid w:val="00FB6456"/>
    <w:rsid w:val="00FB719F"/>
    <w:rsid w:val="00FC06C0"/>
    <w:rsid w:val="00FC1914"/>
    <w:rsid w:val="00FC3F33"/>
    <w:rsid w:val="00FC4493"/>
    <w:rsid w:val="00FC468E"/>
    <w:rsid w:val="00FC4B4A"/>
    <w:rsid w:val="00FC5A4D"/>
    <w:rsid w:val="00FC6760"/>
    <w:rsid w:val="00FC6F2F"/>
    <w:rsid w:val="00FD1073"/>
    <w:rsid w:val="00FD1BC5"/>
    <w:rsid w:val="00FD2BEB"/>
    <w:rsid w:val="00FD3630"/>
    <w:rsid w:val="00FD5001"/>
    <w:rsid w:val="00FD6BBC"/>
    <w:rsid w:val="00FD7A37"/>
    <w:rsid w:val="00FE1273"/>
    <w:rsid w:val="00FE2ACC"/>
    <w:rsid w:val="00FE3330"/>
    <w:rsid w:val="00FE3A35"/>
    <w:rsid w:val="00FE3F4A"/>
    <w:rsid w:val="00FE4398"/>
    <w:rsid w:val="00FE630F"/>
    <w:rsid w:val="00FE6E3D"/>
    <w:rsid w:val="00FE73BD"/>
    <w:rsid w:val="00FF02F0"/>
    <w:rsid w:val="00FF0962"/>
    <w:rsid w:val="00FF140A"/>
    <w:rsid w:val="00FF2CF8"/>
    <w:rsid w:val="00FF4FBD"/>
    <w:rsid w:val="00FF50B6"/>
    <w:rsid w:val="00FF5C0E"/>
    <w:rsid w:val="00FF6BA3"/>
    <w:rsid w:val="00FF78EB"/>
    <w:rsid w:val="047DDE71"/>
    <w:rsid w:val="05ABE562"/>
    <w:rsid w:val="12168114"/>
    <w:rsid w:val="1813CA3A"/>
    <w:rsid w:val="19627161"/>
    <w:rsid w:val="19D5FE05"/>
    <w:rsid w:val="2143E673"/>
    <w:rsid w:val="24509929"/>
    <w:rsid w:val="25CD43A3"/>
    <w:rsid w:val="26778F0F"/>
    <w:rsid w:val="273B2C0C"/>
    <w:rsid w:val="299A9EF6"/>
    <w:rsid w:val="2FFDB36A"/>
    <w:rsid w:val="33C79D00"/>
    <w:rsid w:val="3400AEB4"/>
    <w:rsid w:val="35919A08"/>
    <w:rsid w:val="3B02480A"/>
    <w:rsid w:val="3B1EA8E5"/>
    <w:rsid w:val="3F3F60E3"/>
    <w:rsid w:val="40703035"/>
    <w:rsid w:val="414A5A02"/>
    <w:rsid w:val="42506E3E"/>
    <w:rsid w:val="446E516B"/>
    <w:rsid w:val="48D535DC"/>
    <w:rsid w:val="4AD84B87"/>
    <w:rsid w:val="4D63B87F"/>
    <w:rsid w:val="5402A469"/>
    <w:rsid w:val="58A30AE4"/>
    <w:rsid w:val="5E1329CE"/>
    <w:rsid w:val="63AE2C57"/>
    <w:rsid w:val="666D372F"/>
    <w:rsid w:val="6B68C8D9"/>
    <w:rsid w:val="7B1737AA"/>
  </w:rsids>
  <m:mathPr>
    <m:mathFont m:val="Cambria Math"/>
    <m:brkBin m:val="before"/>
    <m:brkBinSub m:val="--"/>
    <m:smallFrac m:val="off"/>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1F85"/>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rPr>
  </w:style>
  <w:style w:type="paragraph" w:styleId="Heading1">
    <w:name w:val="heading 1"/>
    <w:basedOn w:val="Normal"/>
    <w:next w:val="Heading2"/>
    <w:link w:val="Heading1Char"/>
    <w:uiPriority w:val="9"/>
    <w:qFormat/>
    <w:rsid w:val="00841F85"/>
    <w:pPr>
      <w:keepNext/>
      <w:keepLines/>
      <w:numPr>
        <w:numId w:val="4"/>
      </w:numPr>
      <w:tabs>
        <w:tab w:val="clear" w:pos="567"/>
      </w:tabs>
      <w:spacing w:before="240" w:after="120"/>
      <w:jc w:val="left"/>
      <w:outlineLvl w:val="0"/>
    </w:pPr>
    <w:rPr>
      <w:rFonts w:eastAsiaTheme="majorEastAsia" w:cstheme="majorBidi"/>
      <w:b/>
      <w:bCs/>
      <w:kern w:val="2"/>
      <w:sz w:val="28"/>
      <w:szCs w:val="32"/>
      <w:lang w:val="en-CA"/>
    </w:rPr>
  </w:style>
  <w:style w:type="paragraph" w:styleId="Heading2">
    <w:name w:val="heading 2"/>
    <w:basedOn w:val="Normal"/>
    <w:next w:val="CBDNormalNumber"/>
    <w:link w:val="Heading2Char"/>
    <w:uiPriority w:val="9"/>
    <w:qFormat/>
    <w:rsid w:val="00841F85"/>
    <w:pPr>
      <w:keepNext/>
      <w:keepLines/>
      <w:numPr>
        <w:ilvl w:val="1"/>
        <w:numId w:val="4"/>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41F85"/>
    <w:pPr>
      <w:keepNext/>
      <w:keepLines/>
      <w:numPr>
        <w:ilvl w:val="2"/>
        <w:numId w:val="4"/>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41F85"/>
    <w:pPr>
      <w:keepNext/>
      <w:numPr>
        <w:ilvl w:val="3"/>
        <w:numId w:val="4"/>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41F85"/>
    <w:pPr>
      <w:keepNext/>
      <w:numPr>
        <w:ilvl w:val="4"/>
        <w:numId w:val="4"/>
      </w:numPr>
      <w:spacing w:before="120" w:after="120"/>
      <w:jc w:val="left"/>
      <w:outlineLvl w:val="4"/>
    </w:pPr>
    <w:rPr>
      <w:rFonts w:eastAsiaTheme="majorEastAsia"/>
      <w:i/>
      <w:iCs/>
    </w:rPr>
  </w:style>
  <w:style w:type="paragraph" w:styleId="Heading6">
    <w:name w:val="heading 6"/>
    <w:basedOn w:val="Normal"/>
    <w:next w:val="Normal"/>
    <w:link w:val="Heading6Char"/>
    <w:semiHidden/>
    <w:rsid w:val="00841F85"/>
    <w:pPr>
      <w:keepNext/>
      <w:keepLines/>
      <w:numPr>
        <w:ilvl w:val="5"/>
        <w:numId w:val="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841F85"/>
    <w:pPr>
      <w:keepNext/>
      <w:keepLines/>
      <w:widowControl w:val="0"/>
      <w:numPr>
        <w:ilvl w:val="6"/>
        <w:numId w:val="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841F85"/>
    <w:pPr>
      <w:keepNext/>
      <w:keepLines/>
      <w:widowControl w:val="0"/>
      <w:numPr>
        <w:ilvl w:val="7"/>
        <w:numId w:val="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841F85"/>
    <w:pPr>
      <w:keepNext/>
      <w:widowControl w:val="0"/>
      <w:numPr>
        <w:ilvl w:val="8"/>
        <w:numId w:val="5"/>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841F85"/>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841F85"/>
    <w:pPr>
      <w:spacing w:after="120" w:line="259" w:lineRule="auto"/>
      <w:jc w:val="left"/>
    </w:pPr>
    <w:rPr>
      <w:rFonts w:asciiTheme="minorHAnsi" w:eastAsiaTheme="minorHAnsi" w:hAnsiTheme="minorHAnsi" w:cstheme="minorBidi"/>
      <w:kern w:val="2"/>
      <w:lang w:val="en-CA"/>
    </w:rPr>
  </w:style>
  <w:style w:type="character" w:customStyle="1" w:styleId="BodyTextChar">
    <w:name w:val="Body Text Char"/>
    <w:basedOn w:val="DefaultParagraphFont"/>
    <w:link w:val="BodyText"/>
    <w:uiPriority w:val="99"/>
    <w:semiHidden/>
    <w:rsid w:val="00841F85"/>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841F85"/>
    <w:rPr>
      <w:rFonts w:ascii="Times New Roman" w:eastAsiaTheme="majorEastAsia" w:hAnsi="Times New Roman" w:cstheme="majorBidi"/>
      <w:b/>
      <w:bCs/>
      <w:sz w:val="28"/>
      <w:szCs w:val="32"/>
    </w:rPr>
  </w:style>
  <w:style w:type="paragraph" w:customStyle="1" w:styleId="Cornernotation">
    <w:name w:val="Corner notation"/>
    <w:basedOn w:val="Normal"/>
    <w:rsid w:val="00976042"/>
    <w:pPr>
      <w:ind w:right="3119"/>
      <w:jc w:val="left"/>
    </w:pPr>
    <w:rPr>
      <w:b/>
      <w:bCs/>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39"/>
    <w:rsid w:val="00A96B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Venuedate">
    <w:name w:val="Venue&amp;date"/>
    <w:basedOn w:val="Cornernotation"/>
    <w:qFormat/>
    <w:rsid w:val="00A96B21"/>
    <w:rPr>
      <w:b w:val="0"/>
      <w:bCs w:val="0"/>
      <w:sz w:val="22"/>
    </w:rPr>
  </w:style>
  <w:style w:type="paragraph" w:styleId="FootnoteText">
    <w:name w:val="footnote text"/>
    <w:basedOn w:val="Normal"/>
    <w:link w:val="FootnoteTextChar"/>
    <w:uiPriority w:val="99"/>
    <w:semiHidden/>
    <w:unhideWhenUsed/>
    <w:rsid w:val="00841F85"/>
    <w:pPr>
      <w:jc w:val="left"/>
    </w:pPr>
    <w:rPr>
      <w:sz w:val="18"/>
      <w:szCs w:val="20"/>
    </w:rPr>
  </w:style>
  <w:style w:type="character" w:customStyle="1" w:styleId="FootnoteTextChar">
    <w:name w:val="Footnote Text Char"/>
    <w:basedOn w:val="DefaultParagraphFont"/>
    <w:link w:val="FootnoteText"/>
    <w:uiPriority w:val="99"/>
    <w:semiHidden/>
    <w:rsid w:val="00841F85"/>
    <w:rPr>
      <w:rFonts w:ascii="Times New Roman" w:eastAsia="SimSun" w:hAnsi="Times New Roman" w:cs="Times New Roman"/>
      <w:kern w:val="0"/>
      <w:sz w:val="18"/>
      <w:szCs w:val="20"/>
      <w:lang w:val="en-US"/>
    </w:rPr>
  </w:style>
  <w:style w:type="character" w:styleId="FootnoteReference">
    <w:name w:val="footnote reference"/>
    <w:basedOn w:val="DefaultParagraphFont"/>
    <w:uiPriority w:val="99"/>
    <w:semiHidden/>
    <w:unhideWhenUsed/>
    <w:rsid w:val="00841F85"/>
    <w:rPr>
      <w:vertAlign w:val="superscript"/>
    </w:rPr>
  </w:style>
  <w:style w:type="paragraph" w:customStyle="1" w:styleId="Footnote">
    <w:name w:val="Footnote"/>
    <w:basedOn w:val="FootnoteText"/>
    <w:qFormat/>
    <w:rsid w:val="00841F85"/>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rPr>
  </w:style>
  <w:style w:type="paragraph" w:customStyle="1" w:styleId="Para1">
    <w:name w:val="Para 1"/>
    <w:basedOn w:val="Normal"/>
    <w:qFormat/>
    <w:rsid w:val="00480A8D"/>
    <w:pPr>
      <w:numPr>
        <w:numId w:val="1"/>
      </w:numPr>
      <w:spacing w:before="120" w:after="120"/>
      <w:ind w:left="567" w:firstLine="0"/>
    </w:pPr>
    <w:rPr>
      <w:lang w:val="en-CA"/>
    </w:rPr>
  </w:style>
  <w:style w:type="character" w:customStyle="1" w:styleId="Heading2Char">
    <w:name w:val="Heading 2 Char"/>
    <w:basedOn w:val="DefaultParagraphFont"/>
    <w:link w:val="Heading2"/>
    <w:uiPriority w:val="9"/>
    <w:rsid w:val="00841F85"/>
    <w:rPr>
      <w:rFonts w:ascii="Times New Roman Bold" w:eastAsiaTheme="majorEastAsia" w:hAnsi="Times New Roman Bold" w:cstheme="majorBidi"/>
      <w:b/>
      <w:kern w:val="0"/>
      <w:sz w:val="24"/>
      <w:szCs w:val="26"/>
      <w:lang w:val="en-US"/>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841F8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41F85"/>
    <w:rPr>
      <w:rFonts w:ascii="Times New Roman" w:eastAsia="SimSun" w:hAnsi="Times New Roman" w:cs="Times New Roman"/>
      <w:kern w:val="0"/>
      <w:sz w:val="20"/>
      <w:lang w:val="en-US"/>
    </w:rPr>
  </w:style>
  <w:style w:type="paragraph" w:styleId="Footer">
    <w:name w:val="footer"/>
    <w:basedOn w:val="Normal"/>
    <w:link w:val="FooterChar"/>
    <w:uiPriority w:val="99"/>
    <w:rsid w:val="00841F85"/>
    <w:pPr>
      <w:tabs>
        <w:tab w:val="center" w:pos="4680"/>
        <w:tab w:val="right" w:pos="9360"/>
      </w:tabs>
    </w:pPr>
    <w:rPr>
      <w:sz w:val="20"/>
    </w:rPr>
  </w:style>
  <w:style w:type="character" w:customStyle="1" w:styleId="FooterChar">
    <w:name w:val="Footer Char"/>
    <w:basedOn w:val="DefaultParagraphFont"/>
    <w:link w:val="Footer"/>
    <w:uiPriority w:val="99"/>
    <w:rsid w:val="00841F85"/>
    <w:rPr>
      <w:rFonts w:ascii="Times New Roman" w:eastAsia="SimSun" w:hAnsi="Times New Roman" w:cs="Times New Roman"/>
      <w:kern w:val="0"/>
      <w:sz w:val="20"/>
      <w:lang w:val="en-US"/>
    </w:rPr>
  </w:style>
  <w:style w:type="character" w:customStyle="1" w:styleId="Heading3Char">
    <w:name w:val="Heading 3 Char"/>
    <w:basedOn w:val="DefaultParagraphFont"/>
    <w:link w:val="Heading3"/>
    <w:uiPriority w:val="9"/>
    <w:rsid w:val="00841F85"/>
    <w:rPr>
      <w:rFonts w:ascii="Times New Roman" w:eastAsiaTheme="majorEastAsia" w:hAnsi="Times New Roman" w:cs="Times New Roman"/>
      <w:b/>
      <w:bCs/>
      <w:kern w:val="0"/>
      <w:lang w:val="en-US"/>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rPr>
  </w:style>
  <w:style w:type="paragraph" w:customStyle="1" w:styleId="Annex">
    <w:name w:val="Annex"/>
    <w:basedOn w:val="Normal"/>
    <w:qFormat/>
    <w:rsid w:val="00841F85"/>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841F85"/>
    <w:rPr>
      <w:rFonts w:ascii="Times New Roman" w:eastAsiaTheme="majorEastAsia" w:hAnsi="Times New Roman" w:cs="Times New Roman"/>
      <w:b/>
      <w:bCs/>
      <w:kern w:val="0"/>
      <w:lang w:val="en-US"/>
    </w:rPr>
  </w:style>
  <w:style w:type="character" w:customStyle="1" w:styleId="Heading5Char">
    <w:name w:val="Heading 5 Char"/>
    <w:basedOn w:val="DefaultParagraphFont"/>
    <w:link w:val="Heading5"/>
    <w:uiPriority w:val="9"/>
    <w:rsid w:val="00841F85"/>
    <w:rPr>
      <w:rFonts w:ascii="Times New Roman" w:eastAsiaTheme="majorEastAsia" w:hAnsi="Times New Roman" w:cs="Times New Roman"/>
      <w:i/>
      <w:iCs/>
      <w:kern w:val="0"/>
      <w:lang w:val="en-US"/>
    </w:rPr>
  </w:style>
  <w:style w:type="character" w:styleId="CommentReference">
    <w:name w:val="annotation reference"/>
    <w:basedOn w:val="DefaultParagraphFont"/>
    <w:uiPriority w:val="99"/>
    <w:semiHidden/>
    <w:unhideWhenUsed/>
    <w:rsid w:val="00841F85"/>
    <w:rPr>
      <w:sz w:val="16"/>
      <w:szCs w:val="16"/>
    </w:rPr>
  </w:style>
  <w:style w:type="paragraph" w:styleId="CommentText">
    <w:name w:val="annotation text"/>
    <w:basedOn w:val="Normal"/>
    <w:link w:val="CommentTextChar"/>
    <w:uiPriority w:val="99"/>
    <w:rsid w:val="00841F85"/>
    <w:rPr>
      <w:sz w:val="20"/>
      <w:szCs w:val="20"/>
    </w:rPr>
  </w:style>
  <w:style w:type="character" w:customStyle="1" w:styleId="CommentTextChar">
    <w:name w:val="Comment Text Char"/>
    <w:basedOn w:val="DefaultParagraphFont"/>
    <w:link w:val="CommentText"/>
    <w:uiPriority w:val="99"/>
    <w:rsid w:val="00841F85"/>
    <w:rPr>
      <w:rFonts w:ascii="Times New Roman" w:eastAsia="SimSun" w:hAnsi="Times New Roman" w:cs="Times New Roman"/>
      <w:kern w:val="0"/>
      <w:sz w:val="20"/>
      <w:szCs w:val="20"/>
      <w:lang w:val="en-US"/>
    </w:rPr>
  </w:style>
  <w:style w:type="paragraph" w:styleId="CommentSubject">
    <w:name w:val="annotation subject"/>
    <w:basedOn w:val="CommentText"/>
    <w:next w:val="CommentText"/>
    <w:link w:val="CommentSubjectChar"/>
    <w:uiPriority w:val="99"/>
    <w:semiHidden/>
    <w:unhideWhenUsed/>
    <w:rsid w:val="00841F85"/>
    <w:rPr>
      <w:b/>
      <w:bCs/>
    </w:rPr>
  </w:style>
  <w:style w:type="character" w:customStyle="1" w:styleId="CommentSubjectChar">
    <w:name w:val="Comment Subject Char"/>
    <w:basedOn w:val="CommentTextChar"/>
    <w:link w:val="CommentSubject"/>
    <w:uiPriority w:val="99"/>
    <w:semiHidden/>
    <w:rsid w:val="00841F85"/>
    <w:rPr>
      <w:rFonts w:ascii="Times New Roman" w:eastAsia="SimSun" w:hAnsi="Times New Roman" w:cs="Times New Roman"/>
      <w:b/>
      <w:bCs/>
      <w:kern w:val="0"/>
      <w:sz w:val="20"/>
      <w:szCs w:val="20"/>
      <w:lang w:val="en-US"/>
    </w:rPr>
  </w:style>
  <w:style w:type="character" w:styleId="Hyperlink">
    <w:name w:val="Hyperlink"/>
    <w:basedOn w:val="DefaultParagraphFont"/>
    <w:uiPriority w:val="99"/>
    <w:unhideWhenUsed/>
    <w:rsid w:val="00841F85"/>
    <w:rPr>
      <w:rFonts w:ascii="Times New Roman" w:hAnsi="Times New Roman"/>
      <w:color w:val="0563C1" w:themeColor="hyperlink"/>
      <w:u w:val="single"/>
    </w:rPr>
  </w:style>
  <w:style w:type="character" w:customStyle="1" w:styleId="UnresolvedMention">
    <w:name w:val="Unresolved Mention"/>
    <w:basedOn w:val="DefaultParagraphFont"/>
    <w:uiPriority w:val="99"/>
    <w:semiHidden/>
    <w:unhideWhenUsed/>
    <w:rsid w:val="00306DE1"/>
    <w:rPr>
      <w:color w:val="605E5C"/>
      <w:shd w:val="clear" w:color="auto" w:fill="E1DFDD"/>
    </w:rPr>
  </w:style>
  <w:style w:type="character" w:styleId="FollowedHyperlink">
    <w:name w:val="FollowedHyperlink"/>
    <w:basedOn w:val="DefaultParagraphFont"/>
    <w:uiPriority w:val="99"/>
    <w:semiHidden/>
    <w:unhideWhenUsed/>
    <w:rsid w:val="00464955"/>
    <w:rPr>
      <w:color w:val="954F72" w:themeColor="followedHyperlink"/>
      <w:u w:val="single"/>
    </w:rPr>
  </w:style>
  <w:style w:type="paragraph" w:styleId="Revision">
    <w:name w:val="Revision"/>
    <w:hidden/>
    <w:uiPriority w:val="99"/>
    <w:semiHidden/>
    <w:rsid w:val="007668CA"/>
    <w:pPr>
      <w:spacing w:after="0" w:line="240" w:lineRule="auto"/>
    </w:pPr>
    <w:rPr>
      <w:rFonts w:ascii="Times New Roman" w:eastAsia="Times New Roman" w:hAnsi="Times New Roman" w:cs="Times New Roman"/>
      <w:kern w:val="0"/>
      <w:szCs w:val="24"/>
      <w:lang w:val="en-GB"/>
    </w:rPr>
  </w:style>
  <w:style w:type="paragraph" w:customStyle="1" w:styleId="AEDistrNormal">
    <w:name w:val="AE_DistrNormal"/>
    <w:basedOn w:val="Normal"/>
    <w:unhideWhenUsed/>
    <w:rsid w:val="00841F85"/>
    <w:pPr>
      <w:jc w:val="left"/>
    </w:pPr>
    <w:rPr>
      <w:lang w:val="en-GB"/>
    </w:rPr>
  </w:style>
  <w:style w:type="paragraph" w:customStyle="1" w:styleId="AASmallLogo">
    <w:name w:val="AA_SmallLogo"/>
    <w:basedOn w:val="AEDistrNormal"/>
    <w:unhideWhenUsed/>
    <w:rsid w:val="00841F85"/>
    <w:pPr>
      <w:spacing w:before="40"/>
    </w:pPr>
    <w:rPr>
      <w:sz w:val="4"/>
    </w:rPr>
  </w:style>
  <w:style w:type="paragraph" w:customStyle="1" w:styleId="ABSymbol">
    <w:name w:val="AB_Symbol"/>
    <w:basedOn w:val="Normal"/>
    <w:qFormat/>
    <w:rsid w:val="00841F85"/>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841F85"/>
    <w:rPr>
      <w:lang w:val="en-GB"/>
    </w:rPr>
  </w:style>
  <w:style w:type="paragraph" w:customStyle="1" w:styleId="ACLargeLogo">
    <w:name w:val="AC_LargeLogo"/>
    <w:basedOn w:val="AFCorNotNormal"/>
    <w:next w:val="Normal"/>
    <w:unhideWhenUsed/>
    <w:rsid w:val="00841F85"/>
    <w:pPr>
      <w:spacing w:before="120"/>
      <w:contextualSpacing/>
      <w:jc w:val="left"/>
    </w:pPr>
    <w:rPr>
      <w:sz w:val="8"/>
    </w:rPr>
  </w:style>
  <w:style w:type="paragraph" w:customStyle="1" w:styleId="AEDistrNormal6pt">
    <w:name w:val="AE_DistrNormal6pt"/>
    <w:basedOn w:val="AEDistrNormal"/>
    <w:next w:val="AFCorNotNormal"/>
    <w:unhideWhenUsed/>
    <w:qFormat/>
    <w:rsid w:val="00841F85"/>
    <w:pPr>
      <w:spacing w:before="120"/>
    </w:pPr>
  </w:style>
  <w:style w:type="paragraph" w:customStyle="1" w:styleId="AENormal">
    <w:name w:val="AE_Normal"/>
    <w:basedOn w:val="Normal"/>
    <w:rsid w:val="00841F85"/>
    <w:rPr>
      <w:lang w:val="en-GB"/>
    </w:rPr>
  </w:style>
  <w:style w:type="paragraph" w:customStyle="1" w:styleId="AFCorNot12Bold">
    <w:name w:val="AF_CorNot12Bold"/>
    <w:basedOn w:val="AFCorNotNormal"/>
    <w:next w:val="AFCorNotNormal"/>
    <w:unhideWhenUsed/>
    <w:qFormat/>
    <w:rsid w:val="00841F85"/>
    <w:pPr>
      <w:jc w:val="left"/>
    </w:pPr>
    <w:rPr>
      <w:b/>
      <w:sz w:val="24"/>
    </w:rPr>
  </w:style>
  <w:style w:type="paragraph" w:customStyle="1" w:styleId="AFCorNotBold">
    <w:name w:val="AF_CorNotBold"/>
    <w:basedOn w:val="AFCorNotNormal"/>
    <w:next w:val="AFCorNotNormal"/>
    <w:unhideWhenUsed/>
    <w:qFormat/>
    <w:rsid w:val="00841F85"/>
    <w:rPr>
      <w:b/>
    </w:rPr>
  </w:style>
  <w:style w:type="paragraph" w:customStyle="1" w:styleId="AISpacer">
    <w:name w:val="AI_Spacer"/>
    <w:next w:val="Normal"/>
    <w:unhideWhenUsed/>
    <w:qFormat/>
    <w:rsid w:val="00841F85"/>
    <w:pPr>
      <w:spacing w:after="0" w:line="240" w:lineRule="auto"/>
    </w:pPr>
    <w:rPr>
      <w:rFonts w:ascii="Times New Roman" w:eastAsia="SimSun" w:hAnsi="Times New Roman" w:cs="Times New Roman"/>
      <w:kern w:val="0"/>
      <w:sz w:val="2"/>
      <w:lang w:val="en-GB"/>
    </w:rPr>
  </w:style>
  <w:style w:type="paragraph" w:customStyle="1" w:styleId="CBDAgendaItem">
    <w:name w:val="CBD_AgendaItem"/>
    <w:basedOn w:val="Normal"/>
    <w:qFormat/>
    <w:rsid w:val="00841F85"/>
    <w:pPr>
      <w:keepNext/>
      <w:keepLines/>
      <w:spacing w:before="240" w:after="120"/>
      <w:jc w:val="left"/>
    </w:pPr>
    <w:rPr>
      <w:b/>
      <w:sz w:val="24"/>
    </w:rPr>
  </w:style>
  <w:style w:type="paragraph" w:customStyle="1" w:styleId="CBDNormal">
    <w:name w:val="CBD_Normal"/>
    <w:unhideWhenUsed/>
    <w:qFormat/>
    <w:rsid w:val="00841F85"/>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rPr>
  </w:style>
  <w:style w:type="paragraph" w:customStyle="1" w:styleId="CBDAnnex">
    <w:name w:val="CBD_Annex"/>
    <w:basedOn w:val="CBDNormal"/>
    <w:next w:val="Normal"/>
    <w:qFormat/>
    <w:rsid w:val="00841F85"/>
    <w:pPr>
      <w:keepNext/>
      <w:keepLines/>
      <w:spacing w:after="240"/>
      <w:jc w:val="left"/>
    </w:pPr>
    <w:rPr>
      <w:b/>
      <w:sz w:val="28"/>
      <w:lang w:val="en-GB" w:bidi="ar-SY"/>
    </w:rPr>
  </w:style>
  <w:style w:type="paragraph" w:customStyle="1" w:styleId="CBDDesicionAnnex">
    <w:name w:val="CBD_DesicionAnnex"/>
    <w:basedOn w:val="CBDNormal"/>
    <w:next w:val="Normal"/>
    <w:qFormat/>
    <w:rsid w:val="00841F85"/>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841F85"/>
    <w:pPr>
      <w:spacing w:after="120"/>
      <w:ind w:left="567"/>
    </w:pPr>
  </w:style>
  <w:style w:type="paragraph" w:customStyle="1" w:styleId="CBDFigureTitle">
    <w:name w:val="CBD_FigureTitle"/>
    <w:basedOn w:val="CBDNormal"/>
    <w:next w:val="Normal"/>
    <w:qFormat/>
    <w:rsid w:val="00841F85"/>
    <w:pPr>
      <w:keepNext/>
      <w:keepLines/>
      <w:spacing w:before="120" w:after="60"/>
      <w:ind w:left="567"/>
      <w:jc w:val="left"/>
    </w:pPr>
    <w:rPr>
      <w:b/>
    </w:rPr>
  </w:style>
  <w:style w:type="paragraph" w:customStyle="1" w:styleId="CBDFooter">
    <w:name w:val="CBD_Footer"/>
    <w:basedOn w:val="CBDNormal"/>
    <w:qFormat/>
    <w:rsid w:val="00841F85"/>
    <w:rPr>
      <w:sz w:val="20"/>
    </w:rPr>
  </w:style>
  <w:style w:type="paragraph" w:customStyle="1" w:styleId="CBDFootnoteText">
    <w:name w:val="CBD_Footnote_Text"/>
    <w:basedOn w:val="CBDNormal"/>
    <w:qFormat/>
    <w:rsid w:val="00841F85"/>
    <w:pPr>
      <w:jc w:val="left"/>
    </w:pPr>
    <w:rPr>
      <w:sz w:val="18"/>
    </w:rPr>
  </w:style>
  <w:style w:type="paragraph" w:customStyle="1" w:styleId="CBDH1">
    <w:name w:val="CBD_H1"/>
    <w:basedOn w:val="CBDNormal"/>
    <w:qFormat/>
    <w:rsid w:val="00841F85"/>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841F85"/>
    <w:pPr>
      <w:numPr>
        <w:numId w:val="2"/>
      </w:numPr>
      <w:tabs>
        <w:tab w:val="left" w:pos="3969"/>
      </w:tabs>
      <w:spacing w:before="120" w:after="120"/>
    </w:pPr>
    <w:rPr>
      <w:lang w:val="en-GB"/>
    </w:rPr>
  </w:style>
  <w:style w:type="paragraph" w:customStyle="1" w:styleId="CBDH2">
    <w:name w:val="CBD_H2"/>
    <w:basedOn w:val="CBDNormalNumber"/>
    <w:qFormat/>
    <w:rsid w:val="00841F85"/>
    <w:pPr>
      <w:keepNext/>
      <w:keepLines/>
      <w:numPr>
        <w:numId w:val="0"/>
      </w:numPr>
      <w:ind w:left="567" w:hanging="567"/>
    </w:pPr>
    <w:rPr>
      <w:b/>
      <w:sz w:val="24"/>
    </w:rPr>
  </w:style>
  <w:style w:type="paragraph" w:customStyle="1" w:styleId="CBDH3">
    <w:name w:val="CBD_H3"/>
    <w:basedOn w:val="CBDNormal"/>
    <w:qFormat/>
    <w:rsid w:val="00841F85"/>
    <w:pPr>
      <w:keepNext/>
      <w:keepLines/>
      <w:spacing w:before="120" w:after="120"/>
      <w:ind w:left="567" w:hanging="567"/>
      <w:jc w:val="left"/>
    </w:pPr>
    <w:rPr>
      <w:b/>
    </w:rPr>
  </w:style>
  <w:style w:type="paragraph" w:customStyle="1" w:styleId="CBDH4">
    <w:name w:val="CBD_H4"/>
    <w:basedOn w:val="CBDNormal"/>
    <w:rsid w:val="00841F85"/>
    <w:pPr>
      <w:keepNext/>
      <w:keepLines/>
      <w:spacing w:before="120" w:after="120"/>
      <w:ind w:left="567" w:hanging="567"/>
      <w:jc w:val="left"/>
    </w:pPr>
    <w:rPr>
      <w:b/>
    </w:rPr>
  </w:style>
  <w:style w:type="paragraph" w:customStyle="1" w:styleId="CBDH5">
    <w:name w:val="CBD_H5"/>
    <w:basedOn w:val="CBDNormal"/>
    <w:qFormat/>
    <w:rsid w:val="00841F85"/>
    <w:pPr>
      <w:keepNext/>
      <w:keepLines/>
      <w:spacing w:before="120" w:after="120"/>
      <w:ind w:left="567" w:hanging="567"/>
      <w:jc w:val="left"/>
    </w:pPr>
    <w:rPr>
      <w:i/>
    </w:rPr>
  </w:style>
  <w:style w:type="paragraph" w:customStyle="1" w:styleId="CBDHeader">
    <w:name w:val="CBD_Header"/>
    <w:basedOn w:val="CBDNormal"/>
    <w:next w:val="CBDFooter"/>
    <w:qFormat/>
    <w:rsid w:val="00841F85"/>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841F85"/>
    <w:pPr>
      <w:numPr>
        <w:numId w:val="2"/>
      </w:numPr>
    </w:pPr>
  </w:style>
  <w:style w:type="numbering" w:customStyle="1" w:styleId="CBDHeadings">
    <w:name w:val="CBD_Headings"/>
    <w:basedOn w:val="ListCBD"/>
    <w:uiPriority w:val="99"/>
    <w:rsid w:val="00841F85"/>
    <w:pPr>
      <w:numPr>
        <w:numId w:val="3"/>
      </w:numPr>
    </w:pPr>
  </w:style>
  <w:style w:type="paragraph" w:customStyle="1" w:styleId="CBDNormalNoNumber">
    <w:name w:val="CBD_Normal_NoNumber"/>
    <w:basedOn w:val="CBDNormal"/>
    <w:qFormat/>
    <w:rsid w:val="00841F85"/>
    <w:pPr>
      <w:spacing w:after="120"/>
      <w:ind w:left="567"/>
    </w:pPr>
  </w:style>
  <w:style w:type="paragraph" w:customStyle="1" w:styleId="CBDSubTitle">
    <w:name w:val="CBD_SubTitle"/>
    <w:basedOn w:val="CBDNormal"/>
    <w:qFormat/>
    <w:rsid w:val="00841F85"/>
    <w:pPr>
      <w:keepNext/>
      <w:keepLines/>
      <w:spacing w:before="240" w:after="240"/>
      <w:ind w:left="567"/>
      <w:jc w:val="left"/>
    </w:pPr>
    <w:rPr>
      <w:b/>
      <w:lang w:val="en-GB"/>
    </w:rPr>
  </w:style>
  <w:style w:type="paragraph" w:customStyle="1" w:styleId="CBDTableNormal">
    <w:name w:val="CBD_TableNormal"/>
    <w:basedOn w:val="CBDNormal"/>
    <w:qFormat/>
    <w:rsid w:val="00841F85"/>
    <w:pPr>
      <w:spacing w:before="40" w:after="80"/>
      <w:jc w:val="left"/>
    </w:pPr>
    <w:rPr>
      <w:sz w:val="20"/>
    </w:rPr>
  </w:style>
  <w:style w:type="paragraph" w:customStyle="1" w:styleId="CBDTableTitle">
    <w:name w:val="CBD_TableTitle"/>
    <w:basedOn w:val="CBDNormal"/>
    <w:qFormat/>
    <w:rsid w:val="00841F85"/>
    <w:pPr>
      <w:keepNext/>
      <w:keepLines/>
      <w:spacing w:before="120" w:after="60"/>
      <w:ind w:left="567"/>
      <w:jc w:val="left"/>
    </w:pPr>
    <w:rPr>
      <w:b/>
    </w:rPr>
  </w:style>
  <w:style w:type="paragraph" w:customStyle="1" w:styleId="CBDTitle">
    <w:name w:val="CBD_Title"/>
    <w:basedOn w:val="CBDNormal"/>
    <w:next w:val="CBDSubTitle"/>
    <w:qFormat/>
    <w:rsid w:val="00841F85"/>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841F85"/>
    <w:rPr>
      <w:rFonts w:ascii="Times New Roman" w:eastAsia="SimSun" w:hAnsi="Times New Roman" w:cs="Times New Roman"/>
      <w:bCs/>
      <w:kern w:val="0"/>
      <w:sz w:val="24"/>
      <w:lang w:val="en-US"/>
    </w:rPr>
  </w:style>
  <w:style w:type="character" w:customStyle="1" w:styleId="Heading7Char">
    <w:name w:val="Heading 7 Char"/>
    <w:basedOn w:val="DefaultParagraphFont"/>
    <w:link w:val="Heading7"/>
    <w:semiHidden/>
    <w:rsid w:val="00841F85"/>
    <w:rPr>
      <w:rFonts w:ascii="Times New Roman" w:eastAsia="SimSun" w:hAnsi="Times New Roman" w:cs="Times New Roman"/>
      <w:b/>
      <w:snapToGrid w:val="0"/>
      <w:kern w:val="0"/>
      <w:u w:val="single"/>
      <w:lang w:val="en-US"/>
    </w:rPr>
  </w:style>
  <w:style w:type="character" w:customStyle="1" w:styleId="Heading8Char">
    <w:name w:val="Heading 8 Char"/>
    <w:basedOn w:val="DefaultParagraphFont"/>
    <w:link w:val="Heading8"/>
    <w:semiHidden/>
    <w:rsid w:val="00841F85"/>
    <w:rPr>
      <w:rFonts w:ascii="Times New Roman" w:eastAsia="SimSun" w:hAnsi="Times New Roman" w:cs="Times New Roman"/>
      <w:b/>
      <w:snapToGrid w:val="0"/>
      <w:kern w:val="0"/>
      <w:u w:val="single"/>
      <w:lang w:val="en-US"/>
    </w:rPr>
  </w:style>
  <w:style w:type="character" w:customStyle="1" w:styleId="Heading9Char">
    <w:name w:val="Heading 9 Char"/>
    <w:basedOn w:val="DefaultParagraphFont"/>
    <w:link w:val="Heading9"/>
    <w:semiHidden/>
    <w:rsid w:val="00841F85"/>
    <w:rPr>
      <w:rFonts w:ascii="Times New Roman" w:eastAsia="SimSun" w:hAnsi="Times New Roman" w:cs="Times New Roman"/>
      <w:snapToGrid w:val="0"/>
      <w:kern w:val="0"/>
      <w:u w:val="single"/>
      <w:lang w:val="en-US"/>
    </w:rPr>
  </w:style>
  <w:style w:type="paragraph" w:styleId="List">
    <w:name w:val="List"/>
    <w:basedOn w:val="Normal"/>
    <w:semiHidden/>
    <w:rsid w:val="00841F85"/>
    <w:pPr>
      <w:contextualSpacing/>
    </w:pPr>
  </w:style>
  <w:style w:type="paragraph" w:styleId="ListParagraph">
    <w:name w:val="List Paragraph"/>
    <w:basedOn w:val="Normal"/>
    <w:uiPriority w:val="34"/>
    <w:qFormat/>
    <w:rsid w:val="00841F85"/>
    <w:pPr>
      <w:ind w:left="720"/>
      <w:contextualSpacing/>
    </w:pPr>
  </w:style>
  <w:style w:type="paragraph" w:styleId="BalloonText">
    <w:name w:val="Balloon Text"/>
    <w:basedOn w:val="Normal"/>
    <w:link w:val="BalloonTextChar"/>
    <w:uiPriority w:val="99"/>
    <w:semiHidden/>
    <w:unhideWhenUsed/>
    <w:rsid w:val="00830897"/>
    <w:rPr>
      <w:rFonts w:ascii="Tahoma" w:hAnsi="Tahoma" w:cs="Tahoma"/>
      <w:sz w:val="16"/>
      <w:szCs w:val="16"/>
    </w:rPr>
  </w:style>
  <w:style w:type="character" w:customStyle="1" w:styleId="BalloonTextChar">
    <w:name w:val="Balloon Text Char"/>
    <w:basedOn w:val="DefaultParagraphFont"/>
    <w:link w:val="BalloonText"/>
    <w:uiPriority w:val="99"/>
    <w:semiHidden/>
    <w:rsid w:val="00830897"/>
    <w:rPr>
      <w:rFonts w:ascii="Tahoma" w:eastAsia="SimSun" w:hAnsi="Tahoma" w:cs="Tahoma"/>
      <w:kern w:val="0"/>
      <w:sz w:val="16"/>
      <w:szCs w:val="16"/>
      <w:lang w:val="en-US"/>
    </w:rPr>
  </w:style>
  <w:style w:type="character" w:styleId="Strong">
    <w:name w:val="Strong"/>
    <w:basedOn w:val="DefaultParagraphFont"/>
    <w:uiPriority w:val="22"/>
    <w:qFormat/>
    <w:rsid w:val="00CF636E"/>
    <w:rPr>
      <w:b/>
      <w:bCs/>
    </w:rPr>
  </w:style>
</w:styles>
</file>

<file path=word/webSettings.xml><?xml version="1.0" encoding="utf-8"?>
<w:webSettings xmlns:r="http://schemas.openxmlformats.org/officeDocument/2006/relationships" xmlns:w="http://schemas.openxmlformats.org/wordprocessingml/2006/main">
  <w:divs>
    <w:div w:id="705252661">
      <w:bodyDiv w:val="1"/>
      <w:marLeft w:val="0"/>
      <w:marRight w:val="0"/>
      <w:marTop w:val="0"/>
      <w:marBottom w:val="0"/>
      <w:divBdr>
        <w:top w:val="none" w:sz="0" w:space="0" w:color="auto"/>
        <w:left w:val="none" w:sz="0" w:space="0" w:color="auto"/>
        <w:bottom w:val="none" w:sz="0" w:space="0" w:color="auto"/>
        <w:right w:val="none" w:sz="0" w:space="0" w:color="auto"/>
      </w:divBdr>
    </w:div>
    <w:div w:id="1435401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fao.org/plant-treaty/meetings/meetings-detail/fr/c/1618930/"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fao.org/plant-treaty/meetings/meetings-detail/fr/c/1618930/"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c/f609/ec1a/7e5bb8aae1a5517a85d4239d/sbi-04-10-fr.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doc/decisions/np-mop-03/np-mop-03-dec-07-fr.pdf"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cbd.int/doc/decisions/cop-15/cop-15-dec-05-fr.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np-mop-03/np-mop-03-dec-07-fr.pdf"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notifications/2024-074" TargetMode="External"/><Relationship Id="rId13" Type="http://schemas.openxmlformats.org/officeDocument/2006/relationships/hyperlink" Target="http://www.cbd.int/conferences/indicators-ahteg" TargetMode="External"/><Relationship Id="rId3" Type="http://schemas.openxmlformats.org/officeDocument/2006/relationships/hyperlink" Target="https://www.cbd.int/meetings/WGDSI-02" TargetMode="External"/><Relationship Id="rId7" Type="http://schemas.openxmlformats.org/officeDocument/2006/relationships/hyperlink" Target="https://www.wipo.int/export/sites/www/about-wipo/fr/assemblies/docs/a64-list-decisions.pdf" TargetMode="External"/><Relationship Id="rId12" Type="http://schemas.openxmlformats.org/officeDocument/2006/relationships/hyperlink" Target="https://www.cbd.int/doc/c/f587/5b0a/651cb705cac5c33b2af0c872/sbstta-26-inf-12-other-es.pdf" TargetMode="External"/><Relationship Id="rId2" Type="http://schemas.openxmlformats.org/officeDocument/2006/relationships/hyperlink" Target="https://openknowledge.fao.org/items/95944f3d-4f4d-4a1d-9558-a936eec9d988" TargetMode="External"/><Relationship Id="rId1" Type="http://schemas.openxmlformats.org/officeDocument/2006/relationships/hyperlink" Target="https://openknowledge.fao.org/server/api/core/bitstreams/ea4ec78e-463e-4864-ae9a-60ae0b75cbd4/content" TargetMode="External"/><Relationship Id="rId6" Type="http://schemas.openxmlformats.org/officeDocument/2006/relationships/hyperlink" Target="https://www.wipo.int/meetings/fr/doc_details.jsp?doc_id=631433" TargetMode="External"/><Relationship Id="rId11" Type="http://schemas.openxmlformats.org/officeDocument/2006/relationships/hyperlink" Target="https://www.cbd.int/doc/c/4be6/e614/05537510924a509ed92b40fb/sbstta-26-inf-12-other-fr.pdf" TargetMode="External"/><Relationship Id="rId5" Type="http://schemas.openxmlformats.org/officeDocument/2006/relationships/hyperlink" Target="https://www.upov.int/about/fr/faq.html" TargetMode="External"/><Relationship Id="rId10" Type="http://schemas.openxmlformats.org/officeDocument/2006/relationships/hyperlink" Target="https://www.cbd.int/documents/CBD/SBSTTA/26/INF/12" TargetMode="External"/><Relationship Id="rId4" Type="http://schemas.openxmlformats.org/officeDocument/2006/relationships/hyperlink" Target="https://www.fao.org/cgrfa/meetings/dsi_workshop_2022/fr/" TargetMode="External"/><Relationship Id="rId9" Type="http://schemas.openxmlformats.org/officeDocument/2006/relationships/hyperlink" Target="https://www.cbd.int/notifications/2024-02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gina.kipper\AppData\Local\Microsoft\Windows\INetCache\Content.Outlook\XOILYQPL\DRAFT-np-mop-05-cooperatio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7BC164-DA28-4FF6-97FE-1366BC5CEA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956EC4B-652A-4AA6-85F6-F29CDEAC7725}">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99569782-8002-4F29-BA86-B0954E2FA8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DRAFT-np-mop-05-cooperation.dotm</Template>
  <TotalTime>1879</TotalTime>
  <Pages>13</Pages>
  <Words>7264</Words>
  <Characters>39954</Characters>
  <Application>Microsoft Office Word</Application>
  <DocSecurity>0</DocSecurity>
  <Lines>332</Lines>
  <Paragraphs>94</Paragraphs>
  <ScaleCrop>false</ScaleCrop>
  <HeadingPairs>
    <vt:vector size="2" baseType="variant">
      <vt:variant>
        <vt:lpstr>Title</vt:lpstr>
      </vt:variant>
      <vt:variant>
        <vt:i4>1</vt:i4>
      </vt:variant>
    </vt:vector>
  </HeadingPairs>
  <TitlesOfParts>
    <vt:vector size="1" baseType="lpstr">
      <vt:lpstr>Cooperation with international organizations, bodies established under other conventions, and initiatives</vt:lpstr>
    </vt:vector>
  </TitlesOfParts>
  <Company/>
  <LinksUpToDate>false</LinksUpToDate>
  <CharactersWithSpaces>47124</CharactersWithSpaces>
  <SharedDoc>false</SharedDoc>
  <HLinks>
    <vt:vector size="102" baseType="variant">
      <vt:variant>
        <vt:i4>720971</vt:i4>
      </vt:variant>
      <vt:variant>
        <vt:i4>18</vt:i4>
      </vt:variant>
      <vt:variant>
        <vt:i4>0</vt:i4>
      </vt:variant>
      <vt:variant>
        <vt:i4>5</vt:i4>
      </vt:variant>
      <vt:variant>
        <vt:lpwstr>https://www.cbd.int/doc/decisions/cop-15/cop-15-dec-05-en.pdf</vt:lpwstr>
      </vt:variant>
      <vt:variant>
        <vt:lpwstr/>
      </vt:variant>
      <vt:variant>
        <vt:i4>4587608</vt:i4>
      </vt:variant>
      <vt:variant>
        <vt:i4>15</vt:i4>
      </vt:variant>
      <vt:variant>
        <vt:i4>0</vt:i4>
      </vt:variant>
      <vt:variant>
        <vt:i4>5</vt:i4>
      </vt:variant>
      <vt:variant>
        <vt:lpwstr>https://openknowledge.fao.org/items/95944f3d-4f4d-4a1d-9558-a936eec9d988</vt:lpwstr>
      </vt:variant>
      <vt:variant>
        <vt:lpwstr/>
      </vt:variant>
      <vt:variant>
        <vt:i4>6815865</vt:i4>
      </vt:variant>
      <vt:variant>
        <vt:i4>12</vt:i4>
      </vt:variant>
      <vt:variant>
        <vt:i4>0</vt:i4>
      </vt:variant>
      <vt:variant>
        <vt:i4>5</vt:i4>
      </vt:variant>
      <vt:variant>
        <vt:lpwstr>https://www.fao.org/plant-treaty/meetings/meetings-detail/en/c/1618930/</vt:lpwstr>
      </vt:variant>
      <vt:variant>
        <vt:lpwstr/>
      </vt:variant>
      <vt:variant>
        <vt:i4>6815865</vt:i4>
      </vt:variant>
      <vt:variant>
        <vt:i4>9</vt:i4>
      </vt:variant>
      <vt:variant>
        <vt:i4>0</vt:i4>
      </vt:variant>
      <vt:variant>
        <vt:i4>5</vt:i4>
      </vt:variant>
      <vt:variant>
        <vt:lpwstr>https://www.fao.org/plant-treaty/meetings/meetings-detail/en/c/1618930/</vt:lpwstr>
      </vt:variant>
      <vt:variant>
        <vt:lpwstr/>
      </vt:variant>
      <vt:variant>
        <vt:i4>8257589</vt:i4>
      </vt:variant>
      <vt:variant>
        <vt:i4>6</vt:i4>
      </vt:variant>
      <vt:variant>
        <vt:i4>0</vt:i4>
      </vt:variant>
      <vt:variant>
        <vt:i4>5</vt:i4>
      </vt:variant>
      <vt:variant>
        <vt:lpwstr>https://www.cbd.int/documents/CBD/SBI/4/10</vt:lpwstr>
      </vt:variant>
      <vt:variant>
        <vt:lpwstr/>
      </vt:variant>
      <vt:variant>
        <vt:i4>3211374</vt:i4>
      </vt:variant>
      <vt:variant>
        <vt:i4>3</vt:i4>
      </vt:variant>
      <vt:variant>
        <vt:i4>0</vt:i4>
      </vt:variant>
      <vt:variant>
        <vt:i4>5</vt:i4>
      </vt:variant>
      <vt:variant>
        <vt:lpwstr>https://www.cbd.int/decisions/?id=13679</vt:lpwstr>
      </vt:variant>
      <vt:variant>
        <vt:lpwstr/>
      </vt:variant>
      <vt:variant>
        <vt:i4>3539055</vt:i4>
      </vt:variant>
      <vt:variant>
        <vt:i4>0</vt:i4>
      </vt:variant>
      <vt:variant>
        <vt:i4>0</vt:i4>
      </vt:variant>
      <vt:variant>
        <vt:i4>5</vt:i4>
      </vt:variant>
      <vt:variant>
        <vt:lpwstr>https://www.cbd.int/decisions/?id=13702</vt:lpwstr>
      </vt:variant>
      <vt:variant>
        <vt:lpwstr/>
      </vt:variant>
      <vt:variant>
        <vt:i4>3211383</vt:i4>
      </vt:variant>
      <vt:variant>
        <vt:i4>27</vt:i4>
      </vt:variant>
      <vt:variant>
        <vt:i4>0</vt:i4>
      </vt:variant>
      <vt:variant>
        <vt:i4>5</vt:i4>
      </vt:variant>
      <vt:variant>
        <vt:lpwstr>https://www.cbd.int/documents/663e2740bc9f8bf6dab791c2</vt:lpwstr>
      </vt:variant>
      <vt:variant>
        <vt:lpwstr/>
      </vt:variant>
      <vt:variant>
        <vt:i4>6291491</vt:i4>
      </vt:variant>
      <vt:variant>
        <vt:i4>24</vt:i4>
      </vt:variant>
      <vt:variant>
        <vt:i4>0</vt:i4>
      </vt:variant>
      <vt:variant>
        <vt:i4>5</vt:i4>
      </vt:variant>
      <vt:variant>
        <vt:lpwstr>https://www.cbd.int/documents/663cf9c04e6b25722121089e</vt:lpwstr>
      </vt:variant>
      <vt:variant>
        <vt:lpwstr/>
      </vt:variant>
      <vt:variant>
        <vt:i4>3473529</vt:i4>
      </vt:variant>
      <vt:variant>
        <vt:i4>21</vt:i4>
      </vt:variant>
      <vt:variant>
        <vt:i4>0</vt:i4>
      </vt:variant>
      <vt:variant>
        <vt:i4>5</vt:i4>
      </vt:variant>
      <vt:variant>
        <vt:lpwstr>https://www.cbd.int/documents/CBD/SBSTTA/26/INF/12</vt:lpwstr>
      </vt:variant>
      <vt:variant>
        <vt:lpwstr/>
      </vt:variant>
      <vt:variant>
        <vt:i4>6619186</vt:i4>
      </vt:variant>
      <vt:variant>
        <vt:i4>18</vt:i4>
      </vt:variant>
      <vt:variant>
        <vt:i4>0</vt:i4>
      </vt:variant>
      <vt:variant>
        <vt:i4>5</vt:i4>
      </vt:variant>
      <vt:variant>
        <vt:lpwstr>https://www.cbd.int/notifications/2024-022</vt:lpwstr>
      </vt:variant>
      <vt:variant>
        <vt:lpwstr/>
      </vt:variant>
      <vt:variant>
        <vt:i4>6488119</vt:i4>
      </vt:variant>
      <vt:variant>
        <vt:i4>15</vt:i4>
      </vt:variant>
      <vt:variant>
        <vt:i4>0</vt:i4>
      </vt:variant>
      <vt:variant>
        <vt:i4>5</vt:i4>
      </vt:variant>
      <vt:variant>
        <vt:lpwstr>https://www.cbd.int/notifications/2024-074</vt:lpwstr>
      </vt:variant>
      <vt:variant>
        <vt:lpwstr/>
      </vt:variant>
      <vt:variant>
        <vt:i4>2621536</vt:i4>
      </vt:variant>
      <vt:variant>
        <vt:i4>12</vt:i4>
      </vt:variant>
      <vt:variant>
        <vt:i4>0</vt:i4>
      </vt:variant>
      <vt:variant>
        <vt:i4>5</vt:i4>
      </vt:variant>
      <vt:variant>
        <vt:lpwstr>https://www.wipo.int/export/sites/www/about-wipo/en/assemblies/docs/a64-list-decisions.pdf</vt:lpwstr>
      </vt:variant>
      <vt:variant>
        <vt:lpwstr/>
      </vt:variant>
      <vt:variant>
        <vt:i4>6553652</vt:i4>
      </vt:variant>
      <vt:variant>
        <vt:i4>9</vt:i4>
      </vt:variant>
      <vt:variant>
        <vt:i4>0</vt:i4>
      </vt:variant>
      <vt:variant>
        <vt:i4>5</vt:i4>
      </vt:variant>
      <vt:variant>
        <vt:lpwstr>https://www.wipo.int/meetings/en/doc_details.jsp?doc_id=631433</vt:lpwstr>
      </vt:variant>
      <vt:variant>
        <vt:lpwstr/>
      </vt:variant>
      <vt:variant>
        <vt:i4>589851</vt:i4>
      </vt:variant>
      <vt:variant>
        <vt:i4>6</vt:i4>
      </vt:variant>
      <vt:variant>
        <vt:i4>0</vt:i4>
      </vt:variant>
      <vt:variant>
        <vt:i4>5</vt:i4>
      </vt:variant>
      <vt:variant>
        <vt:lpwstr>https://www.fao.org/cgrfa/meetings/dsi-workshop-2022/en/</vt:lpwstr>
      </vt:variant>
      <vt:variant>
        <vt:lpwstr/>
      </vt:variant>
      <vt:variant>
        <vt:i4>196682</vt:i4>
      </vt:variant>
      <vt:variant>
        <vt:i4>3</vt:i4>
      </vt:variant>
      <vt:variant>
        <vt:i4>0</vt:i4>
      </vt:variant>
      <vt:variant>
        <vt:i4>5</vt:i4>
      </vt:variant>
      <vt:variant>
        <vt:lpwstr>https://www.cbd.int/meetings/WGDSI-02</vt:lpwstr>
      </vt:variant>
      <vt:variant>
        <vt:lpwstr/>
      </vt:variant>
      <vt:variant>
        <vt:i4>5701696</vt:i4>
      </vt:variant>
      <vt:variant>
        <vt:i4>0</vt:i4>
      </vt:variant>
      <vt:variant>
        <vt:i4>0</vt:i4>
      </vt:variant>
      <vt:variant>
        <vt:i4>5</vt:i4>
      </vt:variant>
      <vt:variant>
        <vt:lpwstr>https://openknowledge.fao.org/server/api/core/bitstreams/ea4ec78e-463e-4864-ae9a-60ae0b75cbd4/content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Cooperation with international organizations, bodies established under other conventions, and initiatives</dc:title>
  <dc:subject>CBD/NP/MOP/5/8</dc:subject>
  <dc:creator>regina.kipper</dc:creator>
  <cp:lastModifiedBy>BUBIC</cp:lastModifiedBy>
  <cp:revision>79</cp:revision>
  <dcterms:created xsi:type="dcterms:W3CDTF">2024-09-19T18:27:00Z</dcterms:created>
  <dcterms:modified xsi:type="dcterms:W3CDTF">2024-09-25T02:01:00Z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