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DD0CE4" w14:paraId="599D1A7B" w14:textId="77777777" w:rsidTr="008A1499">
        <w:trPr>
          <w:trHeight w:val="850"/>
        </w:trPr>
        <w:tc>
          <w:tcPr>
            <w:tcW w:w="975" w:type="dxa"/>
            <w:vAlign w:val="bottom"/>
          </w:tcPr>
          <w:p w14:paraId="3F915920" w14:textId="77777777" w:rsidR="008A1499" w:rsidRPr="00DD0CE4" w:rsidRDefault="008A1499" w:rsidP="008A1499">
            <w:pPr>
              <w:pStyle w:val="AASmallLogo"/>
            </w:pPr>
            <w:r w:rsidRPr="00DD0CE4">
              <w:rPr>
                <w:noProof/>
              </w:rPr>
              <w:drawing>
                <wp:inline distT="0" distB="0" distL="0" distR="0" wp14:anchorId="78B485ED" wp14:editId="4082C80A">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DD0CE4">
              <w:t xml:space="preserve"> </w:t>
            </w:r>
          </w:p>
          <w:p w14:paraId="46150003" w14:textId="77777777" w:rsidR="008A1499" w:rsidRPr="00DD0CE4" w:rsidRDefault="008A1499" w:rsidP="008A1499">
            <w:pPr>
              <w:pStyle w:val="AASmallLogo"/>
            </w:pPr>
          </w:p>
        </w:tc>
        <w:tc>
          <w:tcPr>
            <w:tcW w:w="1434" w:type="dxa"/>
            <w:noWrap/>
            <w:vAlign w:val="bottom"/>
          </w:tcPr>
          <w:p w14:paraId="2EAE4656" w14:textId="77777777" w:rsidR="008A1499" w:rsidRPr="00DD0CE4" w:rsidRDefault="008A1499" w:rsidP="008A1499">
            <w:pPr>
              <w:pStyle w:val="AASmallLogo"/>
            </w:pPr>
            <w:r w:rsidRPr="00DD0CE4">
              <w:rPr>
                <w:noProof/>
              </w:rPr>
              <w:drawing>
                <wp:inline distT="0" distB="0" distL="0" distR="0" wp14:anchorId="7440F3AF" wp14:editId="7AD1686C">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DD0CE4">
              <w:t xml:space="preserve"> </w:t>
            </w:r>
          </w:p>
          <w:p w14:paraId="6ECD2383" w14:textId="77777777" w:rsidR="008A1499" w:rsidRPr="00DD0CE4" w:rsidRDefault="008A1499" w:rsidP="008A1499">
            <w:pPr>
              <w:pStyle w:val="AASmallLogo"/>
            </w:pPr>
          </w:p>
        </w:tc>
        <w:tc>
          <w:tcPr>
            <w:tcW w:w="8073" w:type="dxa"/>
            <w:vAlign w:val="bottom"/>
          </w:tcPr>
          <w:p w14:paraId="4ED8435D" w14:textId="54BDC09E" w:rsidR="008A1499" w:rsidRPr="00DD0CE4" w:rsidRDefault="008A1499" w:rsidP="00DA0C94">
            <w:pPr>
              <w:pStyle w:val="ABSymbol"/>
            </w:pPr>
            <w:r w:rsidRPr="00DA0C94">
              <w:rPr>
                <w:sz w:val="40"/>
              </w:rPr>
              <w:t>CBD</w:t>
            </w:r>
            <w:r w:rsidRPr="00A64D03">
              <w:t>/</w:t>
            </w:r>
            <w:r w:rsidR="00C4348A" w:rsidRPr="00DA0C94">
              <w:t>SBI</w:t>
            </w:r>
            <w:r w:rsidRPr="00A64D03">
              <w:t>/</w:t>
            </w:r>
            <w:r w:rsidR="00C4348A" w:rsidRPr="00A64D03">
              <w:t>6</w:t>
            </w:r>
            <w:r w:rsidR="0013031A" w:rsidRPr="00A64D03">
              <w:t>/10</w:t>
            </w:r>
          </w:p>
        </w:tc>
      </w:tr>
    </w:tbl>
    <w:p w14:paraId="7B0DB666" w14:textId="77777777" w:rsidR="008A1499" w:rsidRPr="00DD0CE4"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DD0CE4" w14:paraId="0FA7F089" w14:textId="77777777" w:rsidTr="008A1499">
        <w:trPr>
          <w:trHeight w:val="1814"/>
        </w:trPr>
        <w:tc>
          <w:tcPr>
            <w:tcW w:w="7370" w:type="dxa"/>
          </w:tcPr>
          <w:p w14:paraId="581B5F77" w14:textId="77777777" w:rsidR="008A1499" w:rsidRPr="00DD0CE4" w:rsidRDefault="008A1499" w:rsidP="008A1499">
            <w:pPr>
              <w:pStyle w:val="ACLargeLogo"/>
            </w:pPr>
            <w:r w:rsidRPr="00DD0CE4">
              <w:rPr>
                <w:noProof/>
              </w:rPr>
              <w:drawing>
                <wp:inline distT="0" distB="0" distL="0" distR="0" wp14:anchorId="4E9FEE25" wp14:editId="687FE578">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DD0CE4">
              <w:t xml:space="preserve"> </w:t>
            </w:r>
          </w:p>
          <w:p w14:paraId="2D2A2E2D" w14:textId="77777777" w:rsidR="008A1499" w:rsidRPr="00DD0CE4" w:rsidRDefault="008A1499" w:rsidP="008A1499">
            <w:pPr>
              <w:pStyle w:val="ACLargeLogo"/>
            </w:pPr>
          </w:p>
        </w:tc>
        <w:tc>
          <w:tcPr>
            <w:tcW w:w="3112" w:type="dxa"/>
          </w:tcPr>
          <w:p w14:paraId="463A34F0" w14:textId="77777777" w:rsidR="008A1499" w:rsidRPr="00DD0CE4" w:rsidRDefault="008A1499" w:rsidP="008A1499">
            <w:pPr>
              <w:pStyle w:val="AEDistrNormal"/>
            </w:pPr>
            <w:r w:rsidRPr="00DD0CE4">
              <w:t>Distr.</w:t>
            </w:r>
            <w:r w:rsidRPr="00A64D03">
              <w:t>: General</w:t>
            </w:r>
            <w:r w:rsidRPr="00DD0CE4">
              <w:t xml:space="preserve"> </w:t>
            </w:r>
          </w:p>
          <w:p w14:paraId="420DA4B1" w14:textId="1B20A1A0" w:rsidR="008A1499" w:rsidRPr="00DD0CE4" w:rsidRDefault="00EB6A0B" w:rsidP="008A1499">
            <w:pPr>
              <w:pStyle w:val="AEDistrNormal"/>
            </w:pPr>
            <w:r w:rsidRPr="00DD0CE4">
              <w:t>1</w:t>
            </w:r>
            <w:r w:rsidR="00FB6093">
              <w:t>9</w:t>
            </w:r>
            <w:r w:rsidRPr="00DD0CE4">
              <w:t xml:space="preserve"> December 2025</w:t>
            </w:r>
          </w:p>
          <w:p w14:paraId="2073FB69" w14:textId="77777777" w:rsidR="008A1499" w:rsidRPr="00DD0CE4" w:rsidRDefault="008A1499" w:rsidP="008A1499">
            <w:pPr>
              <w:pStyle w:val="AEDistrNormal6pt"/>
            </w:pPr>
            <w:r w:rsidRPr="00DD0CE4">
              <w:t>Original</w:t>
            </w:r>
            <w:r w:rsidRPr="00A64D03">
              <w:t>: English</w:t>
            </w:r>
            <w:r w:rsidRPr="00DD0CE4">
              <w:t xml:space="preserve"> </w:t>
            </w:r>
          </w:p>
          <w:p w14:paraId="1C80AE35" w14:textId="77777777" w:rsidR="008A1499" w:rsidRPr="00DD0CE4" w:rsidRDefault="008A1499" w:rsidP="008A1499">
            <w:pPr>
              <w:pStyle w:val="AEDistrNormal6pt"/>
            </w:pPr>
          </w:p>
        </w:tc>
      </w:tr>
    </w:tbl>
    <w:p w14:paraId="38C383F9" w14:textId="77777777" w:rsidR="008A1499" w:rsidRPr="00DD0CE4"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DD0CE4" w14:paraId="48C55333" w14:textId="77777777" w:rsidTr="00735933">
        <w:trPr>
          <w:trHeight w:val="1321"/>
        </w:trPr>
        <w:tc>
          <w:tcPr>
            <w:tcW w:w="6094" w:type="dxa"/>
          </w:tcPr>
          <w:p w14:paraId="3FAAB6E2" w14:textId="77777777" w:rsidR="008A1499" w:rsidRPr="00DD0CE4" w:rsidRDefault="00C4348A" w:rsidP="008A1499">
            <w:pPr>
              <w:pStyle w:val="AFCorN12Bold"/>
            </w:pPr>
            <w:r w:rsidRPr="00DD0CE4">
              <w:t>Subsidiary Body on Implementation</w:t>
            </w:r>
            <w:r w:rsidR="008A1499" w:rsidRPr="00DD0CE4">
              <w:t xml:space="preserve"> </w:t>
            </w:r>
          </w:p>
          <w:p w14:paraId="1336C443" w14:textId="77777777" w:rsidR="008A1499" w:rsidRPr="00DD0CE4" w:rsidRDefault="00C4348A" w:rsidP="008A1499">
            <w:pPr>
              <w:pStyle w:val="AFCorNBold"/>
            </w:pPr>
            <w:r w:rsidRPr="00DD0CE4">
              <w:t>Six</w:t>
            </w:r>
            <w:r w:rsidR="008A1499" w:rsidRPr="00DD0CE4">
              <w:t xml:space="preserve">th meeting </w:t>
            </w:r>
          </w:p>
          <w:p w14:paraId="3713EEBF" w14:textId="77777777" w:rsidR="008A1499" w:rsidRPr="00DD0CE4" w:rsidRDefault="00163EA8" w:rsidP="008A1499">
            <w:pPr>
              <w:pStyle w:val="AFCorNNormal"/>
            </w:pPr>
            <w:r w:rsidRPr="00DD0CE4">
              <w:t>Rome</w:t>
            </w:r>
            <w:r w:rsidR="008A1499" w:rsidRPr="00DD0CE4">
              <w:t xml:space="preserve">, </w:t>
            </w:r>
            <w:r w:rsidR="00C4348A" w:rsidRPr="00DD0CE4">
              <w:rPr>
                <w:snapToGrid w:val="0"/>
                <w:kern w:val="22"/>
              </w:rPr>
              <w:t>16</w:t>
            </w:r>
            <w:r w:rsidR="008A1499" w:rsidRPr="00DD0CE4">
              <w:rPr>
                <w:snapToGrid w:val="0"/>
                <w:kern w:val="22"/>
              </w:rPr>
              <w:t>–</w:t>
            </w:r>
            <w:r w:rsidR="00C4348A" w:rsidRPr="00DD0CE4">
              <w:rPr>
                <w:snapToGrid w:val="0"/>
                <w:kern w:val="22"/>
              </w:rPr>
              <w:t>19</w:t>
            </w:r>
            <w:r w:rsidR="008A1499" w:rsidRPr="00DD0CE4">
              <w:rPr>
                <w:snapToGrid w:val="0"/>
                <w:kern w:val="22"/>
              </w:rPr>
              <w:t xml:space="preserve"> </w:t>
            </w:r>
            <w:r w:rsidR="00C4348A" w:rsidRPr="00DD0CE4">
              <w:rPr>
                <w:snapToGrid w:val="0"/>
                <w:kern w:val="22"/>
              </w:rPr>
              <w:t>February</w:t>
            </w:r>
            <w:r w:rsidR="008A1499" w:rsidRPr="00DD0CE4">
              <w:rPr>
                <w:snapToGrid w:val="0"/>
                <w:kern w:val="22"/>
              </w:rPr>
              <w:t xml:space="preserve"> </w:t>
            </w:r>
            <w:r w:rsidR="00C4348A" w:rsidRPr="00DD0CE4">
              <w:rPr>
                <w:snapToGrid w:val="0"/>
                <w:kern w:val="22"/>
              </w:rPr>
              <w:t>2026</w:t>
            </w:r>
          </w:p>
          <w:p w14:paraId="12BAD5E7" w14:textId="4EBCF6DA" w:rsidR="008A1499" w:rsidRPr="00DD0CE4" w:rsidRDefault="008A1499" w:rsidP="008A1499">
            <w:pPr>
              <w:pStyle w:val="AFCorNNormal"/>
            </w:pPr>
            <w:r w:rsidRPr="00DD0CE4">
              <w:t xml:space="preserve">Item </w:t>
            </w:r>
            <w:r w:rsidR="00C84EB7" w:rsidRPr="00DD0CE4">
              <w:t>10</w:t>
            </w:r>
            <w:r w:rsidR="006921EB" w:rsidRPr="00DD0CE4">
              <w:t xml:space="preserve"> </w:t>
            </w:r>
            <w:r w:rsidRPr="00DD0CE4">
              <w:t>of the provisional agenda</w:t>
            </w:r>
            <w:r w:rsidRPr="00DA0C94">
              <w:rPr>
                <w:rStyle w:val="FootnoteReference"/>
              </w:rPr>
              <w:footnoteReference w:customMarkFollows="1" w:id="1"/>
              <w:t>*</w:t>
            </w:r>
            <w:r w:rsidRPr="00DD0CE4">
              <w:t xml:space="preserve"> </w:t>
            </w:r>
          </w:p>
          <w:p w14:paraId="24ACC175" w14:textId="68D3F21A" w:rsidR="008A1499" w:rsidRPr="00DD0CE4" w:rsidRDefault="00C84EB7" w:rsidP="00DA0C94">
            <w:pPr>
              <w:pStyle w:val="AFCorNBold"/>
              <w:spacing w:after="120"/>
            </w:pPr>
            <w:r w:rsidRPr="00DD0CE4">
              <w:t xml:space="preserve">Administrative and budgetary matters: </w:t>
            </w:r>
            <w:r w:rsidR="00DC56EF" w:rsidRPr="00DD0CE4">
              <w:br/>
            </w:r>
            <w:r w:rsidRPr="00DD0CE4">
              <w:t>functional review of the Secretariat</w:t>
            </w:r>
          </w:p>
        </w:tc>
        <w:tc>
          <w:tcPr>
            <w:tcW w:w="4388" w:type="dxa"/>
          </w:tcPr>
          <w:p w14:paraId="1286645F" w14:textId="77777777" w:rsidR="008A1499" w:rsidRPr="00DD0CE4" w:rsidRDefault="008A1499" w:rsidP="008A1499">
            <w:pPr>
              <w:pStyle w:val="CBDNormal"/>
              <w:jc w:val="left"/>
            </w:pPr>
          </w:p>
        </w:tc>
      </w:tr>
    </w:tbl>
    <w:p w14:paraId="55159854" w14:textId="3BEEAE7E" w:rsidR="00C9161D" w:rsidRPr="00DD0CE4" w:rsidRDefault="00000000" w:rsidP="00A111D1">
      <w:pPr>
        <w:pStyle w:val="CBDTitle"/>
        <w:rPr>
          <w:caps/>
        </w:rPr>
      </w:pPr>
      <w:sdt>
        <w:sdtPr>
          <w:alias w:val="Title"/>
          <w:tag w:val=""/>
          <w:id w:val="772832786"/>
          <w:placeholder>
            <w:docPart w:val="5FC37A50F15045748448187A6124A286"/>
          </w:placeholder>
          <w:dataBinding w:prefixMappings="xmlns:ns0='http://purl.org/dc/elements/1.1/' xmlns:ns1='http://schemas.openxmlformats.org/package/2006/metadata/core-properties' " w:xpath="/ns1:coreProperties[1]/ns0:title[1]" w:storeItemID="{6C3C8BC8-F283-45AE-878A-BAB7291924A1}"/>
          <w:text/>
        </w:sdtPr>
        <w:sdtContent>
          <w:r w:rsidR="000A26E3" w:rsidRPr="00DD0CE4">
            <w:t>Functional review of the Secretariat</w:t>
          </w:r>
        </w:sdtContent>
      </w:sdt>
      <w:r w:rsidR="00105372" w:rsidRPr="00DD0CE4">
        <w:rPr>
          <w:caps/>
        </w:rPr>
        <w:t xml:space="preserve"> </w:t>
      </w:r>
    </w:p>
    <w:p w14:paraId="5AFE7023" w14:textId="185241F0" w:rsidR="00766DF9" w:rsidRPr="00DD0CE4" w:rsidRDefault="0030169D" w:rsidP="00766DF9">
      <w:pPr>
        <w:pStyle w:val="CBDSubTitle"/>
      </w:pPr>
      <w:r w:rsidRPr="00DD0CE4">
        <w:t xml:space="preserve">Note by the </w:t>
      </w:r>
      <w:r w:rsidR="007E0F8A" w:rsidRPr="00DD0CE4">
        <w:t>Secretariat</w:t>
      </w:r>
    </w:p>
    <w:p w14:paraId="1AA39DCE" w14:textId="00BE746B" w:rsidR="00766DF9" w:rsidRPr="00DD0CE4" w:rsidRDefault="00307D3F" w:rsidP="00DA0C94">
      <w:pPr>
        <w:pStyle w:val="CBDH1"/>
      </w:pPr>
      <w:r>
        <w:t>I.</w:t>
      </w:r>
      <w:r>
        <w:tab/>
      </w:r>
      <w:r w:rsidR="00766DF9" w:rsidRPr="00DD0CE4">
        <w:t>Background</w:t>
      </w:r>
    </w:p>
    <w:p w14:paraId="1854E399" w14:textId="59316CCA" w:rsidR="00C111E5" w:rsidRPr="00A64D03" w:rsidRDefault="00620BD0" w:rsidP="00DA0C94">
      <w:pPr>
        <w:pStyle w:val="CBDNormalNumber"/>
      </w:pPr>
      <w:r w:rsidRPr="00DD0CE4">
        <w:t>Pursuant to</w:t>
      </w:r>
      <w:r w:rsidR="00352BD0" w:rsidRPr="00DD0CE4">
        <w:t xml:space="preserve"> requests by the Conference of the Parties </w:t>
      </w:r>
      <w:r w:rsidR="002F0D9C" w:rsidRPr="00DD0CE4">
        <w:t>in</w:t>
      </w:r>
      <w:r w:rsidR="009A230F" w:rsidRPr="00DD0CE4">
        <w:t xml:space="preserve"> paragraph 35 of decision </w:t>
      </w:r>
      <w:hyperlink r:id="rId15" w:history="1">
        <w:r w:rsidR="009A230F" w:rsidRPr="00DA0C94">
          <w:rPr>
            <w:rStyle w:val="Hyperlink"/>
          </w:rPr>
          <w:t>15/34</w:t>
        </w:r>
      </w:hyperlink>
      <w:r w:rsidR="002F0D9C" w:rsidRPr="00A64D03">
        <w:t xml:space="preserve"> and</w:t>
      </w:r>
      <w:r w:rsidR="009A230F" w:rsidRPr="00A64D03">
        <w:t xml:space="preserve"> </w:t>
      </w:r>
      <w:r w:rsidR="002F0D9C" w:rsidRPr="00A64D03">
        <w:t xml:space="preserve">paragraph 11 of decision </w:t>
      </w:r>
      <w:hyperlink r:id="rId16" w:history="1">
        <w:r w:rsidR="002F0D9C" w:rsidRPr="00DA0C94">
          <w:rPr>
            <w:rStyle w:val="Hyperlink"/>
          </w:rPr>
          <w:t>16/28</w:t>
        </w:r>
      </w:hyperlink>
      <w:r w:rsidR="00712D86" w:rsidRPr="00A64D03">
        <w:t xml:space="preserve">, </w:t>
      </w:r>
      <w:r w:rsidR="009A230F" w:rsidRPr="00A64D03">
        <w:t xml:space="preserve">the </w:t>
      </w:r>
      <w:r w:rsidR="006806B3" w:rsidRPr="00A64D03">
        <w:t xml:space="preserve">Secretariat </w:t>
      </w:r>
      <w:r w:rsidR="00C57204" w:rsidRPr="00A64D03">
        <w:t xml:space="preserve">organized </w:t>
      </w:r>
      <w:r w:rsidR="00C111E5" w:rsidRPr="00A64D03">
        <w:t xml:space="preserve">the conduct of </w:t>
      </w:r>
      <w:r w:rsidR="009A230F" w:rsidRPr="00A64D03">
        <w:t>an external</w:t>
      </w:r>
      <w:r w:rsidR="009A230F" w:rsidRPr="00DD0CE4">
        <w:t xml:space="preserve"> in-depth functional review of </w:t>
      </w:r>
      <w:r w:rsidR="004C26AC">
        <w:t>its</w:t>
      </w:r>
      <w:r w:rsidR="004C26AC" w:rsidRPr="00DD0CE4">
        <w:t xml:space="preserve"> </w:t>
      </w:r>
      <w:r w:rsidR="009A230F" w:rsidRPr="00DD0CE4">
        <w:t>structure</w:t>
      </w:r>
      <w:r w:rsidR="004C26AC">
        <w:t>,</w:t>
      </w:r>
      <w:r w:rsidR="009A230F" w:rsidRPr="00DD0CE4">
        <w:t xml:space="preserve"> in consultation with the Executive Director of </w:t>
      </w:r>
      <w:r w:rsidR="009A230F" w:rsidRPr="00A64D03">
        <w:t xml:space="preserve">the </w:t>
      </w:r>
      <w:r w:rsidR="009A230F" w:rsidRPr="00DA0C94">
        <w:t>United Nations Environment Programme</w:t>
      </w:r>
      <w:r w:rsidR="00442F16" w:rsidRPr="00A64D03">
        <w:t xml:space="preserve">, taking into consideration the scoping report contained in document </w:t>
      </w:r>
      <w:hyperlink r:id="rId17" w:history="1">
        <w:r w:rsidR="00442F16" w:rsidRPr="00DA0C94">
          <w:rPr>
            <w:rStyle w:val="Hyperlink"/>
          </w:rPr>
          <w:t>CBD/COP/16/4/Add.2</w:t>
        </w:r>
      </w:hyperlink>
      <w:r w:rsidR="00442F16" w:rsidRPr="00A64D03">
        <w:t>-</w:t>
      </w:r>
      <w:hyperlink r:id="rId18" w:history="1">
        <w:r w:rsidR="00442F16" w:rsidRPr="00DA0C94">
          <w:rPr>
            <w:rStyle w:val="Hyperlink"/>
          </w:rPr>
          <w:t>CBD/CP/MOP/11/5/Add.2</w:t>
        </w:r>
      </w:hyperlink>
      <w:r w:rsidR="00442F16" w:rsidRPr="00A64D03">
        <w:t>-</w:t>
      </w:r>
      <w:hyperlink r:id="rId19" w:history="1">
        <w:r w:rsidR="00442F16" w:rsidRPr="00DA0C94">
          <w:rPr>
            <w:rStyle w:val="Hyperlink"/>
          </w:rPr>
          <w:t>CBD/NP/MOP/5/5/Add.2</w:t>
        </w:r>
      </w:hyperlink>
      <w:r w:rsidR="00503D21" w:rsidRPr="00A64D03">
        <w:t>.</w:t>
      </w:r>
    </w:p>
    <w:p w14:paraId="1E449661" w14:textId="502E6D14" w:rsidR="00503D21" w:rsidRPr="00DD0CE4" w:rsidRDefault="006D01AB" w:rsidP="00DA0C94">
      <w:pPr>
        <w:pStyle w:val="CBDNormalNumber"/>
      </w:pPr>
      <w:r w:rsidRPr="00A64D03">
        <w:t>The</w:t>
      </w:r>
      <w:r w:rsidR="00503D21" w:rsidRPr="00A64D03">
        <w:t xml:space="preserve"> functional review </w:t>
      </w:r>
      <w:r w:rsidRPr="00A64D03">
        <w:t xml:space="preserve">was undertaken by the </w:t>
      </w:r>
      <w:r w:rsidR="00335367" w:rsidRPr="00DA0C94">
        <w:t>United Nations Development Programme</w:t>
      </w:r>
      <w:r w:rsidR="00335367" w:rsidRPr="00A64D03">
        <w:t xml:space="preserve"> (</w:t>
      </w:r>
      <w:r w:rsidRPr="00DA0C94">
        <w:t>UNDP</w:t>
      </w:r>
      <w:r w:rsidR="00335367" w:rsidRPr="00A64D03">
        <w:t>)</w:t>
      </w:r>
      <w:r w:rsidRPr="00A64D03">
        <w:t xml:space="preserve"> Management Consulting Team</w:t>
      </w:r>
      <w:r w:rsidR="00923C0F">
        <w:t>,</w:t>
      </w:r>
      <w:r w:rsidR="00DA3BBE" w:rsidRPr="00A64D03">
        <w:rPr>
          <w:rStyle w:val="FootnoteReference"/>
        </w:rPr>
        <w:footnoteReference w:id="2"/>
      </w:r>
      <w:r w:rsidRPr="00A64D03">
        <w:t xml:space="preserve"> with a</w:t>
      </w:r>
      <w:r w:rsidR="00503D21" w:rsidRPr="00A64D03">
        <w:t xml:space="preserve"> focus on assessing whether the Secretariat is properly structured and </w:t>
      </w:r>
      <w:proofErr w:type="spellStart"/>
      <w:r w:rsidR="00503D21" w:rsidRPr="00A64D03">
        <w:t>well</w:t>
      </w:r>
      <w:r w:rsidR="002C05C5" w:rsidRPr="00A64D03">
        <w:t xml:space="preserve"> </w:t>
      </w:r>
      <w:r w:rsidR="00503D21" w:rsidRPr="00A64D03">
        <w:t>resourced</w:t>
      </w:r>
      <w:proofErr w:type="spellEnd"/>
      <w:r w:rsidR="00503D21" w:rsidRPr="00A64D03">
        <w:t xml:space="preserve"> to undertake its functions effectively,</w:t>
      </w:r>
      <w:r w:rsidR="00503D21" w:rsidRPr="00A64D03">
        <w:rPr>
          <w:rStyle w:val="FootnoteReference"/>
          <w:rFonts w:asciiTheme="majorBidi" w:hAnsiTheme="majorBidi"/>
        </w:rPr>
        <w:footnoteReference w:id="3"/>
      </w:r>
      <w:r w:rsidR="00503D21" w:rsidRPr="00A64D03">
        <w:t xml:space="preserve"> </w:t>
      </w:r>
      <w:bookmarkStart w:id="0" w:name="_Hlk216712272"/>
      <w:r w:rsidR="00503D21" w:rsidRPr="00A64D03">
        <w:t>in</w:t>
      </w:r>
      <w:r w:rsidR="00503D21" w:rsidRPr="00DD0CE4">
        <w:t xml:space="preserve"> particular for servicing meetings held under the Convention and its Protocols and supporting the implementation of the </w:t>
      </w:r>
      <w:r w:rsidR="00503D21" w:rsidRPr="00DA0C94">
        <w:t>Kunming-Montreal Global Biodiversity Framework</w:t>
      </w:r>
      <w:bookmarkEnd w:id="0"/>
      <w:r w:rsidR="00503D21" w:rsidRPr="00DA0C94">
        <w:t>, and</w:t>
      </w:r>
      <w:r w:rsidR="00503D21" w:rsidRPr="00A64D03">
        <w:t>, if not, what changes are needed to do so</w:t>
      </w:r>
      <w:r w:rsidR="00F00A41" w:rsidRPr="00A64D03">
        <w:t>.</w:t>
      </w:r>
      <w:r w:rsidR="00A34F85" w:rsidRPr="00A64D03">
        <w:t xml:space="preserve"> </w:t>
      </w:r>
      <w:r w:rsidR="009F286F" w:rsidRPr="00A64D03">
        <w:t>T</w:t>
      </w:r>
      <w:r w:rsidR="00A34F85" w:rsidRPr="00A64D03">
        <w:t>he Bureau of the Conference of the Parties</w:t>
      </w:r>
      <w:r w:rsidR="009F286F" w:rsidRPr="00A64D03">
        <w:t xml:space="preserve"> </w:t>
      </w:r>
      <w:r w:rsidR="00D6388A">
        <w:t>was</w:t>
      </w:r>
      <w:r w:rsidR="009F286F" w:rsidRPr="00A64D03">
        <w:t xml:space="preserve"> kept informed of progress</w:t>
      </w:r>
      <w:r w:rsidR="003C5211">
        <w:t xml:space="preserve"> </w:t>
      </w:r>
      <w:r w:rsidR="00267CA5">
        <w:t xml:space="preserve">made during </w:t>
      </w:r>
      <w:r w:rsidR="003C5211">
        <w:t>the review</w:t>
      </w:r>
      <w:r w:rsidR="00A34F85" w:rsidRPr="00DD0CE4">
        <w:t xml:space="preserve">, including through </w:t>
      </w:r>
      <w:r w:rsidR="009F286F" w:rsidRPr="00DD0CE4">
        <w:t xml:space="preserve">the </w:t>
      </w:r>
      <w:r w:rsidR="00D67BC5" w:rsidRPr="00DD0CE4">
        <w:t>provision of updates</w:t>
      </w:r>
      <w:r w:rsidR="000074B8" w:rsidRPr="00DD0CE4">
        <w:t xml:space="preserve"> </w:t>
      </w:r>
      <w:r w:rsidR="00EC1233" w:rsidRPr="00DD0CE4">
        <w:t>and</w:t>
      </w:r>
      <w:r w:rsidR="009F286F" w:rsidRPr="00DD0CE4">
        <w:t xml:space="preserve"> </w:t>
      </w:r>
      <w:r w:rsidR="009F286F" w:rsidRPr="003C5211">
        <w:t>an</w:t>
      </w:r>
      <w:r w:rsidR="00EC1233" w:rsidRPr="003C5211">
        <w:t xml:space="preserve"> online survey </w:t>
      </w:r>
      <w:r w:rsidR="003C5211">
        <w:t>for</w:t>
      </w:r>
      <w:r w:rsidR="00EC1233" w:rsidRPr="003C5211">
        <w:t xml:space="preserve"> the Bureau members </w:t>
      </w:r>
      <w:r w:rsidR="000074B8" w:rsidRPr="003C5211">
        <w:t>by</w:t>
      </w:r>
      <w:r w:rsidR="000074B8" w:rsidRPr="00DD0CE4">
        <w:t xml:space="preserve"> </w:t>
      </w:r>
      <w:r w:rsidR="000074B8" w:rsidRPr="00DA0C94">
        <w:t>the UNDP</w:t>
      </w:r>
      <w:r w:rsidR="000074B8" w:rsidRPr="00DD0CE4">
        <w:t xml:space="preserve"> Management Consulting Team.</w:t>
      </w:r>
    </w:p>
    <w:p w14:paraId="5C81BB84" w14:textId="77427282" w:rsidR="007A3B5B" w:rsidRPr="00462887" w:rsidRDefault="007A3B5B" w:rsidP="00DA0C94">
      <w:pPr>
        <w:pStyle w:val="CBDNormalNumber"/>
      </w:pPr>
      <w:r w:rsidRPr="00DD0CE4">
        <w:t xml:space="preserve">The executive summary of the report </w:t>
      </w:r>
      <w:r w:rsidR="00E12E3A" w:rsidRPr="00DD0CE4">
        <w:t xml:space="preserve">of </w:t>
      </w:r>
      <w:r w:rsidRPr="00DD0CE4">
        <w:t xml:space="preserve">the functional review prepared </w:t>
      </w:r>
      <w:r w:rsidRPr="00A64D03">
        <w:t xml:space="preserve">by </w:t>
      </w:r>
      <w:r w:rsidRPr="00DA0C94">
        <w:t xml:space="preserve">the </w:t>
      </w:r>
      <w:r w:rsidR="00142825" w:rsidRPr="00DA0C94">
        <w:t>UNDP</w:t>
      </w:r>
      <w:r w:rsidR="00142825" w:rsidRPr="00A64D03">
        <w:t xml:space="preserve"> Management Consulting Team</w:t>
      </w:r>
      <w:r w:rsidRPr="00A64D03">
        <w:t xml:space="preserve"> is appended </w:t>
      </w:r>
      <w:r w:rsidR="00FE684B">
        <w:t xml:space="preserve">as </w:t>
      </w:r>
      <w:r w:rsidR="00E12E3A" w:rsidRPr="00A64D03">
        <w:t>annex</w:t>
      </w:r>
      <w:r w:rsidR="00FE684B">
        <w:t> I</w:t>
      </w:r>
      <w:r w:rsidR="00E12E3A" w:rsidRPr="00A64D03">
        <w:t xml:space="preserve"> </w:t>
      </w:r>
      <w:r w:rsidRPr="00A64D03">
        <w:t>to the present note in the form in which it was received by the Secretariat</w:t>
      </w:r>
      <w:r w:rsidR="00FC19CA" w:rsidRPr="00A64D03">
        <w:t xml:space="preserve">, for review </w:t>
      </w:r>
      <w:r w:rsidR="00244809" w:rsidRPr="00A64D03">
        <w:t xml:space="preserve">by </w:t>
      </w:r>
      <w:r w:rsidR="00FC19CA" w:rsidRPr="00A64D03">
        <w:t>the Subsidiary Body</w:t>
      </w:r>
      <w:r w:rsidR="00244809" w:rsidRPr="00A64D03">
        <w:t xml:space="preserve"> on Implementation</w:t>
      </w:r>
      <w:r w:rsidR="00AD271A" w:rsidRPr="00DA0C94">
        <w:t xml:space="preserve">, </w:t>
      </w:r>
      <w:r w:rsidR="00FE684B">
        <w:t>while</w:t>
      </w:r>
      <w:r w:rsidR="00FE684B" w:rsidRPr="00DD0CE4">
        <w:t xml:space="preserve"> </w:t>
      </w:r>
      <w:r w:rsidR="00AD271A" w:rsidRPr="00DD0CE4">
        <w:t xml:space="preserve">the full report </w:t>
      </w:r>
      <w:r w:rsidR="00100BED" w:rsidRPr="00DD0CE4">
        <w:t>will be</w:t>
      </w:r>
      <w:r w:rsidR="00AD271A" w:rsidRPr="00DD0CE4">
        <w:t xml:space="preserve"> made available </w:t>
      </w:r>
      <w:r w:rsidR="00AD271A" w:rsidRPr="00462887">
        <w:t>as</w:t>
      </w:r>
      <w:r w:rsidR="003916D6">
        <w:t xml:space="preserve"> document</w:t>
      </w:r>
      <w:r w:rsidR="00AD271A" w:rsidRPr="00462887">
        <w:t xml:space="preserve"> </w:t>
      </w:r>
      <w:r w:rsidR="00AD271A" w:rsidRPr="00DA0C94">
        <w:rPr>
          <w:rStyle w:val="Hyperlink"/>
        </w:rPr>
        <w:t>CBD/SBI/</w:t>
      </w:r>
      <w:r w:rsidR="009D57B1" w:rsidRPr="00DA0C94">
        <w:rPr>
          <w:rStyle w:val="Hyperlink"/>
        </w:rPr>
        <w:t>6/INF/</w:t>
      </w:r>
      <w:r w:rsidR="00DB3159" w:rsidRPr="00DA0C94">
        <w:rPr>
          <w:rStyle w:val="Hyperlink"/>
        </w:rPr>
        <w:t>12</w:t>
      </w:r>
      <w:r w:rsidR="00DB3159" w:rsidRPr="00DA0C94">
        <w:t>.</w:t>
      </w:r>
      <w:r w:rsidR="002A66FA" w:rsidRPr="00DA0C94">
        <w:rPr>
          <w:rStyle w:val="FootnoteReference"/>
        </w:rPr>
        <w:footnoteReference w:id="4"/>
      </w:r>
    </w:p>
    <w:p w14:paraId="705393B5" w14:textId="27BB40C7" w:rsidR="0075344A" w:rsidRPr="00DD0CE4" w:rsidRDefault="00307D3F" w:rsidP="00DA0C94">
      <w:pPr>
        <w:pStyle w:val="CBDH1"/>
      </w:pPr>
      <w:r w:rsidRPr="00A64D03">
        <w:lastRenderedPageBreak/>
        <w:t>II</w:t>
      </w:r>
      <w:r>
        <w:t>.</w:t>
      </w:r>
      <w:r>
        <w:tab/>
      </w:r>
      <w:r w:rsidR="002E0A6A" w:rsidRPr="00DD0CE4">
        <w:t>Way forward</w:t>
      </w:r>
    </w:p>
    <w:p w14:paraId="7E8C97B4" w14:textId="73BDA86A" w:rsidR="00295494" w:rsidRPr="00A64D03" w:rsidRDefault="00D30761" w:rsidP="00DA0C94">
      <w:pPr>
        <w:pStyle w:val="CBDNormalNumber"/>
      </w:pPr>
      <w:r w:rsidRPr="00DD0CE4">
        <w:t xml:space="preserve">The Executive Secretary </w:t>
      </w:r>
      <w:r w:rsidR="00636632" w:rsidRPr="00DD0CE4">
        <w:t>welcomes</w:t>
      </w:r>
      <w:r w:rsidR="003A68A1" w:rsidRPr="00DD0CE4">
        <w:t xml:space="preserve"> the </w:t>
      </w:r>
      <w:r w:rsidR="00636632" w:rsidRPr="00DD0CE4">
        <w:t xml:space="preserve">analysis </w:t>
      </w:r>
      <w:r w:rsidR="003A68A1" w:rsidRPr="00DD0CE4">
        <w:t xml:space="preserve">provided by </w:t>
      </w:r>
      <w:r w:rsidR="003A68A1" w:rsidRPr="00DA0C94">
        <w:t>the UNDP</w:t>
      </w:r>
      <w:r w:rsidR="00CF3502" w:rsidRPr="00A64D03">
        <w:t xml:space="preserve"> Management Consulting Team </w:t>
      </w:r>
      <w:r w:rsidR="001431D6" w:rsidRPr="00A64D03">
        <w:t xml:space="preserve">and </w:t>
      </w:r>
      <w:r w:rsidR="002F7FD6" w:rsidRPr="00A64D03">
        <w:t xml:space="preserve">expresses her </w:t>
      </w:r>
      <w:r w:rsidR="00636632" w:rsidRPr="00A64D03">
        <w:t xml:space="preserve">appreciation </w:t>
      </w:r>
      <w:r w:rsidR="002F7FD6" w:rsidRPr="00A64D03">
        <w:t>to the Parties for enabling the undertaking of the functional review, which provide</w:t>
      </w:r>
      <w:r w:rsidR="007926F1" w:rsidRPr="00A64D03">
        <w:t>s</w:t>
      </w:r>
      <w:r w:rsidR="002F7FD6" w:rsidRPr="00A64D03">
        <w:t xml:space="preserve"> </w:t>
      </w:r>
      <w:r w:rsidR="00E55180" w:rsidRPr="00A64D03">
        <w:t xml:space="preserve">an important basis for achieving greater efficiency </w:t>
      </w:r>
      <w:r w:rsidR="006F1ED3" w:rsidRPr="00A64D03">
        <w:t xml:space="preserve">and effectiveness in the operation of the Secretariat, </w:t>
      </w:r>
      <w:r w:rsidR="002C25FE" w:rsidRPr="00A64D03">
        <w:t>as</w:t>
      </w:r>
      <w:r w:rsidR="006F1ED3" w:rsidRPr="00A64D03">
        <w:t xml:space="preserve"> a fit-for-purpose </w:t>
      </w:r>
      <w:r w:rsidR="00996C8B">
        <w:t>entity</w:t>
      </w:r>
      <w:r w:rsidR="00B37643" w:rsidRPr="00A64D03">
        <w:t>, in</w:t>
      </w:r>
      <w:r w:rsidR="00774AF7" w:rsidRPr="00A64D03">
        <w:t xml:space="preserve"> line wit</w:t>
      </w:r>
      <w:r w:rsidR="00774AF7" w:rsidRPr="00DA0C94">
        <w:t>h</w:t>
      </w:r>
      <w:r w:rsidR="00B37643" w:rsidRPr="00DA0C94">
        <w:t xml:space="preserve"> Article</w:t>
      </w:r>
      <w:r w:rsidR="005B414B" w:rsidRPr="00A64D03">
        <w:t> </w:t>
      </w:r>
      <w:r w:rsidR="00B37643" w:rsidRPr="00A64D03">
        <w:t xml:space="preserve">24 of the </w:t>
      </w:r>
      <w:r w:rsidR="00B37643" w:rsidRPr="00DA0C94">
        <w:t>Convention, A</w:t>
      </w:r>
      <w:r w:rsidR="00B37643" w:rsidRPr="00A64D03">
        <w:t>rticle 31 of the Cartagena Protocol</w:t>
      </w:r>
      <w:r w:rsidR="00950ABE" w:rsidRPr="00A64D03">
        <w:t xml:space="preserve"> on Biosafety</w:t>
      </w:r>
      <w:r w:rsidR="00B37643" w:rsidRPr="00A64D03">
        <w:t xml:space="preserve"> an</w:t>
      </w:r>
      <w:r w:rsidR="00B37643" w:rsidRPr="00DA0C94">
        <w:t>d A</w:t>
      </w:r>
      <w:r w:rsidR="00B37643" w:rsidRPr="00A64D03">
        <w:t>rticle 28 of the Nagoya Protocol</w:t>
      </w:r>
      <w:r w:rsidR="00914A92" w:rsidRPr="00A64D03">
        <w:t xml:space="preserve"> on Access to Genetic Resources and the Fair and Equitable Sharing of Benefits Arising from Their Utilization</w:t>
      </w:r>
      <w:r w:rsidR="00B37643" w:rsidRPr="00A64D03">
        <w:t xml:space="preserve">, </w:t>
      </w:r>
      <w:r w:rsidR="00924C27" w:rsidRPr="00A64D03">
        <w:t xml:space="preserve">in particular for servicing meetings held under the Convention and its Protocols and supporting the implementation of the </w:t>
      </w:r>
      <w:r w:rsidR="00924C27" w:rsidRPr="00DA0C94">
        <w:t>Framework</w:t>
      </w:r>
      <w:r w:rsidR="00E67190" w:rsidRPr="00A64D03">
        <w:t>.</w:t>
      </w:r>
    </w:p>
    <w:p w14:paraId="0BAF92C1" w14:textId="3B093378" w:rsidR="00D010F7" w:rsidRPr="005A4BFA" w:rsidRDefault="003D19B1" w:rsidP="00DA0C94">
      <w:pPr>
        <w:pStyle w:val="CBDNormalNumber"/>
      </w:pPr>
      <w:r w:rsidRPr="005A4BFA">
        <w:t xml:space="preserve">The Secretariat </w:t>
      </w:r>
      <w:r w:rsidR="0045134E">
        <w:t>will</w:t>
      </w:r>
      <w:r w:rsidR="0045134E" w:rsidRPr="005A4BFA">
        <w:t xml:space="preserve"> </w:t>
      </w:r>
      <w:r w:rsidRPr="005A4BFA">
        <w:t xml:space="preserve">initiate the implementation </w:t>
      </w:r>
      <w:r w:rsidRPr="00291AFB">
        <w:t>of short- and</w:t>
      </w:r>
      <w:r w:rsidRPr="005A4BFA">
        <w:t xml:space="preserve"> medium-term actions that are </w:t>
      </w:r>
      <w:r w:rsidR="00B81BB0" w:rsidRPr="005A4BFA">
        <w:t xml:space="preserve">feasible and </w:t>
      </w:r>
      <w:r w:rsidRPr="005A4BFA">
        <w:t xml:space="preserve">essential </w:t>
      </w:r>
      <w:r w:rsidR="00FF004E">
        <w:t xml:space="preserve">to improve the way </w:t>
      </w:r>
      <w:proofErr w:type="gramStart"/>
      <w:r w:rsidR="00FF004E">
        <w:t>it</w:t>
      </w:r>
      <w:proofErr w:type="gramEnd"/>
      <w:r w:rsidRPr="005A4BFA">
        <w:t xml:space="preserve"> servic</w:t>
      </w:r>
      <w:r w:rsidR="00FF004E">
        <w:t>es</w:t>
      </w:r>
      <w:r w:rsidRPr="005A4BFA">
        <w:t xml:space="preserve"> meetings held under the Convention and its Protocols and support</w:t>
      </w:r>
      <w:r w:rsidR="00FF004E">
        <w:t>s</w:t>
      </w:r>
      <w:r w:rsidRPr="005A4BFA">
        <w:t xml:space="preserve"> the implementation of the </w:t>
      </w:r>
      <w:r w:rsidRPr="00DA0C94">
        <w:t>Framework</w:t>
      </w:r>
      <w:r w:rsidR="003938B0" w:rsidRPr="005A4BFA">
        <w:t>.</w:t>
      </w:r>
      <w:r w:rsidR="000C0DEE" w:rsidRPr="005A4BFA">
        <w:t xml:space="preserve"> As an initial step, the Executive Secretary </w:t>
      </w:r>
      <w:r w:rsidR="00044738" w:rsidRPr="005A4BFA">
        <w:t xml:space="preserve">will </w:t>
      </w:r>
      <w:r w:rsidR="002E6DB6" w:rsidRPr="005A4BFA">
        <w:t>launch a consultation of all staff on</w:t>
      </w:r>
      <w:r w:rsidR="000C0DEE" w:rsidRPr="005A4BFA">
        <w:t xml:space="preserve"> the </w:t>
      </w:r>
      <w:r w:rsidR="00B02C4A" w:rsidRPr="005A4BFA">
        <w:t>proposed update</w:t>
      </w:r>
      <w:r w:rsidR="001B5B4F" w:rsidRPr="005A4BFA">
        <w:t>s</w:t>
      </w:r>
      <w:r w:rsidR="00B02C4A" w:rsidRPr="005A4BFA">
        <w:t xml:space="preserve"> </w:t>
      </w:r>
      <w:r w:rsidR="00827846" w:rsidRPr="005A4BFA">
        <w:t xml:space="preserve">to </w:t>
      </w:r>
      <w:r w:rsidR="00B02C4A" w:rsidRPr="005A4BFA">
        <w:t xml:space="preserve">the </w:t>
      </w:r>
      <w:r w:rsidR="000C0DEE" w:rsidRPr="005A4BFA">
        <w:t>organizational structure of the Secretariat in line with the recommendations of the functional review.</w:t>
      </w:r>
    </w:p>
    <w:p w14:paraId="4B7E7C97" w14:textId="6E3A19BC" w:rsidR="00BB7348" w:rsidRPr="00DA0C94" w:rsidRDefault="005A4BFA" w:rsidP="00DA0C94">
      <w:pPr>
        <w:pStyle w:val="CBDNormalNumber"/>
      </w:pPr>
      <w:r>
        <w:t xml:space="preserve">On the basis of </w:t>
      </w:r>
      <w:r w:rsidR="000C0DEE" w:rsidRPr="00DD0CE4">
        <w:t xml:space="preserve">the updated organizational </w:t>
      </w:r>
      <w:r w:rsidR="000C0DEE" w:rsidRPr="00C954B3">
        <w:t>structure</w:t>
      </w:r>
      <w:r w:rsidR="000C0DEE" w:rsidRPr="00DA0C94">
        <w:t>, and</w:t>
      </w:r>
      <w:r w:rsidR="000C0DEE" w:rsidRPr="00C954B3">
        <w:t xml:space="preserve"> further </w:t>
      </w:r>
      <w:r w:rsidR="00CD07BD" w:rsidRPr="00C954B3">
        <w:t xml:space="preserve">to </w:t>
      </w:r>
      <w:r w:rsidR="009753A8" w:rsidRPr="00C954B3">
        <w:t>paragraph</w:t>
      </w:r>
      <w:r w:rsidR="00E318C1">
        <w:t> </w:t>
      </w:r>
      <w:r w:rsidR="009753A8" w:rsidRPr="00C954B3">
        <w:t xml:space="preserve">35 of decision </w:t>
      </w:r>
      <w:hyperlink r:id="rId20" w:history="1">
        <w:r w:rsidR="009753A8" w:rsidRPr="00DA0C94">
          <w:rPr>
            <w:rStyle w:val="Hyperlink"/>
          </w:rPr>
          <w:t>15/34</w:t>
        </w:r>
      </w:hyperlink>
      <w:r w:rsidR="009753A8" w:rsidRPr="00C954B3">
        <w:t xml:space="preserve"> and paragraph 11 of decision </w:t>
      </w:r>
      <w:hyperlink r:id="rId21" w:history="1">
        <w:r w:rsidR="009753A8" w:rsidRPr="00DA0C94">
          <w:rPr>
            <w:rStyle w:val="Hyperlink"/>
          </w:rPr>
          <w:t>16/28</w:t>
        </w:r>
      </w:hyperlink>
      <w:r w:rsidR="009753A8" w:rsidRPr="00C954B3">
        <w:t xml:space="preserve">, </w:t>
      </w:r>
      <w:r w:rsidR="000C0DEE" w:rsidRPr="00DA0C94">
        <w:t xml:space="preserve">the Executive Secretary will </w:t>
      </w:r>
      <w:r w:rsidR="004C21E8" w:rsidRPr="00DA0C94">
        <w:t>updat</w:t>
      </w:r>
      <w:r w:rsidR="00AA71F6" w:rsidRPr="00DA0C94">
        <w:t>e</w:t>
      </w:r>
      <w:r w:rsidR="004C21E8" w:rsidRPr="00DA0C94">
        <w:t xml:space="preserve"> or develop</w:t>
      </w:r>
      <w:r w:rsidR="0028194B" w:rsidRPr="00DA0C94">
        <w:t xml:space="preserve">, as </w:t>
      </w:r>
      <w:r w:rsidR="0078441E">
        <w:t>relevant</w:t>
      </w:r>
      <w:r w:rsidR="001E43D3" w:rsidRPr="00DA0C94">
        <w:t>,</w:t>
      </w:r>
      <w:r w:rsidR="004C21E8" w:rsidRPr="00DA0C94">
        <w:t xml:space="preserve"> job descriptions</w:t>
      </w:r>
      <w:r w:rsidR="000E3336" w:rsidRPr="00DA0C94">
        <w:t xml:space="preserve">, including </w:t>
      </w:r>
      <w:r w:rsidR="00FA0994">
        <w:t>classification</w:t>
      </w:r>
      <w:r w:rsidR="000E3336" w:rsidRPr="00DA0C94">
        <w:t>,</w:t>
      </w:r>
      <w:r w:rsidR="004C21E8" w:rsidRPr="00DA0C94">
        <w:t xml:space="preserve"> </w:t>
      </w:r>
      <w:r w:rsidR="005348A9" w:rsidRPr="00DA0C94">
        <w:t xml:space="preserve">of existing </w:t>
      </w:r>
      <w:r w:rsidR="002A2132" w:rsidRPr="00DA0C94">
        <w:t>and</w:t>
      </w:r>
      <w:r w:rsidR="005348A9" w:rsidRPr="00DA0C94">
        <w:t xml:space="preserve"> additional posts</w:t>
      </w:r>
      <w:r w:rsidR="00E318C1">
        <w:t>, respectively,</w:t>
      </w:r>
      <w:r w:rsidR="004C21E8" w:rsidRPr="00DA0C94">
        <w:t xml:space="preserve"> to implement the structural and strategic alignment </w:t>
      </w:r>
      <w:r w:rsidR="00C04383" w:rsidRPr="00C725CE">
        <w:t xml:space="preserve">with </w:t>
      </w:r>
      <w:r w:rsidR="009C1ECE">
        <w:t>the</w:t>
      </w:r>
      <w:r w:rsidR="00C04383" w:rsidRPr="00C725CE">
        <w:t xml:space="preserve"> core functions and strategic priorities </w:t>
      </w:r>
      <w:r w:rsidR="009C1ECE">
        <w:t xml:space="preserve">of the Secretariat </w:t>
      </w:r>
      <w:r w:rsidR="004C21E8" w:rsidRPr="00DA0C94">
        <w:t xml:space="preserve">proposed </w:t>
      </w:r>
      <w:r w:rsidR="00F104FE" w:rsidRPr="00DA0C94">
        <w:t xml:space="preserve">in </w:t>
      </w:r>
      <w:r w:rsidR="004C21E8" w:rsidRPr="00DA0C94">
        <w:t>the recommendations of the functional review</w:t>
      </w:r>
      <w:r w:rsidR="00BB7348" w:rsidRPr="00DA0C94">
        <w:t>.</w:t>
      </w:r>
    </w:p>
    <w:p w14:paraId="030A5F57" w14:textId="505EF336" w:rsidR="004C21E8" w:rsidRPr="00DA0C94" w:rsidRDefault="006A0F96" w:rsidP="00DA0C94">
      <w:pPr>
        <w:pStyle w:val="CBDNormalNumber"/>
      </w:pPr>
      <w:r w:rsidRPr="00DA0C94">
        <w:t>Where relevant</w:t>
      </w:r>
      <w:r w:rsidR="004C21E8" w:rsidRPr="00DA0C94">
        <w:t xml:space="preserve">, </w:t>
      </w:r>
      <w:r w:rsidR="00D91A77">
        <w:t xml:space="preserve">and </w:t>
      </w:r>
      <w:r w:rsidR="004C21E8" w:rsidRPr="00DA0C94">
        <w:t xml:space="preserve">on the basis of the updated functions and job descriptions, an analysis of the associated staffing and cost implications of the long-term structural and strategic alignment proposed </w:t>
      </w:r>
      <w:r w:rsidR="00EB066B" w:rsidRPr="00DA0C94">
        <w:t xml:space="preserve">in </w:t>
      </w:r>
      <w:r w:rsidR="004C21E8" w:rsidRPr="00DA0C94">
        <w:t>the recommendations of the functional review</w:t>
      </w:r>
      <w:r w:rsidR="000649FC" w:rsidRPr="00DA0C94">
        <w:t xml:space="preserve"> will be carried out</w:t>
      </w:r>
      <w:r w:rsidR="004C21E8" w:rsidRPr="00DA0C94">
        <w:t xml:space="preserve">, in full compliance with applicable </w:t>
      </w:r>
      <w:r w:rsidR="000F71B3">
        <w:t xml:space="preserve">staff </w:t>
      </w:r>
      <w:r w:rsidR="004C21E8" w:rsidRPr="00DA0C94">
        <w:t>regulations</w:t>
      </w:r>
      <w:r w:rsidR="00C014E2" w:rsidRPr="00C014E2">
        <w:t xml:space="preserve"> </w:t>
      </w:r>
      <w:r w:rsidR="00C014E2">
        <w:t xml:space="preserve">and </w:t>
      </w:r>
      <w:r w:rsidR="000F71B3">
        <w:t xml:space="preserve">staff </w:t>
      </w:r>
      <w:r w:rsidR="00C014E2" w:rsidRPr="00CE52DF">
        <w:t>rules</w:t>
      </w:r>
      <w:r w:rsidR="000F71B3">
        <w:t xml:space="preserve"> of the </w:t>
      </w:r>
      <w:r w:rsidR="000F71B3" w:rsidRPr="00A85B01">
        <w:t>United Nations</w:t>
      </w:r>
      <w:r w:rsidR="004C21E8" w:rsidRPr="00DA0C94">
        <w:t>, for consideration by the Conference of the Parties at its seventeenth meeting.</w:t>
      </w:r>
    </w:p>
    <w:p w14:paraId="0681BCC1" w14:textId="3DED5B50" w:rsidR="0075344A" w:rsidRPr="00DD0CE4" w:rsidRDefault="001C4E94" w:rsidP="00DA0C94">
      <w:pPr>
        <w:pStyle w:val="CBDNormalNumber"/>
      </w:pPr>
      <w:r>
        <w:t xml:space="preserve">At the </w:t>
      </w:r>
      <w:r w:rsidRPr="00A85B01">
        <w:t>seventeenth meeting</w:t>
      </w:r>
      <w:r w:rsidRPr="001C4E94">
        <w:t xml:space="preserve"> </w:t>
      </w:r>
      <w:r>
        <w:t xml:space="preserve">of the </w:t>
      </w:r>
      <w:r w:rsidRPr="00A85B01">
        <w:t>Conference of the Parties</w:t>
      </w:r>
      <w:r>
        <w:t>,</w:t>
      </w:r>
      <w:r w:rsidRPr="00A85B01">
        <w:t xml:space="preserve"> </w:t>
      </w:r>
      <w:r>
        <w:t>t</w:t>
      </w:r>
      <w:r w:rsidR="003938B0" w:rsidRPr="00DA0C94">
        <w:t xml:space="preserve">he Secretariat </w:t>
      </w:r>
      <w:r w:rsidR="00904EEE" w:rsidRPr="00DA0C94">
        <w:t xml:space="preserve">will submit </w:t>
      </w:r>
      <w:r w:rsidR="00B20ED4" w:rsidRPr="00A85B01">
        <w:t xml:space="preserve">for consideration </w:t>
      </w:r>
      <w:r w:rsidR="00AD59CE">
        <w:t>a</w:t>
      </w:r>
      <w:r w:rsidR="00AD59CE" w:rsidRPr="00DA0C94">
        <w:t xml:space="preserve"> </w:t>
      </w:r>
      <w:r w:rsidR="00904EEE" w:rsidRPr="00DA0C94">
        <w:t>progress report o</w:t>
      </w:r>
      <w:r w:rsidR="00D1744C" w:rsidRPr="00DA0C94">
        <w:t>n</w:t>
      </w:r>
      <w:r w:rsidR="00904EEE" w:rsidRPr="00DA0C94">
        <w:t xml:space="preserve"> its initial implementation and associated analys</w:t>
      </w:r>
      <w:r w:rsidR="00F73885" w:rsidRPr="00DA0C94">
        <w:t>e</w:t>
      </w:r>
      <w:r w:rsidR="00904EEE" w:rsidRPr="00DA0C94">
        <w:t>s</w:t>
      </w:r>
      <w:r w:rsidR="00F73885" w:rsidRPr="00DA0C94">
        <w:t xml:space="preserve">, </w:t>
      </w:r>
      <w:r w:rsidR="00027547">
        <w:t xml:space="preserve">as </w:t>
      </w:r>
      <w:r w:rsidR="00F73885" w:rsidRPr="00DA0C94">
        <w:t xml:space="preserve">described </w:t>
      </w:r>
      <w:r w:rsidR="00220EFD" w:rsidRPr="00DA0C94">
        <w:t xml:space="preserve">in </w:t>
      </w:r>
      <w:r w:rsidR="00F73885" w:rsidRPr="00DA0C94">
        <w:t>paragraphs 6 and 7</w:t>
      </w:r>
      <w:r w:rsidR="00DA351A" w:rsidRPr="00DA0C94">
        <w:t xml:space="preserve"> above</w:t>
      </w:r>
      <w:r w:rsidR="00F73885" w:rsidRPr="00DA0C94">
        <w:t>,</w:t>
      </w:r>
      <w:r w:rsidR="00D1744C" w:rsidRPr="00DA0C94">
        <w:t xml:space="preserve"> </w:t>
      </w:r>
      <w:r w:rsidR="00BC448C" w:rsidRPr="00DA0C94">
        <w:t>together with a proposal for</w:t>
      </w:r>
      <w:r w:rsidR="00CD19B9" w:rsidRPr="00DA0C94">
        <w:t xml:space="preserve"> </w:t>
      </w:r>
      <w:r w:rsidR="00BD6ECA" w:rsidRPr="00DA0C94">
        <w:t>adjustments</w:t>
      </w:r>
      <w:r w:rsidR="001E516A" w:rsidRPr="00DA0C94">
        <w:t xml:space="preserve">, as </w:t>
      </w:r>
      <w:r w:rsidR="00027547">
        <w:t>relevant</w:t>
      </w:r>
      <w:r w:rsidR="001E516A" w:rsidRPr="00DA0C94">
        <w:t xml:space="preserve">, </w:t>
      </w:r>
      <w:r w:rsidR="00BE09FE" w:rsidRPr="00DA0C94">
        <w:t xml:space="preserve">to </w:t>
      </w:r>
      <w:r w:rsidR="00C6342E">
        <w:t xml:space="preserve">the </w:t>
      </w:r>
      <w:r w:rsidR="00115BB1" w:rsidRPr="00DA0C94">
        <w:t>description</w:t>
      </w:r>
      <w:r w:rsidR="00BE09FE" w:rsidRPr="00DA0C94">
        <w:t xml:space="preserve"> </w:t>
      </w:r>
      <w:r w:rsidR="001342BE" w:rsidRPr="00DA0C94">
        <w:t xml:space="preserve">and </w:t>
      </w:r>
      <w:r w:rsidR="0043211D">
        <w:t>classification</w:t>
      </w:r>
      <w:r w:rsidR="0043211D" w:rsidRPr="0043211D" w:rsidDel="0043211D">
        <w:t xml:space="preserve"> </w:t>
      </w:r>
      <w:r w:rsidR="00115BB1" w:rsidRPr="00DA0C94">
        <w:t>of</w:t>
      </w:r>
      <w:r w:rsidR="009F1576" w:rsidRPr="00DA0C94">
        <w:t xml:space="preserve"> </w:t>
      </w:r>
      <w:r w:rsidR="001F4C39" w:rsidRPr="00DA0C94">
        <w:t xml:space="preserve">existing </w:t>
      </w:r>
      <w:r w:rsidR="00133208" w:rsidRPr="00DA0C94">
        <w:t>posts</w:t>
      </w:r>
      <w:r w:rsidR="00BE2C54" w:rsidRPr="00DA0C94">
        <w:t>,</w:t>
      </w:r>
      <w:r w:rsidR="001F4C39" w:rsidRPr="00DA0C94">
        <w:t xml:space="preserve"> as well as </w:t>
      </w:r>
      <w:r w:rsidR="005649F9">
        <w:t>of</w:t>
      </w:r>
      <w:r w:rsidR="005649F9" w:rsidRPr="00DA0C94">
        <w:t xml:space="preserve"> </w:t>
      </w:r>
      <w:r w:rsidR="001F4C39" w:rsidRPr="00DA0C94">
        <w:t>additional posts</w:t>
      </w:r>
      <w:r w:rsidR="00115BB1" w:rsidRPr="00DA0C94">
        <w:t xml:space="preserve"> required</w:t>
      </w:r>
      <w:r w:rsidR="00B20ED4">
        <w:t>.</w:t>
      </w:r>
    </w:p>
    <w:p w14:paraId="777FD3F9" w14:textId="55D4E5E7" w:rsidR="00004A1C" w:rsidRPr="00DD0CE4" w:rsidRDefault="005B414B" w:rsidP="00DA0C94">
      <w:pPr>
        <w:pStyle w:val="CBDH1"/>
        <w:rPr>
          <w:lang w:eastAsia="en-GB"/>
        </w:rPr>
      </w:pPr>
      <w:r w:rsidRPr="00A64D03">
        <w:rPr>
          <w:lang w:eastAsia="en-GB"/>
        </w:rPr>
        <w:t>III</w:t>
      </w:r>
      <w:r>
        <w:rPr>
          <w:lang w:eastAsia="en-GB"/>
        </w:rPr>
        <w:t>.</w:t>
      </w:r>
      <w:r w:rsidR="006247AC">
        <w:rPr>
          <w:lang w:eastAsia="en-GB"/>
        </w:rPr>
        <w:tab/>
      </w:r>
      <w:r w:rsidR="00004A1C" w:rsidRPr="00DD0CE4">
        <w:rPr>
          <w:lang w:eastAsia="en-GB"/>
        </w:rPr>
        <w:t>Recommendation</w:t>
      </w:r>
    </w:p>
    <w:p w14:paraId="5B01F11E" w14:textId="0C50792A" w:rsidR="00004A1C" w:rsidRPr="00DD0CE4" w:rsidRDefault="00004A1C" w:rsidP="00631A10">
      <w:pPr>
        <w:pStyle w:val="CBDNormalNumber"/>
      </w:pPr>
      <w:r w:rsidRPr="00DD0CE4">
        <w:t>The Subsidiary Body on Implementation may wish to adopt a recommendation</w:t>
      </w:r>
      <w:r w:rsidR="005D6D15">
        <w:rPr>
          <w:rStyle w:val="FootnoteReference"/>
        </w:rPr>
        <w:footnoteReference w:id="5"/>
      </w:r>
      <w:r w:rsidRPr="00DD0CE4">
        <w:t xml:space="preserve"> along the</w:t>
      </w:r>
      <w:r w:rsidR="00C04DCA" w:rsidRPr="00DD0CE4">
        <w:t xml:space="preserve"> </w:t>
      </w:r>
      <w:r w:rsidRPr="00DD0CE4">
        <w:t>following lines:</w:t>
      </w:r>
    </w:p>
    <w:p w14:paraId="5255EC5A" w14:textId="6384A097" w:rsidR="00004A1C" w:rsidRPr="00AB6C48" w:rsidRDefault="00004A1C" w:rsidP="00631A10">
      <w:pPr>
        <w:pStyle w:val="CBDNormalNoNumber"/>
        <w:ind w:firstLine="567"/>
        <w:rPr>
          <w:i/>
          <w:iCs/>
        </w:rPr>
      </w:pPr>
      <w:r w:rsidRPr="00AB6C48">
        <w:rPr>
          <w:i/>
          <w:iCs/>
        </w:rPr>
        <w:t>The Subsidiary Body on Implementation</w:t>
      </w:r>
    </w:p>
    <w:p w14:paraId="3036043F" w14:textId="3403F14A" w:rsidR="008D5B01" w:rsidRDefault="00DC56EF">
      <w:pPr>
        <w:pStyle w:val="CBDDesicionText"/>
        <w:tabs>
          <w:tab w:val="clear" w:pos="1134"/>
        </w:tabs>
        <w:ind w:left="567"/>
        <w:rPr>
          <w:snapToGrid w:val="0"/>
        </w:rPr>
      </w:pPr>
      <w:r w:rsidRPr="00DD0CE4">
        <w:rPr>
          <w:snapToGrid w:val="0"/>
        </w:rPr>
        <w:t>1.</w:t>
      </w:r>
      <w:r w:rsidRPr="00DD0CE4">
        <w:rPr>
          <w:snapToGrid w:val="0"/>
        </w:rPr>
        <w:tab/>
      </w:r>
      <w:r w:rsidR="00B76EDC" w:rsidRPr="00DD0CE4">
        <w:rPr>
          <w:i/>
          <w:snapToGrid w:val="0"/>
        </w:rPr>
        <w:t xml:space="preserve">Takes note </w:t>
      </w:r>
      <w:r w:rsidR="00B76EDC" w:rsidRPr="00DD0CE4">
        <w:rPr>
          <w:snapToGrid w:val="0"/>
        </w:rPr>
        <w:t xml:space="preserve">of the </w:t>
      </w:r>
      <w:r w:rsidR="00E73504" w:rsidRPr="00DD0CE4">
        <w:rPr>
          <w:snapToGrid w:val="0"/>
        </w:rPr>
        <w:t xml:space="preserve">executive summary </w:t>
      </w:r>
      <w:r w:rsidR="001A0B9B" w:rsidRPr="00DD0CE4">
        <w:rPr>
          <w:snapToGrid w:val="0"/>
        </w:rPr>
        <w:t>report</w:t>
      </w:r>
      <w:r w:rsidR="00B76EDC" w:rsidRPr="00DD0CE4">
        <w:rPr>
          <w:snapToGrid w:val="0"/>
        </w:rPr>
        <w:t xml:space="preserve"> of the functional review of the Secretariat</w:t>
      </w:r>
      <w:r w:rsidR="001A0B9B" w:rsidRPr="00DD0CE4">
        <w:rPr>
          <w:snapToGrid w:val="0"/>
        </w:rPr>
        <w:t xml:space="preserve"> prepared by </w:t>
      </w:r>
      <w:r w:rsidR="00AF3F86" w:rsidRPr="00DD0CE4">
        <w:rPr>
          <w:snapToGrid w:val="0"/>
        </w:rPr>
        <w:t xml:space="preserve">an </w:t>
      </w:r>
      <w:r w:rsidR="001A0B9B" w:rsidRPr="00DD0CE4">
        <w:rPr>
          <w:snapToGrid w:val="0"/>
        </w:rPr>
        <w:t xml:space="preserve">external </w:t>
      </w:r>
      <w:r w:rsidR="00860C4E" w:rsidRPr="00DD0CE4">
        <w:rPr>
          <w:snapToGrid w:val="0"/>
        </w:rPr>
        <w:t>consulting team</w:t>
      </w:r>
      <w:r w:rsidR="0086604E" w:rsidRPr="00DD0CE4">
        <w:rPr>
          <w:snapToGrid w:val="0"/>
        </w:rPr>
        <w:t>,</w:t>
      </w:r>
      <w:r w:rsidR="00E73504" w:rsidRPr="00DD0CE4">
        <w:rPr>
          <w:snapToGrid w:val="0"/>
        </w:rPr>
        <w:t xml:space="preserve"> as contained in annex </w:t>
      </w:r>
      <w:r w:rsidR="00440673">
        <w:rPr>
          <w:snapToGrid w:val="0"/>
        </w:rPr>
        <w:t xml:space="preserve">I </w:t>
      </w:r>
      <w:r w:rsidR="00E73504" w:rsidRPr="00DD0CE4">
        <w:rPr>
          <w:snapToGrid w:val="0"/>
        </w:rPr>
        <w:t xml:space="preserve">to document </w:t>
      </w:r>
      <w:hyperlink r:id="rId22" w:history="1">
        <w:r w:rsidR="00E73504" w:rsidRPr="00DA0C94">
          <w:rPr>
            <w:rStyle w:val="Hyperlink"/>
          </w:rPr>
          <w:t>CBD/SBI/6</w:t>
        </w:r>
        <w:r w:rsidR="00CC2DE4" w:rsidRPr="00DA0C94">
          <w:rPr>
            <w:rStyle w:val="Hyperlink"/>
          </w:rPr>
          <w:t>/</w:t>
        </w:r>
        <w:r w:rsidR="00AF3F86" w:rsidRPr="00DA0C94">
          <w:rPr>
            <w:rStyle w:val="Hyperlink"/>
          </w:rPr>
          <w:t>10</w:t>
        </w:r>
      </w:hyperlink>
      <w:r w:rsidR="00CC2DE4" w:rsidRPr="00DA0C94">
        <w:rPr>
          <w:snapToGrid w:val="0"/>
        </w:rPr>
        <w:t>,</w:t>
      </w:r>
      <w:r w:rsidR="00860C4E" w:rsidRPr="00C954B3">
        <w:rPr>
          <w:snapToGrid w:val="0"/>
        </w:rPr>
        <w:t xml:space="preserve"> including the recommendations </w:t>
      </w:r>
      <w:r w:rsidR="00E25C36" w:rsidRPr="00C954B3">
        <w:rPr>
          <w:snapToGrid w:val="0"/>
        </w:rPr>
        <w:t>for</w:t>
      </w:r>
      <w:r w:rsidR="00860C4E" w:rsidRPr="00C954B3">
        <w:rPr>
          <w:snapToGrid w:val="0"/>
        </w:rPr>
        <w:t xml:space="preserve"> short-, medium- and long-term</w:t>
      </w:r>
      <w:r w:rsidR="0086604E" w:rsidRPr="00C954B3">
        <w:rPr>
          <w:snapToGrid w:val="0"/>
        </w:rPr>
        <w:t xml:space="preserve"> </w:t>
      </w:r>
      <w:r w:rsidR="00860C4E" w:rsidRPr="00C954B3">
        <w:rPr>
          <w:snapToGrid w:val="0"/>
        </w:rPr>
        <w:t xml:space="preserve">actions </w:t>
      </w:r>
      <w:r w:rsidR="007B5F8A" w:rsidRPr="00C954B3">
        <w:rPr>
          <w:snapToGrid w:val="0"/>
        </w:rPr>
        <w:t>by the Secretariat</w:t>
      </w:r>
      <w:r w:rsidR="008D5B01">
        <w:rPr>
          <w:snapToGrid w:val="0"/>
        </w:rPr>
        <w:t>;</w:t>
      </w:r>
      <w:r w:rsidR="0028752E" w:rsidRPr="00C954B3">
        <w:rPr>
          <w:snapToGrid w:val="0"/>
        </w:rPr>
        <w:t xml:space="preserve"> </w:t>
      </w:r>
    </w:p>
    <w:p w14:paraId="7B15F174" w14:textId="023B7ACD" w:rsidR="008D5B01" w:rsidRDefault="008D5B01">
      <w:pPr>
        <w:pStyle w:val="CBDDesicionText"/>
        <w:tabs>
          <w:tab w:val="clear" w:pos="1134"/>
        </w:tabs>
        <w:ind w:left="567"/>
        <w:rPr>
          <w:snapToGrid w:val="0"/>
        </w:rPr>
      </w:pPr>
      <w:r>
        <w:rPr>
          <w:iCs/>
          <w:snapToGrid w:val="0"/>
        </w:rPr>
        <w:t>2.</w:t>
      </w:r>
      <w:r>
        <w:rPr>
          <w:iCs/>
          <w:snapToGrid w:val="0"/>
        </w:rPr>
        <w:tab/>
      </w:r>
      <w:r>
        <w:rPr>
          <w:i/>
          <w:iCs/>
          <w:snapToGrid w:val="0"/>
        </w:rPr>
        <w:t>N</w:t>
      </w:r>
      <w:r w:rsidR="00CB27DC" w:rsidRPr="00DA0C94">
        <w:rPr>
          <w:i/>
          <w:iCs/>
          <w:snapToGrid w:val="0"/>
        </w:rPr>
        <w:t>otes</w:t>
      </w:r>
      <w:r w:rsidR="00CB27DC" w:rsidRPr="00C954B3">
        <w:rPr>
          <w:snapToGrid w:val="0"/>
        </w:rPr>
        <w:t xml:space="preserve"> </w:t>
      </w:r>
      <w:r w:rsidR="007045C7" w:rsidRPr="00C954B3">
        <w:rPr>
          <w:snapToGrid w:val="0"/>
        </w:rPr>
        <w:t xml:space="preserve">the </w:t>
      </w:r>
      <w:r w:rsidR="00CB27DC" w:rsidRPr="00C954B3">
        <w:rPr>
          <w:snapToGrid w:val="0"/>
        </w:rPr>
        <w:t>ongoing consultation</w:t>
      </w:r>
      <w:r w:rsidR="007045C7" w:rsidRPr="00C954B3">
        <w:rPr>
          <w:snapToGrid w:val="0"/>
        </w:rPr>
        <w:t>s</w:t>
      </w:r>
      <w:r w:rsidR="00CB27DC" w:rsidRPr="00C954B3">
        <w:rPr>
          <w:snapToGrid w:val="0"/>
        </w:rPr>
        <w:t xml:space="preserve"> </w:t>
      </w:r>
      <w:r w:rsidR="00CB27DC" w:rsidRPr="00DE2CA0">
        <w:rPr>
          <w:snapToGrid w:val="0"/>
        </w:rPr>
        <w:t>on</w:t>
      </w:r>
      <w:r w:rsidR="00CB27DC" w:rsidRPr="00C954B3">
        <w:rPr>
          <w:snapToGrid w:val="0"/>
        </w:rPr>
        <w:t xml:space="preserve"> th</w:t>
      </w:r>
      <w:r w:rsidR="00DE2CA0">
        <w:rPr>
          <w:snapToGrid w:val="0"/>
        </w:rPr>
        <w:t>o</w:t>
      </w:r>
      <w:r w:rsidR="00CB27DC" w:rsidRPr="00C954B3">
        <w:rPr>
          <w:snapToGrid w:val="0"/>
        </w:rPr>
        <w:t>se recommendations</w:t>
      </w:r>
      <w:r w:rsidR="00DE2CA0">
        <w:rPr>
          <w:snapToGrid w:val="0"/>
        </w:rPr>
        <w:t xml:space="preserve"> within </w:t>
      </w:r>
      <w:r w:rsidR="00DE2CA0" w:rsidRPr="00C954B3">
        <w:rPr>
          <w:snapToGrid w:val="0"/>
        </w:rPr>
        <w:t>the Secretariat</w:t>
      </w:r>
      <w:r>
        <w:rPr>
          <w:snapToGrid w:val="0"/>
        </w:rPr>
        <w:t>;</w:t>
      </w:r>
      <w:r w:rsidR="00274172" w:rsidRPr="00C954B3">
        <w:rPr>
          <w:snapToGrid w:val="0"/>
        </w:rPr>
        <w:t xml:space="preserve"> </w:t>
      </w:r>
    </w:p>
    <w:p w14:paraId="58E19658" w14:textId="0167D2BA" w:rsidR="003A2D12" w:rsidRDefault="005368D3">
      <w:pPr>
        <w:pStyle w:val="CBDDesicionText"/>
        <w:tabs>
          <w:tab w:val="clear" w:pos="1134"/>
        </w:tabs>
        <w:ind w:left="567"/>
        <w:rPr>
          <w:snapToGrid w:val="0"/>
        </w:rPr>
      </w:pPr>
      <w:bookmarkStart w:id="1" w:name="_Hlk216714546"/>
      <w:r>
        <w:rPr>
          <w:snapToGrid w:val="0"/>
        </w:rPr>
        <w:t>3</w:t>
      </w:r>
      <w:r w:rsidR="00DC56EF" w:rsidRPr="00DD0CE4">
        <w:rPr>
          <w:snapToGrid w:val="0"/>
        </w:rPr>
        <w:t>.</w:t>
      </w:r>
      <w:r w:rsidR="00DC56EF" w:rsidRPr="00DD0CE4">
        <w:rPr>
          <w:snapToGrid w:val="0"/>
        </w:rPr>
        <w:tab/>
      </w:r>
      <w:r w:rsidR="00EC12D1" w:rsidRPr="00DD0CE4">
        <w:rPr>
          <w:i/>
          <w:iCs/>
          <w:snapToGrid w:val="0"/>
        </w:rPr>
        <w:t>Notes</w:t>
      </w:r>
      <w:r w:rsidR="00EC12D1" w:rsidRPr="00DD0CE4">
        <w:rPr>
          <w:snapToGrid w:val="0"/>
        </w:rPr>
        <w:t xml:space="preserve"> with appreciation the</w:t>
      </w:r>
      <w:r w:rsidR="00C91DDE" w:rsidRPr="00DD0CE4">
        <w:rPr>
          <w:snapToGrid w:val="0"/>
        </w:rPr>
        <w:t xml:space="preserve"> follow-up </w:t>
      </w:r>
      <w:r w:rsidR="00924D5E" w:rsidRPr="00DD0CE4">
        <w:rPr>
          <w:snapToGrid w:val="0"/>
        </w:rPr>
        <w:t>activities</w:t>
      </w:r>
      <w:r w:rsidR="00C91DDE" w:rsidRPr="00DD0CE4">
        <w:rPr>
          <w:snapToGrid w:val="0"/>
        </w:rPr>
        <w:t xml:space="preserve"> </w:t>
      </w:r>
      <w:r w:rsidR="000B0BAB" w:rsidRPr="00DD0CE4">
        <w:rPr>
          <w:snapToGrid w:val="0"/>
        </w:rPr>
        <w:t>being undertaken</w:t>
      </w:r>
      <w:r w:rsidR="00534852" w:rsidRPr="00DD0CE4">
        <w:rPr>
          <w:snapToGrid w:val="0"/>
        </w:rPr>
        <w:t xml:space="preserve"> or to be undertaken</w:t>
      </w:r>
      <w:r w:rsidR="00EC12D1" w:rsidRPr="00DD0CE4">
        <w:rPr>
          <w:snapToGrid w:val="0"/>
        </w:rPr>
        <w:t xml:space="preserve"> by the Executive Secretary</w:t>
      </w:r>
      <w:r w:rsidR="00344004" w:rsidRPr="00DD0CE4">
        <w:rPr>
          <w:snapToGrid w:val="0"/>
        </w:rPr>
        <w:t xml:space="preserve">, as </w:t>
      </w:r>
      <w:r w:rsidR="00344004" w:rsidRPr="00DA0C94">
        <w:t xml:space="preserve">proposed </w:t>
      </w:r>
      <w:r w:rsidR="000951EF">
        <w:t>in</w:t>
      </w:r>
      <w:r w:rsidR="00344004" w:rsidRPr="00DA0C94">
        <w:t xml:space="preserve"> the recommendations of the functional review</w:t>
      </w:r>
      <w:r w:rsidR="003A2D12">
        <w:t xml:space="preserve">, </w:t>
      </w:r>
      <w:r w:rsidR="00B91459">
        <w:t>namely</w:t>
      </w:r>
      <w:r w:rsidR="00CB385F" w:rsidRPr="00DD0CE4">
        <w:rPr>
          <w:snapToGrid w:val="0"/>
        </w:rPr>
        <w:t>:</w:t>
      </w:r>
      <w:r w:rsidR="00EC12D1" w:rsidRPr="00DD0CE4">
        <w:rPr>
          <w:snapToGrid w:val="0"/>
        </w:rPr>
        <w:t xml:space="preserve"> </w:t>
      </w:r>
    </w:p>
    <w:p w14:paraId="429AEB68" w14:textId="5142BB47" w:rsidR="003A2D12" w:rsidRDefault="00527576">
      <w:pPr>
        <w:pStyle w:val="CBDDesicionText"/>
        <w:tabs>
          <w:tab w:val="clear" w:pos="1134"/>
        </w:tabs>
        <w:ind w:left="567"/>
        <w:rPr>
          <w:snapToGrid w:val="0"/>
        </w:rPr>
      </w:pPr>
      <w:r w:rsidRPr="00DD0CE4">
        <w:rPr>
          <w:snapToGrid w:val="0"/>
        </w:rPr>
        <w:t>(</w:t>
      </w:r>
      <w:r w:rsidR="000477DF" w:rsidRPr="00DD0CE4">
        <w:rPr>
          <w:snapToGrid w:val="0"/>
        </w:rPr>
        <w:t>a</w:t>
      </w:r>
      <w:r w:rsidRPr="00DD0CE4">
        <w:rPr>
          <w:snapToGrid w:val="0"/>
        </w:rPr>
        <w:t>)</w:t>
      </w:r>
      <w:r w:rsidR="003A2D12">
        <w:rPr>
          <w:snapToGrid w:val="0"/>
        </w:rPr>
        <w:tab/>
      </w:r>
      <w:r w:rsidR="006B2FF4">
        <w:rPr>
          <w:snapToGrid w:val="0"/>
        </w:rPr>
        <w:t>I</w:t>
      </w:r>
      <w:r w:rsidR="00350B27" w:rsidRPr="00DD0CE4">
        <w:rPr>
          <w:snapToGrid w:val="0"/>
        </w:rPr>
        <w:t>nitiat</w:t>
      </w:r>
      <w:r w:rsidR="006B2FF4">
        <w:rPr>
          <w:snapToGrid w:val="0"/>
        </w:rPr>
        <w:t>ing</w:t>
      </w:r>
      <w:r w:rsidR="00350B27" w:rsidRPr="00DD0CE4">
        <w:rPr>
          <w:snapToGrid w:val="0"/>
        </w:rPr>
        <w:t xml:space="preserve"> the </w:t>
      </w:r>
      <w:r w:rsidR="00E25C36" w:rsidRPr="00DD0CE4">
        <w:rPr>
          <w:snapToGrid w:val="0"/>
        </w:rPr>
        <w:t>implement</w:t>
      </w:r>
      <w:r w:rsidR="00350B27" w:rsidRPr="00DD0CE4">
        <w:rPr>
          <w:snapToGrid w:val="0"/>
        </w:rPr>
        <w:t>ation of</w:t>
      </w:r>
      <w:r w:rsidR="00E25C36" w:rsidRPr="00DD0CE4">
        <w:rPr>
          <w:snapToGrid w:val="0"/>
        </w:rPr>
        <w:t xml:space="preserve"> </w:t>
      </w:r>
      <w:r w:rsidR="009F5F72" w:rsidRPr="00DD0CE4">
        <w:rPr>
          <w:snapToGrid w:val="0"/>
        </w:rPr>
        <w:t xml:space="preserve">short- and medium-term </w:t>
      </w:r>
      <w:r w:rsidR="00BB0165" w:rsidRPr="00DD0CE4">
        <w:rPr>
          <w:snapToGrid w:val="0"/>
        </w:rPr>
        <w:t>actions</w:t>
      </w:r>
      <w:r w:rsidR="00D74665" w:rsidRPr="00DD0CE4">
        <w:rPr>
          <w:snapToGrid w:val="0"/>
        </w:rPr>
        <w:t>, including an updated organizational structure</w:t>
      </w:r>
      <w:r w:rsidR="007954E8" w:rsidRPr="00DD0CE4">
        <w:rPr>
          <w:snapToGrid w:val="0"/>
        </w:rPr>
        <w:t xml:space="preserve">; </w:t>
      </w:r>
    </w:p>
    <w:p w14:paraId="519122EA" w14:textId="57FB1EF3" w:rsidR="00FC7E77" w:rsidRDefault="007954E8">
      <w:pPr>
        <w:pStyle w:val="CBDDesicionText"/>
        <w:tabs>
          <w:tab w:val="clear" w:pos="1134"/>
        </w:tabs>
        <w:ind w:left="567"/>
      </w:pPr>
      <w:r w:rsidRPr="00DD0CE4">
        <w:rPr>
          <w:snapToGrid w:val="0"/>
        </w:rPr>
        <w:t>(</w:t>
      </w:r>
      <w:r w:rsidR="00087BE0" w:rsidRPr="00DD0CE4">
        <w:rPr>
          <w:snapToGrid w:val="0"/>
        </w:rPr>
        <w:t>b</w:t>
      </w:r>
      <w:r w:rsidRPr="00DD0CE4">
        <w:rPr>
          <w:snapToGrid w:val="0"/>
        </w:rPr>
        <w:t>)</w:t>
      </w:r>
      <w:r w:rsidR="003A2D12">
        <w:rPr>
          <w:snapToGrid w:val="0"/>
        </w:rPr>
        <w:tab/>
      </w:r>
      <w:r w:rsidR="006B2FF4">
        <w:rPr>
          <w:snapToGrid w:val="0"/>
        </w:rPr>
        <w:t>U</w:t>
      </w:r>
      <w:r w:rsidR="00D22B0D" w:rsidRPr="00DD0CE4">
        <w:rPr>
          <w:snapToGrid w:val="0"/>
        </w:rPr>
        <w:t>ndertak</w:t>
      </w:r>
      <w:r w:rsidR="006B2FF4">
        <w:rPr>
          <w:snapToGrid w:val="0"/>
        </w:rPr>
        <w:t>ing</w:t>
      </w:r>
      <w:r w:rsidR="00814F09" w:rsidRPr="00DD0CE4">
        <w:rPr>
          <w:snapToGrid w:val="0"/>
        </w:rPr>
        <w:t xml:space="preserve"> </w:t>
      </w:r>
      <w:r w:rsidR="003A2D12">
        <w:rPr>
          <w:snapToGrid w:val="0"/>
        </w:rPr>
        <w:t xml:space="preserve">the </w:t>
      </w:r>
      <w:r w:rsidR="006E671B" w:rsidRPr="00DA0C94">
        <w:t>updating or develop</w:t>
      </w:r>
      <w:r w:rsidR="003A2D12">
        <w:t>ment of</w:t>
      </w:r>
      <w:r w:rsidR="006E671B" w:rsidRPr="00DA0C94">
        <w:t xml:space="preserve"> job descriptions</w:t>
      </w:r>
      <w:r w:rsidR="003A62BE" w:rsidRPr="00DA0C94">
        <w:t xml:space="preserve">, including </w:t>
      </w:r>
      <w:r w:rsidR="003A2D12">
        <w:t>classificat</w:t>
      </w:r>
      <w:r w:rsidR="00FC7E77">
        <w:t>i</w:t>
      </w:r>
      <w:r w:rsidR="003A2D12">
        <w:t>on,</w:t>
      </w:r>
      <w:r w:rsidR="006E671B" w:rsidRPr="00DA0C94">
        <w:t xml:space="preserve"> </w:t>
      </w:r>
      <w:r w:rsidR="00C744C3" w:rsidRPr="00DA0C94">
        <w:t xml:space="preserve">of existing </w:t>
      </w:r>
      <w:r w:rsidR="002A2132" w:rsidRPr="00DA0C94">
        <w:t>and</w:t>
      </w:r>
      <w:r w:rsidR="003A62BE" w:rsidRPr="00DA0C94">
        <w:t xml:space="preserve"> additional posts, </w:t>
      </w:r>
      <w:r w:rsidR="003A2D12">
        <w:t xml:space="preserve">respectively, </w:t>
      </w:r>
      <w:r w:rsidR="006E671B" w:rsidRPr="00DA0C94">
        <w:t xml:space="preserve">required to implement </w:t>
      </w:r>
      <w:r w:rsidR="00E9483A">
        <w:t>a</w:t>
      </w:r>
      <w:r w:rsidR="00E9483A" w:rsidRPr="00DA0C94">
        <w:t xml:space="preserve"> </w:t>
      </w:r>
      <w:r w:rsidR="006E671B" w:rsidRPr="00DA0C94">
        <w:t>structural and strategic alignment</w:t>
      </w:r>
      <w:r w:rsidR="00B91459" w:rsidRPr="00B91459">
        <w:t xml:space="preserve"> </w:t>
      </w:r>
      <w:r w:rsidR="00B91459" w:rsidRPr="00C725CE">
        <w:t xml:space="preserve">with </w:t>
      </w:r>
      <w:r w:rsidR="00B91459">
        <w:t>the</w:t>
      </w:r>
      <w:r w:rsidR="00B91459" w:rsidRPr="00C725CE">
        <w:t xml:space="preserve"> core functions and strategic priorities </w:t>
      </w:r>
      <w:r w:rsidR="00B91459">
        <w:t>of the Secretariat</w:t>
      </w:r>
      <w:r w:rsidR="00A42AE8" w:rsidRPr="00DA0C94">
        <w:t xml:space="preserve">; </w:t>
      </w:r>
    </w:p>
    <w:p w14:paraId="7407D4CD" w14:textId="68E5B82E" w:rsidR="00AF22FE" w:rsidRDefault="00A42AE8">
      <w:pPr>
        <w:pStyle w:val="CBDDesicionText"/>
        <w:tabs>
          <w:tab w:val="clear" w:pos="1134"/>
        </w:tabs>
        <w:ind w:left="567"/>
      </w:pPr>
      <w:r w:rsidRPr="00DA0C94">
        <w:lastRenderedPageBreak/>
        <w:t>(</w:t>
      </w:r>
      <w:r w:rsidR="00700F41" w:rsidRPr="00DA0C94">
        <w:t>c</w:t>
      </w:r>
      <w:r w:rsidRPr="00DA0C94">
        <w:t>)</w:t>
      </w:r>
      <w:r w:rsidR="00FC7E77">
        <w:tab/>
      </w:r>
      <w:r w:rsidR="006B2FF4" w:rsidRPr="00291AFB">
        <w:t>U</w:t>
      </w:r>
      <w:r w:rsidR="00D74665" w:rsidRPr="00DA0C94">
        <w:t>ndertak</w:t>
      </w:r>
      <w:r w:rsidR="00164F60" w:rsidRPr="00291AFB">
        <w:t>ing</w:t>
      </w:r>
      <w:r w:rsidRPr="00DA0C94">
        <w:t xml:space="preserve">, </w:t>
      </w:r>
      <w:proofErr w:type="gramStart"/>
      <w:r w:rsidRPr="00DA0C94">
        <w:t>on the basis of</w:t>
      </w:r>
      <w:proofErr w:type="gramEnd"/>
      <w:r w:rsidRPr="00DA0C94">
        <w:t xml:space="preserve"> the updated functions and job descriptions, an analysis of the associated staffing and cost implications of the long-term structural and strategic alignment</w:t>
      </w:r>
      <w:r w:rsidR="00AF22FE">
        <w:t>;</w:t>
      </w:r>
      <w:r w:rsidR="001151F3" w:rsidRPr="00DA0C94">
        <w:t xml:space="preserve"> </w:t>
      </w:r>
    </w:p>
    <w:p w14:paraId="46487156" w14:textId="67EBAAEB" w:rsidR="006E671B" w:rsidRPr="00DD0CE4" w:rsidRDefault="005368D3" w:rsidP="00DA0C94">
      <w:pPr>
        <w:pStyle w:val="CBDDesicionText"/>
        <w:tabs>
          <w:tab w:val="clear" w:pos="1134"/>
        </w:tabs>
        <w:ind w:left="567"/>
        <w:rPr>
          <w:snapToGrid w:val="0"/>
        </w:rPr>
      </w:pPr>
      <w:r>
        <w:t>4</w:t>
      </w:r>
      <w:r w:rsidR="00AF22FE">
        <w:t>.</w:t>
      </w:r>
      <w:r w:rsidR="00AF22FE">
        <w:tab/>
      </w:r>
      <w:r w:rsidR="00AF22FE" w:rsidRPr="00DA0C94">
        <w:rPr>
          <w:i/>
          <w:iCs/>
        </w:rPr>
        <w:t>R</w:t>
      </w:r>
      <w:r w:rsidR="00A03818" w:rsidRPr="00DA0C94">
        <w:rPr>
          <w:i/>
          <w:iCs/>
        </w:rPr>
        <w:t>equests</w:t>
      </w:r>
      <w:r w:rsidR="00A03818" w:rsidRPr="00DA0C94">
        <w:t xml:space="preserve"> the Executive Secretary</w:t>
      </w:r>
      <w:r w:rsidR="001151F3" w:rsidRPr="00DA0C94">
        <w:t xml:space="preserve"> </w:t>
      </w:r>
      <w:r>
        <w:t xml:space="preserve">to transmit </w:t>
      </w:r>
      <w:r w:rsidRPr="00C954B3">
        <w:rPr>
          <w:snapToGrid w:val="0"/>
        </w:rPr>
        <w:t>the executive summary report of the external in-depth func</w:t>
      </w:r>
      <w:r w:rsidRPr="00DD0CE4">
        <w:rPr>
          <w:snapToGrid w:val="0"/>
        </w:rPr>
        <w:t>tional review of the Secretariat to the Conference of the Parties</w:t>
      </w:r>
      <w:r>
        <w:rPr>
          <w:snapToGrid w:val="0"/>
        </w:rPr>
        <w:t xml:space="preserve"> </w:t>
      </w:r>
      <w:r w:rsidR="007B7367" w:rsidRPr="00A85B01">
        <w:t>at its seventeenth meeting</w:t>
      </w:r>
      <w:r w:rsidR="007B7367">
        <w:rPr>
          <w:snapToGrid w:val="0"/>
        </w:rPr>
        <w:t xml:space="preserve"> </w:t>
      </w:r>
      <w:r>
        <w:rPr>
          <w:snapToGrid w:val="0"/>
        </w:rPr>
        <w:t xml:space="preserve">and </w:t>
      </w:r>
      <w:r w:rsidR="001151F3" w:rsidRPr="00DA0C94">
        <w:t xml:space="preserve">to </w:t>
      </w:r>
      <w:r w:rsidR="00924D5E" w:rsidRPr="00DA0C94">
        <w:t xml:space="preserve">submit a progress </w:t>
      </w:r>
      <w:r w:rsidR="004A4196" w:rsidRPr="00DA0C94">
        <w:t xml:space="preserve">report </w:t>
      </w:r>
      <w:r w:rsidR="00924D5E" w:rsidRPr="00DA0C94">
        <w:t xml:space="preserve">on the </w:t>
      </w:r>
      <w:r w:rsidR="00BF3A9B" w:rsidRPr="00DA0C94">
        <w:t>activit</w:t>
      </w:r>
      <w:r w:rsidR="00BC4495" w:rsidRPr="00DA0C94">
        <w:t xml:space="preserve">ies </w:t>
      </w:r>
      <w:r w:rsidR="00340BCD">
        <w:t xml:space="preserve">listed above, </w:t>
      </w:r>
      <w:r w:rsidR="00DF5B3A" w:rsidRPr="00DA0C94">
        <w:t>together with proposal</w:t>
      </w:r>
      <w:r w:rsidR="00156252" w:rsidRPr="00DA0C94">
        <w:t xml:space="preserve">s for adjustments in </w:t>
      </w:r>
      <w:r w:rsidR="00340BCD">
        <w:t>post classification</w:t>
      </w:r>
      <w:r w:rsidR="00904BBB" w:rsidRPr="00DA0C94">
        <w:t>,</w:t>
      </w:r>
      <w:r w:rsidR="001E6E51" w:rsidRPr="00DA0C94">
        <w:t xml:space="preserve"> </w:t>
      </w:r>
      <w:r w:rsidR="00FF5BA1" w:rsidRPr="00DA0C94">
        <w:t>as well as additional posts</w:t>
      </w:r>
      <w:r w:rsidR="009F4D39" w:rsidRPr="00DA0C94">
        <w:t xml:space="preserve">, as </w:t>
      </w:r>
      <w:r w:rsidR="00340BCD">
        <w:t>relevant</w:t>
      </w:r>
      <w:r w:rsidR="009F4D39" w:rsidRPr="00DA0C94">
        <w:t xml:space="preserve">, </w:t>
      </w:r>
      <w:r w:rsidR="00BC4495" w:rsidRPr="00DA0C94">
        <w:t xml:space="preserve">to the Conference of the Parties </w:t>
      </w:r>
      <w:r w:rsidR="00904BBB" w:rsidRPr="00DA0C94">
        <w:t xml:space="preserve">for consideration </w:t>
      </w:r>
      <w:r w:rsidR="00BC4495" w:rsidRPr="00DA0C94">
        <w:t>at its seventeenth meeting</w:t>
      </w:r>
      <w:r w:rsidR="00904BBB" w:rsidRPr="00DA0C94">
        <w:t>.</w:t>
      </w:r>
    </w:p>
    <w:bookmarkEnd w:id="1"/>
    <w:p w14:paraId="4D668084" w14:textId="3119E65D" w:rsidR="00F24EBD" w:rsidRPr="00DD0CE4" w:rsidRDefault="005368D3" w:rsidP="00C954B3">
      <w:pPr>
        <w:pStyle w:val="CBDDesicionText"/>
        <w:tabs>
          <w:tab w:val="clear" w:pos="1134"/>
        </w:tabs>
        <w:ind w:left="567"/>
      </w:pPr>
      <w:r>
        <w:t>5</w:t>
      </w:r>
      <w:r w:rsidR="00904BBB" w:rsidRPr="00DA0C94">
        <w:t>.</w:t>
      </w:r>
      <w:r w:rsidR="00904BBB" w:rsidRPr="00DD0CE4">
        <w:rPr>
          <w:i/>
          <w:iCs/>
        </w:rPr>
        <w:tab/>
      </w:r>
      <w:r w:rsidR="00004A1C" w:rsidRPr="00DD0CE4">
        <w:rPr>
          <w:i/>
          <w:iCs/>
        </w:rPr>
        <w:t>Recommends</w:t>
      </w:r>
      <w:r w:rsidR="00004A1C" w:rsidRPr="00DD0CE4">
        <w:t xml:space="preserve"> that</w:t>
      </w:r>
      <w:r w:rsidR="00805EBB">
        <w:t>,</w:t>
      </w:r>
      <w:r w:rsidR="00004A1C" w:rsidRPr="00DD0CE4">
        <w:t xml:space="preserve"> </w:t>
      </w:r>
      <w:r w:rsidR="00805EBB" w:rsidRPr="00DD0CE4">
        <w:t xml:space="preserve">at its seventeenth meeting, </w:t>
      </w:r>
      <w:r w:rsidR="00004A1C" w:rsidRPr="00DD0CE4">
        <w:t xml:space="preserve">the Conference of the Parties adopt </w:t>
      </w:r>
      <w:r w:rsidR="003F421A" w:rsidRPr="00DD0CE4">
        <w:t>a</w:t>
      </w:r>
      <w:r w:rsidR="00004A1C" w:rsidRPr="00DD0CE4">
        <w:t xml:space="preserve"> decision along the following lines:</w:t>
      </w:r>
    </w:p>
    <w:p w14:paraId="7376A1CE" w14:textId="49A7551D" w:rsidR="00033FB5" w:rsidRPr="00DD0CE4" w:rsidRDefault="00004A1C" w:rsidP="000E686F">
      <w:pPr>
        <w:pStyle w:val="CBDDesicionText"/>
        <w:rPr>
          <w:snapToGrid w:val="0"/>
        </w:rPr>
      </w:pPr>
      <w:r w:rsidRPr="00DA0C94">
        <w:rPr>
          <w:i/>
          <w:iCs/>
        </w:rPr>
        <w:t>The Conference of the Parties</w:t>
      </w:r>
    </w:p>
    <w:p w14:paraId="66F63944" w14:textId="10FFB257" w:rsidR="00E8441C" w:rsidRPr="00DA0C94" w:rsidRDefault="00DC56EF" w:rsidP="000E686F">
      <w:pPr>
        <w:pStyle w:val="CBDDesicionText"/>
        <w:rPr>
          <w:rFonts w:eastAsia="Malgun Gothic"/>
          <w:iCs/>
          <w:color w:val="000000"/>
          <w:kern w:val="18"/>
          <w:lang w:eastAsia="x-none"/>
        </w:rPr>
      </w:pPr>
      <w:r w:rsidRPr="00DD0CE4">
        <w:t>1.</w:t>
      </w:r>
      <w:r w:rsidRPr="00DD0CE4">
        <w:tab/>
      </w:r>
      <w:r w:rsidR="00A15490" w:rsidRPr="00DD0CE4">
        <w:rPr>
          <w:i/>
          <w:iCs/>
          <w:snapToGrid w:val="0"/>
        </w:rPr>
        <w:t xml:space="preserve">Take notes </w:t>
      </w:r>
      <w:r w:rsidR="00A15490" w:rsidRPr="00DA0C94">
        <w:rPr>
          <w:snapToGrid w:val="0"/>
        </w:rPr>
        <w:t>of</w:t>
      </w:r>
      <w:r w:rsidR="00E95425" w:rsidRPr="006247AC">
        <w:rPr>
          <w:snapToGrid w:val="0"/>
        </w:rPr>
        <w:t xml:space="preserve"> </w:t>
      </w:r>
      <w:r w:rsidR="00E95425" w:rsidRPr="00DD0CE4">
        <w:rPr>
          <w:snapToGrid w:val="0"/>
        </w:rPr>
        <w:t xml:space="preserve">the </w:t>
      </w:r>
      <w:r w:rsidR="00526268" w:rsidRPr="00DD0CE4">
        <w:rPr>
          <w:snapToGrid w:val="0"/>
        </w:rPr>
        <w:t xml:space="preserve">executive summary </w:t>
      </w:r>
      <w:r w:rsidR="00DF0BD2">
        <w:rPr>
          <w:snapToGrid w:val="0"/>
        </w:rPr>
        <w:t xml:space="preserve">of the </w:t>
      </w:r>
      <w:r w:rsidR="00526268" w:rsidRPr="00DD0CE4">
        <w:rPr>
          <w:snapToGrid w:val="0"/>
        </w:rPr>
        <w:t>report o</w:t>
      </w:r>
      <w:r w:rsidR="00DF0BD2">
        <w:rPr>
          <w:snapToGrid w:val="0"/>
        </w:rPr>
        <w:t>n</w:t>
      </w:r>
      <w:r w:rsidR="00526268" w:rsidRPr="00DD0CE4">
        <w:rPr>
          <w:snapToGrid w:val="0"/>
        </w:rPr>
        <w:t xml:space="preserve"> the </w:t>
      </w:r>
      <w:r w:rsidR="00F94022" w:rsidRPr="00DD0CE4">
        <w:rPr>
          <w:snapToGrid w:val="0"/>
        </w:rPr>
        <w:t xml:space="preserve">external in-depth </w:t>
      </w:r>
      <w:r w:rsidR="00526268" w:rsidRPr="00DD0CE4">
        <w:rPr>
          <w:snapToGrid w:val="0"/>
        </w:rPr>
        <w:t>functional review of the Secretariat</w:t>
      </w:r>
      <w:r w:rsidR="00C072FB">
        <w:rPr>
          <w:snapToGrid w:val="0"/>
        </w:rPr>
        <w:t xml:space="preserve"> of the Convention on Biological Diversity</w:t>
      </w:r>
      <w:r w:rsidR="00DF0BD2">
        <w:rPr>
          <w:snapToGrid w:val="0"/>
        </w:rPr>
        <w:t>,</w:t>
      </w:r>
      <w:r w:rsidR="00812C00">
        <w:rPr>
          <w:rStyle w:val="FootnoteReference"/>
          <w:snapToGrid w:val="0"/>
        </w:rPr>
        <w:footnoteReference w:id="6"/>
      </w:r>
      <w:r w:rsidR="00526268" w:rsidRPr="00DD0CE4">
        <w:rPr>
          <w:snapToGrid w:val="0"/>
        </w:rPr>
        <w:t xml:space="preserve"> </w:t>
      </w:r>
      <w:r w:rsidR="006A11B0" w:rsidRPr="00DD0CE4">
        <w:rPr>
          <w:snapToGrid w:val="0"/>
        </w:rPr>
        <w:t xml:space="preserve">as contained </w:t>
      </w:r>
      <w:r w:rsidR="006A11B0" w:rsidRPr="003808F6">
        <w:rPr>
          <w:snapToGrid w:val="0"/>
        </w:rPr>
        <w:t xml:space="preserve">in annex </w:t>
      </w:r>
      <w:r w:rsidR="008916D3" w:rsidRPr="003808F6">
        <w:rPr>
          <w:snapToGrid w:val="0"/>
        </w:rPr>
        <w:t xml:space="preserve">I </w:t>
      </w:r>
      <w:r w:rsidR="006A11B0" w:rsidRPr="003808F6">
        <w:rPr>
          <w:snapToGrid w:val="0"/>
        </w:rPr>
        <w:t>to</w:t>
      </w:r>
      <w:r w:rsidR="006A11B0" w:rsidRPr="00DD0CE4">
        <w:rPr>
          <w:snapToGrid w:val="0"/>
        </w:rPr>
        <w:t xml:space="preserve"> </w:t>
      </w:r>
      <w:r w:rsidR="0085798D">
        <w:rPr>
          <w:snapToGrid w:val="0"/>
        </w:rPr>
        <w:t>document CBD/SBI</w:t>
      </w:r>
      <w:r w:rsidR="008916D3">
        <w:rPr>
          <w:snapToGrid w:val="0"/>
        </w:rPr>
        <w:t>/6/10</w:t>
      </w:r>
      <w:r w:rsidR="00081CE4">
        <w:rPr>
          <w:snapToGrid w:val="0"/>
        </w:rPr>
        <w:t>;</w:t>
      </w:r>
    </w:p>
    <w:p w14:paraId="7BF627A7" w14:textId="4B2C94AA" w:rsidR="003C0D85" w:rsidRPr="00DA0C94" w:rsidRDefault="005706E0" w:rsidP="00DA0C94">
      <w:pPr>
        <w:pStyle w:val="CBDDesicionText"/>
        <w:rPr>
          <w:snapToGrid w:val="0"/>
          <w:kern w:val="22"/>
        </w:rPr>
      </w:pPr>
      <w:r w:rsidRPr="00DA0C94">
        <w:rPr>
          <w:iCs/>
        </w:rPr>
        <w:t>2.</w:t>
      </w:r>
      <w:r w:rsidR="00214FBE">
        <w:rPr>
          <w:iCs/>
        </w:rPr>
        <w:tab/>
      </w:r>
      <w:r w:rsidR="00214FBE">
        <w:rPr>
          <w:i/>
        </w:rPr>
        <w:t>N</w:t>
      </w:r>
      <w:r w:rsidR="002C5578" w:rsidRPr="00DD0CE4">
        <w:rPr>
          <w:i/>
        </w:rPr>
        <w:t>ote</w:t>
      </w:r>
      <w:r w:rsidR="00214FBE">
        <w:rPr>
          <w:i/>
        </w:rPr>
        <w:t>s</w:t>
      </w:r>
      <w:r w:rsidR="002C5578" w:rsidRPr="00DD0CE4">
        <w:t xml:space="preserve"> the outcome of the functional review</w:t>
      </w:r>
      <w:r w:rsidR="002C5578" w:rsidRPr="00DA0C94">
        <w:t>, and</w:t>
      </w:r>
      <w:r w:rsidR="002C5578" w:rsidRPr="00DD0CE4">
        <w:t xml:space="preserve"> </w:t>
      </w:r>
      <w:r w:rsidR="002C5578" w:rsidRPr="00DA0C94">
        <w:rPr>
          <w:iCs/>
        </w:rPr>
        <w:t>welcomes</w:t>
      </w:r>
      <w:r w:rsidR="002C5578" w:rsidRPr="00DD0CE4">
        <w:t xml:space="preserve"> the </w:t>
      </w:r>
      <w:r w:rsidR="00F53C9D" w:rsidRPr="00DD0CE4">
        <w:t>updated</w:t>
      </w:r>
      <w:r w:rsidR="002C5578" w:rsidRPr="00DD0CE4">
        <w:t xml:space="preserve"> structure of the Secretariat, which should lead to </w:t>
      </w:r>
      <w:r w:rsidR="00214FBE">
        <w:t>enhanced</w:t>
      </w:r>
      <w:r w:rsidR="00214FBE" w:rsidRPr="00DD0CE4">
        <w:t xml:space="preserve"> </w:t>
      </w:r>
      <w:r w:rsidR="002C5578" w:rsidRPr="00DD0CE4">
        <w:t>synergies and efficiencies</w:t>
      </w:r>
      <w:r w:rsidR="00DF357C">
        <w:t xml:space="preserve"> within the Secretariat</w:t>
      </w:r>
      <w:r w:rsidR="002C5578" w:rsidRPr="00DD0CE4">
        <w:t>;</w:t>
      </w:r>
    </w:p>
    <w:p w14:paraId="4688DA65" w14:textId="45406FA8" w:rsidR="009210D8" w:rsidRDefault="00DC56EF">
      <w:pPr>
        <w:pStyle w:val="CBDDesicionText"/>
      </w:pPr>
      <w:r w:rsidRPr="00DD0CE4">
        <w:rPr>
          <w:snapToGrid w:val="0"/>
        </w:rPr>
        <w:t>3.</w:t>
      </w:r>
      <w:r w:rsidRPr="00DD0CE4">
        <w:rPr>
          <w:snapToGrid w:val="0"/>
        </w:rPr>
        <w:tab/>
      </w:r>
      <w:r w:rsidR="003C0D85" w:rsidRPr="00DD0CE4">
        <w:rPr>
          <w:i/>
          <w:iCs/>
          <w:snapToGrid w:val="0"/>
        </w:rPr>
        <w:t>Notes</w:t>
      </w:r>
      <w:r w:rsidR="003C0D85" w:rsidRPr="00DD0CE4">
        <w:rPr>
          <w:snapToGrid w:val="0"/>
        </w:rPr>
        <w:t xml:space="preserve"> </w:t>
      </w:r>
      <w:r w:rsidR="003C0D85" w:rsidRPr="00DD0CE4">
        <w:rPr>
          <w:i/>
          <w:iCs/>
          <w:snapToGrid w:val="0"/>
        </w:rPr>
        <w:t>with appreciation</w:t>
      </w:r>
      <w:r w:rsidR="003C0D85" w:rsidRPr="00DD0CE4">
        <w:rPr>
          <w:snapToGrid w:val="0"/>
        </w:rPr>
        <w:t xml:space="preserve"> </w:t>
      </w:r>
      <w:r w:rsidR="009E5725" w:rsidRPr="00DD0CE4">
        <w:rPr>
          <w:snapToGrid w:val="0"/>
        </w:rPr>
        <w:t xml:space="preserve">the </w:t>
      </w:r>
      <w:r w:rsidR="00B05F71" w:rsidRPr="00DD0CE4">
        <w:rPr>
          <w:snapToGrid w:val="0"/>
        </w:rPr>
        <w:t>follow-up actions undertaken by the Executive Secretary,</w:t>
      </w:r>
      <w:r w:rsidR="000405C5">
        <w:rPr>
          <w:rStyle w:val="FootnoteReference"/>
        </w:rPr>
        <w:footnoteReference w:id="7"/>
      </w:r>
      <w:r w:rsidR="0067281E" w:rsidRPr="00DA0C94">
        <w:t xml:space="preserve"> </w:t>
      </w:r>
      <w:r w:rsidR="00E3020B">
        <w:t>namely</w:t>
      </w:r>
      <w:r w:rsidR="009210D8">
        <w:t>:</w:t>
      </w:r>
    </w:p>
    <w:p w14:paraId="6033811E" w14:textId="7B8C4DAB" w:rsidR="009210D8" w:rsidRDefault="00823919">
      <w:pPr>
        <w:pStyle w:val="CBDDesicionText"/>
      </w:pPr>
      <w:r w:rsidRPr="00291AFB">
        <w:rPr>
          <w:snapToGrid w:val="0"/>
        </w:rPr>
        <w:t>(</w:t>
      </w:r>
      <w:r w:rsidR="002F744E" w:rsidRPr="00291AFB">
        <w:rPr>
          <w:snapToGrid w:val="0"/>
        </w:rPr>
        <w:t>a</w:t>
      </w:r>
      <w:r w:rsidRPr="00291AFB">
        <w:rPr>
          <w:snapToGrid w:val="0"/>
        </w:rPr>
        <w:t>)</w:t>
      </w:r>
      <w:r w:rsidR="009210D8" w:rsidRPr="00291AFB">
        <w:rPr>
          <w:snapToGrid w:val="0"/>
        </w:rPr>
        <w:tab/>
      </w:r>
      <w:r w:rsidR="00291AFB" w:rsidRPr="00DA0C94">
        <w:rPr>
          <w:snapToGrid w:val="0"/>
        </w:rPr>
        <w:t>T</w:t>
      </w:r>
      <w:r w:rsidR="003C0D85" w:rsidRPr="00291AFB">
        <w:rPr>
          <w:snapToGrid w:val="0"/>
        </w:rPr>
        <w:t>he</w:t>
      </w:r>
      <w:r w:rsidR="00B05F71" w:rsidRPr="00291AFB">
        <w:rPr>
          <w:snapToGrid w:val="0"/>
        </w:rPr>
        <w:t xml:space="preserve"> initiation of</w:t>
      </w:r>
      <w:r w:rsidR="003C0D85" w:rsidRPr="00291AFB">
        <w:rPr>
          <w:snapToGrid w:val="0"/>
        </w:rPr>
        <w:t xml:space="preserve"> </w:t>
      </w:r>
      <w:r w:rsidR="00291AFB" w:rsidRPr="00DA0C94">
        <w:rPr>
          <w:snapToGrid w:val="0"/>
        </w:rPr>
        <w:t xml:space="preserve">the </w:t>
      </w:r>
      <w:r w:rsidR="00177AFC" w:rsidRPr="00291AFB">
        <w:rPr>
          <w:snapToGrid w:val="0"/>
        </w:rPr>
        <w:t>implement</w:t>
      </w:r>
      <w:r w:rsidR="00B868B0" w:rsidRPr="00DA0C94">
        <w:rPr>
          <w:snapToGrid w:val="0"/>
        </w:rPr>
        <w:t>ation</w:t>
      </w:r>
      <w:r w:rsidR="00291AFB" w:rsidRPr="00DA0C94">
        <w:rPr>
          <w:snapToGrid w:val="0"/>
        </w:rPr>
        <w:t xml:space="preserve"> </w:t>
      </w:r>
      <w:r w:rsidR="00B868B0" w:rsidRPr="00291AFB">
        <w:rPr>
          <w:snapToGrid w:val="0"/>
        </w:rPr>
        <w:t xml:space="preserve">of </w:t>
      </w:r>
      <w:r w:rsidR="00177AFC" w:rsidRPr="00291AFB">
        <w:rPr>
          <w:snapToGrid w:val="0"/>
        </w:rPr>
        <w:t>short</w:t>
      </w:r>
      <w:r w:rsidR="00177AFC" w:rsidRPr="00DD0CE4">
        <w:rPr>
          <w:snapToGrid w:val="0"/>
        </w:rPr>
        <w:t>-</w:t>
      </w:r>
      <w:r w:rsidR="009441BF" w:rsidRPr="00DD0CE4">
        <w:rPr>
          <w:snapToGrid w:val="0"/>
        </w:rPr>
        <w:t xml:space="preserve"> and medium-term actions</w:t>
      </w:r>
      <w:r w:rsidR="003C0D85" w:rsidRPr="00DD0CE4">
        <w:rPr>
          <w:snapToGrid w:val="0"/>
        </w:rPr>
        <w:t xml:space="preserve"> </w:t>
      </w:r>
      <w:r w:rsidR="003C0D85" w:rsidRPr="00DA0C94">
        <w:t xml:space="preserve">proposed </w:t>
      </w:r>
      <w:r w:rsidR="00E3020B">
        <w:t>in</w:t>
      </w:r>
      <w:r w:rsidR="00E3020B" w:rsidRPr="00DA0C94">
        <w:t xml:space="preserve"> </w:t>
      </w:r>
      <w:r w:rsidR="003C0D85" w:rsidRPr="00DA0C94">
        <w:t>the recommendations of the functional review</w:t>
      </w:r>
      <w:r w:rsidR="00D74665" w:rsidRPr="00DA0C94">
        <w:t>, including an updated organizational structure</w:t>
      </w:r>
      <w:r w:rsidRPr="00DA0C94">
        <w:t>;</w:t>
      </w:r>
    </w:p>
    <w:p w14:paraId="2356EDAE" w14:textId="4B59019F" w:rsidR="009210D8" w:rsidRDefault="00823919">
      <w:pPr>
        <w:pStyle w:val="CBDDesicionText"/>
        <w:rPr>
          <w:snapToGrid w:val="0"/>
        </w:rPr>
      </w:pPr>
      <w:r w:rsidRPr="00DA0C94">
        <w:t>(</w:t>
      </w:r>
      <w:r w:rsidR="002F744E">
        <w:t>b</w:t>
      </w:r>
      <w:r w:rsidRPr="00DA0C94">
        <w:t>)</w:t>
      </w:r>
      <w:r w:rsidR="009210D8">
        <w:rPr>
          <w:snapToGrid w:val="0"/>
        </w:rPr>
        <w:tab/>
        <w:t>T</w:t>
      </w:r>
      <w:r w:rsidR="00FE6595">
        <w:rPr>
          <w:snapToGrid w:val="0"/>
        </w:rPr>
        <w:t xml:space="preserve">he </w:t>
      </w:r>
      <w:r w:rsidR="00C63428" w:rsidRPr="00DA0C94">
        <w:t>updating or develop</w:t>
      </w:r>
      <w:r w:rsidR="00FE6595">
        <w:t>ment</w:t>
      </w:r>
      <w:r w:rsidR="00C63428" w:rsidRPr="00DA0C94">
        <w:t xml:space="preserve"> </w:t>
      </w:r>
      <w:r w:rsidR="00FE6595">
        <w:t>of</w:t>
      </w:r>
      <w:r w:rsidR="00947CA7">
        <w:t xml:space="preserve"> </w:t>
      </w:r>
      <w:r w:rsidR="00C63428" w:rsidRPr="00DA0C94">
        <w:t>job descriptions</w:t>
      </w:r>
      <w:r w:rsidR="00076DB4" w:rsidRPr="00DA0C94">
        <w:t>,</w:t>
      </w:r>
      <w:r w:rsidR="00C63428" w:rsidRPr="00DA0C94">
        <w:t xml:space="preserve"> </w:t>
      </w:r>
      <w:r w:rsidR="00076DB4" w:rsidRPr="00DA0C94">
        <w:t xml:space="preserve">including </w:t>
      </w:r>
      <w:r w:rsidR="00947CA7">
        <w:t>classification</w:t>
      </w:r>
      <w:r w:rsidR="00076DB4" w:rsidRPr="00DA0C94">
        <w:t xml:space="preserve">, of existing and additional posts, </w:t>
      </w:r>
      <w:r w:rsidR="00947CA7">
        <w:t xml:space="preserve">respectively, </w:t>
      </w:r>
      <w:r w:rsidR="00C63428" w:rsidRPr="00DA0C94">
        <w:t xml:space="preserve">required to implement </w:t>
      </w:r>
      <w:r w:rsidR="00650F34">
        <w:t>a</w:t>
      </w:r>
      <w:r w:rsidR="00650F34" w:rsidRPr="00DA0C94">
        <w:t xml:space="preserve"> </w:t>
      </w:r>
      <w:r w:rsidR="00C63428" w:rsidRPr="00DA0C94">
        <w:t>structural and strategic alignment</w:t>
      </w:r>
      <w:r w:rsidR="00102928" w:rsidRPr="00102928">
        <w:t xml:space="preserve"> </w:t>
      </w:r>
      <w:r w:rsidR="00102928" w:rsidRPr="00C725CE">
        <w:t xml:space="preserve">with </w:t>
      </w:r>
      <w:r w:rsidR="00102928">
        <w:t>the</w:t>
      </w:r>
      <w:r w:rsidR="00102928" w:rsidRPr="00C725CE">
        <w:t xml:space="preserve"> core functions and strategic priorities </w:t>
      </w:r>
      <w:r w:rsidR="00102928">
        <w:t>of the Secretariat</w:t>
      </w:r>
      <w:r w:rsidR="00C63428" w:rsidRPr="00DD0CE4">
        <w:rPr>
          <w:snapToGrid w:val="0"/>
        </w:rPr>
        <w:t xml:space="preserve">; </w:t>
      </w:r>
    </w:p>
    <w:p w14:paraId="624F4991" w14:textId="40E0150E" w:rsidR="00E42E94" w:rsidRPr="00DD0CE4" w:rsidRDefault="00C63428" w:rsidP="00DA0C94">
      <w:pPr>
        <w:pStyle w:val="CBDDesicionText"/>
      </w:pPr>
      <w:r w:rsidRPr="00DD0CE4">
        <w:rPr>
          <w:snapToGrid w:val="0"/>
        </w:rPr>
        <w:t>(</w:t>
      </w:r>
      <w:r w:rsidR="002F744E">
        <w:rPr>
          <w:snapToGrid w:val="0"/>
        </w:rPr>
        <w:t>c</w:t>
      </w:r>
      <w:r w:rsidRPr="00DD0CE4">
        <w:rPr>
          <w:snapToGrid w:val="0"/>
        </w:rPr>
        <w:t>)</w:t>
      </w:r>
      <w:r w:rsidR="009210D8">
        <w:rPr>
          <w:snapToGrid w:val="0"/>
        </w:rPr>
        <w:tab/>
        <w:t>T</w:t>
      </w:r>
      <w:r w:rsidR="00300319">
        <w:rPr>
          <w:snapToGrid w:val="0"/>
        </w:rPr>
        <w:t>he</w:t>
      </w:r>
      <w:r w:rsidR="005D3824">
        <w:rPr>
          <w:snapToGrid w:val="0"/>
        </w:rPr>
        <w:t xml:space="preserve"> </w:t>
      </w:r>
      <w:r w:rsidR="003C0D85" w:rsidRPr="00DA0C94">
        <w:t>analysis of the associated staffing and cost implications of the long-term structural and strategic alignment</w:t>
      </w:r>
      <w:r w:rsidR="002F744E">
        <w:t>;</w:t>
      </w:r>
    </w:p>
    <w:p w14:paraId="076958EB" w14:textId="6F949AAA" w:rsidR="009D1B8D" w:rsidRPr="00DD0CE4" w:rsidRDefault="00DC56EF" w:rsidP="00531E5C">
      <w:pPr>
        <w:pStyle w:val="CBDDesicionText"/>
      </w:pPr>
      <w:r w:rsidRPr="00DD0CE4">
        <w:t>4.</w:t>
      </w:r>
      <w:r w:rsidRPr="00DD0CE4">
        <w:tab/>
      </w:r>
      <w:r w:rsidR="009D1B8D" w:rsidRPr="00DD0CE4">
        <w:rPr>
          <w:i/>
          <w:iCs/>
        </w:rPr>
        <w:t>R</w:t>
      </w:r>
      <w:r w:rsidR="00224652" w:rsidRPr="00DD0CE4">
        <w:rPr>
          <w:i/>
          <w:iCs/>
        </w:rPr>
        <w:t xml:space="preserve">equests </w:t>
      </w:r>
      <w:r w:rsidR="00224652" w:rsidRPr="00DD0CE4">
        <w:t>the Executive Secretary</w:t>
      </w:r>
      <w:r w:rsidR="009D0252" w:rsidRPr="00DD0CE4">
        <w:t xml:space="preserve">, subject to </w:t>
      </w:r>
      <w:r w:rsidR="00134A5B">
        <w:t xml:space="preserve">the </w:t>
      </w:r>
      <w:r w:rsidR="009D0252" w:rsidRPr="00DD0CE4">
        <w:t>availab</w:t>
      </w:r>
      <w:r w:rsidR="00EB22CF">
        <w:t>ility</w:t>
      </w:r>
      <w:r w:rsidR="009D0252" w:rsidRPr="00DD0CE4">
        <w:t xml:space="preserve"> </w:t>
      </w:r>
      <w:r w:rsidR="00EB22CF">
        <w:t xml:space="preserve">of </w:t>
      </w:r>
      <w:r w:rsidR="009D0252" w:rsidRPr="00DD0CE4">
        <w:t>resources</w:t>
      </w:r>
      <w:r w:rsidR="009D1B8D" w:rsidRPr="00DD0CE4">
        <w:t>:</w:t>
      </w:r>
    </w:p>
    <w:p w14:paraId="1AAF1508" w14:textId="44F2984B" w:rsidR="00E95425" w:rsidRPr="00DD0CE4" w:rsidRDefault="002F744E" w:rsidP="00531E5C">
      <w:pPr>
        <w:pStyle w:val="CBDDesicionText"/>
        <w:tabs>
          <w:tab w:val="clear" w:pos="1134"/>
        </w:tabs>
      </w:pPr>
      <w:r>
        <w:t>(</w:t>
      </w:r>
      <w:r w:rsidR="00DC56EF" w:rsidRPr="00DD0CE4">
        <w:t>a</w:t>
      </w:r>
      <w:r>
        <w:t>)</w:t>
      </w:r>
      <w:r w:rsidR="00DC56EF" w:rsidRPr="00DD0CE4">
        <w:tab/>
      </w:r>
      <w:r>
        <w:t>T</w:t>
      </w:r>
      <w:r w:rsidR="00224652" w:rsidRPr="00DD0CE4">
        <w:t xml:space="preserve">o </w:t>
      </w:r>
      <w:r w:rsidR="00F86F32" w:rsidRPr="00DD0CE4">
        <w:t xml:space="preserve">continue to implement the </w:t>
      </w:r>
      <w:r w:rsidR="00DF0C7D" w:rsidRPr="00DD0CE4">
        <w:t xml:space="preserve">remaining short- and medium-term </w:t>
      </w:r>
      <w:r w:rsidR="00F86F32" w:rsidRPr="00DD0CE4">
        <w:t>actions</w:t>
      </w:r>
      <w:r w:rsidR="00EB22CF">
        <w:t>,</w:t>
      </w:r>
      <w:r w:rsidR="00DF0C7D" w:rsidRPr="00DD0CE4">
        <w:t xml:space="preserve"> as well as long-term actions, </w:t>
      </w:r>
      <w:r w:rsidR="00360E24" w:rsidRPr="00DD0CE4">
        <w:t xml:space="preserve">recommended </w:t>
      </w:r>
      <w:r w:rsidR="00300319">
        <w:t>in</w:t>
      </w:r>
      <w:r w:rsidR="00300319" w:rsidRPr="00DD0CE4">
        <w:t xml:space="preserve"> </w:t>
      </w:r>
      <w:r w:rsidR="00360E24" w:rsidRPr="00DD0CE4">
        <w:t>the functional review</w:t>
      </w:r>
      <w:r w:rsidR="00767793" w:rsidRPr="00DD0CE4">
        <w:t>,</w:t>
      </w:r>
      <w:r w:rsidR="003B3FB9" w:rsidRPr="00DD0CE4">
        <w:t xml:space="preserve"> in line with the approved Secretariat staffing requirements from the core budgets of the Convention and its Protocols </w:t>
      </w:r>
      <w:r w:rsidR="0054377E">
        <w:t xml:space="preserve">for the period </w:t>
      </w:r>
      <w:r w:rsidR="003B3FB9" w:rsidRPr="00DD0CE4">
        <w:t>202</w:t>
      </w:r>
      <w:r w:rsidR="00F5327C">
        <w:t>7</w:t>
      </w:r>
      <w:r w:rsidR="003B3FB9" w:rsidRPr="00DD0CE4">
        <w:t>–202</w:t>
      </w:r>
      <w:r w:rsidR="00F5327C">
        <w:t>8</w:t>
      </w:r>
      <w:r w:rsidR="009D1B8D" w:rsidRPr="00DD0CE4">
        <w:t>;</w:t>
      </w:r>
    </w:p>
    <w:p w14:paraId="09C398F2" w14:textId="5356473D" w:rsidR="00B77FA9" w:rsidRPr="00DD0CE4" w:rsidRDefault="002F744E" w:rsidP="00531E5C">
      <w:pPr>
        <w:pStyle w:val="CBDDesicionText"/>
        <w:tabs>
          <w:tab w:val="clear" w:pos="1134"/>
        </w:tabs>
      </w:pPr>
      <w:r>
        <w:t>(</w:t>
      </w:r>
      <w:r w:rsidR="00DC56EF" w:rsidRPr="00DD0CE4">
        <w:t>b</w:t>
      </w:r>
      <w:r>
        <w:t>)</w:t>
      </w:r>
      <w:r w:rsidR="00DC56EF" w:rsidRPr="00DD0CE4">
        <w:tab/>
      </w:r>
      <w:r>
        <w:t>T</w:t>
      </w:r>
      <w:r w:rsidR="00620F8B" w:rsidRPr="00DD0CE4">
        <w:t xml:space="preserve">o </w:t>
      </w:r>
      <w:r w:rsidR="00077F9E" w:rsidRPr="00DD0CE4">
        <w:t xml:space="preserve">ensure that the </w:t>
      </w:r>
      <w:r w:rsidR="00077F9E" w:rsidRPr="00253CBE">
        <w:t>main functions of the Secretariat, as established i</w:t>
      </w:r>
      <w:r w:rsidR="00077F9E" w:rsidRPr="00DA0C94">
        <w:t>n Article</w:t>
      </w:r>
      <w:r w:rsidR="00EB22CF" w:rsidRPr="00253CBE">
        <w:t> </w:t>
      </w:r>
      <w:r w:rsidR="00077F9E" w:rsidRPr="00253CBE">
        <w:t>24 of the Convention</w:t>
      </w:r>
      <w:r w:rsidR="00077F9E" w:rsidRPr="00DA0C94">
        <w:t>, A</w:t>
      </w:r>
      <w:r w:rsidR="00077F9E" w:rsidRPr="00253CBE">
        <w:t xml:space="preserve">rticle 31 of the Cartagena Protocol </w:t>
      </w:r>
      <w:r w:rsidR="00783D60" w:rsidRPr="00253CBE">
        <w:t>on Biosafety</w:t>
      </w:r>
      <w:r w:rsidR="00A5770F">
        <w:rPr>
          <w:rStyle w:val="FootnoteReference"/>
        </w:rPr>
        <w:footnoteReference w:id="8"/>
      </w:r>
      <w:r w:rsidR="00783D60" w:rsidRPr="00253CBE">
        <w:t xml:space="preserve"> </w:t>
      </w:r>
      <w:r w:rsidR="00077F9E" w:rsidRPr="00253CBE">
        <w:t>an</w:t>
      </w:r>
      <w:r w:rsidR="00077F9E" w:rsidRPr="00DA0C94">
        <w:t>d A</w:t>
      </w:r>
      <w:r w:rsidR="00077F9E" w:rsidRPr="00253CBE">
        <w:t>rticle 28 of the Nagoya Protocol</w:t>
      </w:r>
      <w:r w:rsidR="0054377E" w:rsidRPr="00253CBE">
        <w:t xml:space="preserve"> on Access to Genetic Resources and the Fair and Equitable Sharing of Benefits Arising from Their Utilization</w:t>
      </w:r>
      <w:r w:rsidR="00077F9E" w:rsidRPr="00253CBE">
        <w:t>,</w:t>
      </w:r>
      <w:r w:rsidR="000960AA">
        <w:rPr>
          <w:rStyle w:val="FootnoteReference"/>
        </w:rPr>
        <w:footnoteReference w:id="9"/>
      </w:r>
      <w:r w:rsidR="00077F9E" w:rsidRPr="00253CBE">
        <w:t xml:space="preserve"> remain firmly at the core </w:t>
      </w:r>
      <w:r w:rsidR="00404742" w:rsidRPr="00253CBE">
        <w:t xml:space="preserve">of the Secretariat’s </w:t>
      </w:r>
      <w:r w:rsidR="009938B3" w:rsidRPr="00253CBE">
        <w:t>activit</w:t>
      </w:r>
      <w:r w:rsidR="00681334" w:rsidRPr="00253CBE">
        <w:t>i</w:t>
      </w:r>
      <w:r w:rsidR="009938B3" w:rsidRPr="00253CBE">
        <w:t>es</w:t>
      </w:r>
      <w:r w:rsidR="007E2734" w:rsidRPr="00253CBE">
        <w:t xml:space="preserve"> </w:t>
      </w:r>
      <w:r w:rsidR="00404742" w:rsidRPr="00253CBE">
        <w:t xml:space="preserve">when </w:t>
      </w:r>
      <w:r w:rsidR="001103FB" w:rsidRPr="00253CBE">
        <w:t>implementing the recommendations</w:t>
      </w:r>
      <w:r w:rsidR="001103FB" w:rsidRPr="00DD0CE4">
        <w:t xml:space="preserve"> </w:t>
      </w:r>
      <w:r w:rsidR="00077F9E" w:rsidRPr="00DD0CE4">
        <w:t>of the functional review;</w:t>
      </w:r>
    </w:p>
    <w:p w14:paraId="7B6DA9E7" w14:textId="455377E7" w:rsidR="00273EBF" w:rsidRPr="00092323" w:rsidRDefault="002F744E" w:rsidP="00531E5C">
      <w:pPr>
        <w:pStyle w:val="CBDDesicionText"/>
        <w:tabs>
          <w:tab w:val="clear" w:pos="1134"/>
        </w:tabs>
        <w:rPr>
          <w:snapToGrid w:val="0"/>
        </w:rPr>
      </w:pPr>
      <w:r>
        <w:t>(</w:t>
      </w:r>
      <w:r w:rsidR="00DC56EF" w:rsidRPr="00DD0CE4">
        <w:t>c</w:t>
      </w:r>
      <w:r>
        <w:t>)</w:t>
      </w:r>
      <w:r w:rsidR="00DC56EF" w:rsidRPr="00DD0CE4">
        <w:tab/>
      </w:r>
      <w:r>
        <w:rPr>
          <w:snapToGrid w:val="0"/>
          <w:kern w:val="22"/>
        </w:rPr>
        <w:t>T</w:t>
      </w:r>
      <w:r w:rsidR="00B77FA9" w:rsidRPr="00DA0C94">
        <w:rPr>
          <w:snapToGrid w:val="0"/>
          <w:kern w:val="22"/>
        </w:rPr>
        <w:t xml:space="preserve">o </w:t>
      </w:r>
      <w:r w:rsidR="00456018" w:rsidRPr="00DA0C94">
        <w:rPr>
          <w:snapToGrid w:val="0"/>
          <w:kern w:val="22"/>
        </w:rPr>
        <w:t xml:space="preserve">keep the Bureau of the Conference of the Parties informed </w:t>
      </w:r>
      <w:r w:rsidR="00CC757E" w:rsidRPr="00DA0C94">
        <w:rPr>
          <w:snapToGrid w:val="0"/>
          <w:kern w:val="22"/>
        </w:rPr>
        <w:t xml:space="preserve">of progress in implementing the </w:t>
      </w:r>
      <w:r w:rsidR="005B278D" w:rsidRPr="00DA0C94">
        <w:rPr>
          <w:snapToGrid w:val="0"/>
          <w:kern w:val="22"/>
        </w:rPr>
        <w:t xml:space="preserve">remaining actions recommended </w:t>
      </w:r>
      <w:r w:rsidR="00367E96">
        <w:rPr>
          <w:snapToGrid w:val="0"/>
          <w:kern w:val="22"/>
        </w:rPr>
        <w:t>in</w:t>
      </w:r>
      <w:r w:rsidR="00367E96" w:rsidRPr="00DA0C94">
        <w:rPr>
          <w:snapToGrid w:val="0"/>
          <w:kern w:val="22"/>
        </w:rPr>
        <w:t xml:space="preserve"> </w:t>
      </w:r>
      <w:r w:rsidR="005B278D" w:rsidRPr="00DA0C94">
        <w:rPr>
          <w:snapToGrid w:val="0"/>
          <w:kern w:val="22"/>
        </w:rPr>
        <w:t>the functional review</w:t>
      </w:r>
      <w:r w:rsidR="00262521" w:rsidRPr="00DA0C94">
        <w:rPr>
          <w:snapToGrid w:val="0"/>
          <w:kern w:val="22"/>
        </w:rPr>
        <w:t>.</w:t>
      </w:r>
    </w:p>
    <w:p w14:paraId="537BBA68" w14:textId="3852D186" w:rsidR="00F24EBD" w:rsidRPr="00253CBE" w:rsidRDefault="002C5578" w:rsidP="00531E5C">
      <w:pPr>
        <w:pStyle w:val="CBDNormalNumber"/>
        <w:rPr>
          <w:snapToGrid w:val="0"/>
        </w:rPr>
      </w:pPr>
      <w:r w:rsidRPr="00DD0CE4">
        <w:rPr>
          <w:snapToGrid w:val="0"/>
        </w:rPr>
        <w:t>The Subsidiary Body on Implementation may</w:t>
      </w:r>
      <w:r w:rsidR="00AE2703">
        <w:rPr>
          <w:snapToGrid w:val="0"/>
        </w:rPr>
        <w:t xml:space="preserve"> </w:t>
      </w:r>
      <w:r w:rsidRPr="00DD0CE4">
        <w:rPr>
          <w:snapToGrid w:val="0"/>
        </w:rPr>
        <w:t>also</w:t>
      </w:r>
      <w:r w:rsidR="00AE2703">
        <w:rPr>
          <w:snapToGrid w:val="0"/>
        </w:rPr>
        <w:t xml:space="preserve"> </w:t>
      </w:r>
      <w:r w:rsidRPr="00DD0CE4">
        <w:rPr>
          <w:snapToGrid w:val="0"/>
        </w:rPr>
        <w:t>wish to recommend</w:t>
      </w:r>
      <w:r w:rsidR="00721B4C">
        <w:rPr>
          <w:snapToGrid w:val="0"/>
        </w:rPr>
        <w:t xml:space="preserve"> </w:t>
      </w:r>
      <w:r w:rsidRPr="00DD0CE4">
        <w:rPr>
          <w:snapToGrid w:val="0"/>
        </w:rPr>
        <w:t>that</w:t>
      </w:r>
      <w:r w:rsidR="00721B4C">
        <w:rPr>
          <w:snapToGrid w:val="0"/>
        </w:rPr>
        <w:t xml:space="preserve"> </w:t>
      </w:r>
      <w:r w:rsidRPr="00DD0CE4">
        <w:rPr>
          <w:snapToGrid w:val="0"/>
        </w:rPr>
        <w:t>the</w:t>
      </w:r>
      <w:r w:rsidR="00721B4C">
        <w:rPr>
          <w:snapToGrid w:val="0"/>
        </w:rPr>
        <w:t xml:space="preserve"> </w:t>
      </w:r>
      <w:r w:rsidRPr="00DD0CE4">
        <w:rPr>
          <w:snapToGrid w:val="0"/>
        </w:rPr>
        <w:t>Conference of the Parties serving as the meeting of the Parties to the Cartagena Protocol at its</w:t>
      </w:r>
      <w:r w:rsidR="00721B4C">
        <w:rPr>
          <w:snapToGrid w:val="0"/>
        </w:rPr>
        <w:t xml:space="preserve"> </w:t>
      </w:r>
      <w:r w:rsidRPr="00DD0CE4">
        <w:rPr>
          <w:snapToGrid w:val="0"/>
        </w:rPr>
        <w:t>twelfth</w:t>
      </w:r>
      <w:r w:rsidR="00721B4C">
        <w:rPr>
          <w:snapToGrid w:val="0"/>
        </w:rPr>
        <w:t xml:space="preserve"> </w:t>
      </w:r>
      <w:r w:rsidRPr="00DD0CE4">
        <w:rPr>
          <w:snapToGrid w:val="0"/>
        </w:rPr>
        <w:t>meeting and the Conference of the Parties serving as the meeting of the Parties to the</w:t>
      </w:r>
      <w:r w:rsidR="00721B4C">
        <w:rPr>
          <w:snapToGrid w:val="0"/>
        </w:rPr>
        <w:t xml:space="preserve"> </w:t>
      </w:r>
      <w:r w:rsidRPr="00DD0CE4">
        <w:rPr>
          <w:snapToGrid w:val="0"/>
        </w:rPr>
        <w:t>Nagoya Protocol at its</w:t>
      </w:r>
      <w:r w:rsidR="00721B4C">
        <w:rPr>
          <w:snapToGrid w:val="0"/>
        </w:rPr>
        <w:t xml:space="preserve"> </w:t>
      </w:r>
      <w:r w:rsidRPr="00DD0CE4">
        <w:rPr>
          <w:snapToGrid w:val="0"/>
        </w:rPr>
        <w:t xml:space="preserve">sixth </w:t>
      </w:r>
      <w:r w:rsidRPr="00DD0CE4">
        <w:rPr>
          <w:snapToGrid w:val="0"/>
        </w:rPr>
        <w:lastRenderedPageBreak/>
        <w:t>meeting</w:t>
      </w:r>
      <w:r w:rsidR="00721B4C">
        <w:rPr>
          <w:snapToGrid w:val="0"/>
        </w:rPr>
        <w:t xml:space="preserve"> </w:t>
      </w:r>
      <w:r w:rsidRPr="00DD0CE4">
        <w:rPr>
          <w:snapToGrid w:val="0"/>
        </w:rPr>
        <w:t>take note of the</w:t>
      </w:r>
      <w:r w:rsidR="00721B4C">
        <w:rPr>
          <w:snapToGrid w:val="0"/>
        </w:rPr>
        <w:t xml:space="preserve"> </w:t>
      </w:r>
      <w:r w:rsidRPr="00DD0CE4">
        <w:rPr>
          <w:snapToGrid w:val="0"/>
        </w:rPr>
        <w:t>decision on th</w:t>
      </w:r>
      <w:r w:rsidR="00662518">
        <w:rPr>
          <w:snapToGrid w:val="0"/>
        </w:rPr>
        <w:t>e</w:t>
      </w:r>
      <w:r w:rsidRPr="00DD0CE4">
        <w:rPr>
          <w:snapToGrid w:val="0"/>
        </w:rPr>
        <w:t xml:space="preserve"> </w:t>
      </w:r>
      <w:r w:rsidR="009E5992">
        <w:rPr>
          <w:snapToGrid w:val="0"/>
        </w:rPr>
        <w:t xml:space="preserve">present </w:t>
      </w:r>
      <w:r w:rsidRPr="00DD0CE4">
        <w:rPr>
          <w:snapToGrid w:val="0"/>
        </w:rPr>
        <w:t>matter</w:t>
      </w:r>
      <w:r w:rsidR="00721B4C">
        <w:rPr>
          <w:snapToGrid w:val="0"/>
        </w:rPr>
        <w:t xml:space="preserve"> </w:t>
      </w:r>
      <w:r w:rsidRPr="00253CBE">
        <w:rPr>
          <w:snapToGrid w:val="0"/>
        </w:rPr>
        <w:t xml:space="preserve">adopted by the </w:t>
      </w:r>
      <w:r w:rsidRPr="00DA0C94">
        <w:rPr>
          <w:snapToGrid w:val="0"/>
        </w:rPr>
        <w:t>Conference of the Parties to the</w:t>
      </w:r>
      <w:r w:rsidR="00EA5DF0" w:rsidRPr="00DA0C94">
        <w:rPr>
          <w:snapToGrid w:val="0"/>
        </w:rPr>
        <w:t xml:space="preserve"> </w:t>
      </w:r>
      <w:r w:rsidRPr="00DA0C94">
        <w:rPr>
          <w:snapToGrid w:val="0"/>
        </w:rPr>
        <w:t>Convention</w:t>
      </w:r>
      <w:r w:rsidRPr="00253CBE">
        <w:rPr>
          <w:snapToGrid w:val="0"/>
        </w:rPr>
        <w:t>.</w:t>
      </w:r>
    </w:p>
    <w:p w14:paraId="044F29B1" w14:textId="77777777" w:rsidR="003D15AA" w:rsidRPr="00DA0C94" w:rsidRDefault="003D15AA">
      <w:pPr>
        <w:tabs>
          <w:tab w:val="clear" w:pos="567"/>
          <w:tab w:val="clear" w:pos="1134"/>
          <w:tab w:val="clear" w:pos="1701"/>
          <w:tab w:val="clear" w:pos="2268"/>
        </w:tabs>
        <w:jc w:val="left"/>
      </w:pPr>
      <w:r w:rsidRPr="00DA0C94">
        <w:br w:type="page"/>
      </w:r>
    </w:p>
    <w:p w14:paraId="0407DB94" w14:textId="5C3CDD64" w:rsidR="003410F9" w:rsidRPr="00DD0CE4" w:rsidRDefault="003410F9" w:rsidP="00DA0C94">
      <w:pPr>
        <w:pStyle w:val="CBDAnnex"/>
      </w:pPr>
      <w:r w:rsidRPr="00DA0C94">
        <w:lastRenderedPageBreak/>
        <w:t>Annex</w:t>
      </w:r>
      <w:r w:rsidR="00686F46">
        <w:t xml:space="preserve"> </w:t>
      </w:r>
      <w:r w:rsidR="008619CF" w:rsidRPr="00DA0C94">
        <w:t>I</w:t>
      </w:r>
    </w:p>
    <w:p w14:paraId="28015C14" w14:textId="7E4B63CB" w:rsidR="001C6D3B" w:rsidRPr="00C725CE" w:rsidRDefault="00077FD3" w:rsidP="00DA0C94">
      <w:pPr>
        <w:pStyle w:val="CBDTitle"/>
      </w:pPr>
      <w:r>
        <w:t>E</w:t>
      </w:r>
      <w:r w:rsidRPr="00077FD3">
        <w:t>xecutive summary</w:t>
      </w:r>
      <w:r>
        <w:t xml:space="preserve"> of the r</w:t>
      </w:r>
      <w:r w:rsidR="001C6D3B" w:rsidRPr="00C725CE">
        <w:t xml:space="preserve">eport on the </w:t>
      </w:r>
      <w:r>
        <w:t>e</w:t>
      </w:r>
      <w:r w:rsidR="001C6D3B">
        <w:t xml:space="preserve">xternal </w:t>
      </w:r>
      <w:r>
        <w:t>i</w:t>
      </w:r>
      <w:r w:rsidR="001C6D3B">
        <w:t xml:space="preserve">n-depth </w:t>
      </w:r>
      <w:r>
        <w:t>f</w:t>
      </w:r>
      <w:r w:rsidR="001C6D3B" w:rsidRPr="00C725CE">
        <w:t xml:space="preserve">unctional </w:t>
      </w:r>
      <w:r>
        <w:t>r</w:t>
      </w:r>
      <w:r w:rsidR="001C6D3B" w:rsidRPr="00C725CE">
        <w:t>eview of the Secretariat of the Convention on Biological Diversity</w:t>
      </w:r>
    </w:p>
    <w:p w14:paraId="5681DFF0"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color w:val="000000" w:themeColor="text1"/>
        </w:rPr>
      </w:pPr>
      <w:r w:rsidRPr="00C725CE">
        <w:rPr>
          <w:color w:val="000000" w:themeColor="text1"/>
        </w:rPr>
        <w:t>This report presents the external Functional Review of the Secretariat of the Convention on Biological Diversity (SCBD), conducted by the UNDP Management Consulting Team in response to COP decisions 15/34 and 16/28. The review assessed whether the Secretariat’s structure, functions, and resources are fit to support the Kunming–Montreal Global Biodiversity Framework (KMGBF) and service the Convention and its Protocols effectively</w:t>
      </w:r>
    </w:p>
    <w:p w14:paraId="6C3C61C0"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color w:val="000000" w:themeColor="text1"/>
        </w:rPr>
      </w:pPr>
      <w:r w:rsidRPr="00C725CE">
        <w:rPr>
          <w:color w:val="000000" w:themeColor="text1"/>
        </w:rPr>
        <w:t>Conducted over six months, the review combined quantitative and qualitative analysis of structure, staffing, budgets, and business processes, benchmarking with peer MEA secretariats, and extensive engagement through surveys, focus groups, workshops, and consultations with senior management and the COP Bureau. Two workstreams guided the process: Strategic Direction (clarifying mandate and priorities) and Operating Model Design (assessing structure and efficiency).</w:t>
      </w:r>
    </w:p>
    <w:p w14:paraId="1AC67AA2" w14:textId="77777777" w:rsidR="001C6D3B" w:rsidRPr="0007470F" w:rsidRDefault="001C6D3B" w:rsidP="00DA0C94">
      <w:pPr>
        <w:pStyle w:val="ListParagraph"/>
        <w:numPr>
          <w:ilvl w:val="0"/>
          <w:numId w:val="60"/>
        </w:numPr>
        <w:tabs>
          <w:tab w:val="clear" w:pos="567"/>
          <w:tab w:val="clear" w:pos="1134"/>
          <w:tab w:val="clear" w:pos="1701"/>
          <w:tab w:val="clear" w:pos="2268"/>
        </w:tabs>
        <w:spacing w:before="120" w:after="120"/>
        <w:contextualSpacing w:val="0"/>
        <w:rPr>
          <w:color w:val="000000" w:themeColor="text1"/>
        </w:rPr>
      </w:pPr>
      <w:r w:rsidRPr="00C725CE">
        <w:rPr>
          <w:color w:val="000000" w:themeColor="text1"/>
        </w:rPr>
        <w:t xml:space="preserve">The review confirmed strong delivery, deep technical expertise, and a high level of staff commitment. It also identified several opportunities to strengthen the Secretariat’s ability to support to KMGBF and service the Convention and its Protocols </w:t>
      </w:r>
      <w:r w:rsidRPr="0007470F">
        <w:rPr>
          <w:color w:val="000000" w:themeColor="text1"/>
        </w:rPr>
        <w:t>effectively. Enhancing the linkage between planning and resources, full implementation and operationalization of the Results-Based Budgeting framework and improving coordination across units would contribute to more coherent and efficient operations. Optimizing workload distribution and strengthening delegation of authority would further support timely decision-making and reduce pressure on units. As staffing levels have stagnated despite an expanded mandate, addressing capacity needs will be important to alleviate operational pressures and enable sustainable delivery.</w:t>
      </w:r>
    </w:p>
    <w:p w14:paraId="0BF2FD01" w14:textId="77777777" w:rsidR="001C6D3B" w:rsidRPr="0007470F" w:rsidRDefault="001C6D3B" w:rsidP="00DA0C94">
      <w:pPr>
        <w:pStyle w:val="ListParagraph"/>
        <w:numPr>
          <w:ilvl w:val="0"/>
          <w:numId w:val="60"/>
        </w:numPr>
        <w:tabs>
          <w:tab w:val="clear" w:pos="567"/>
          <w:tab w:val="clear" w:pos="1134"/>
          <w:tab w:val="clear" w:pos="1701"/>
          <w:tab w:val="clear" w:pos="2268"/>
        </w:tabs>
        <w:spacing w:before="120" w:after="120"/>
        <w:contextualSpacing w:val="0"/>
        <w:rPr>
          <w:color w:val="000000" w:themeColor="text1"/>
        </w:rPr>
      </w:pPr>
      <w:r w:rsidRPr="0007470F">
        <w:rPr>
          <w:color w:val="000000" w:themeColor="text1"/>
        </w:rPr>
        <w:t>To address these opportunities and issues, the review proposes an operating model in which functions are consolidated into three divisions reporting to the Office of the Executive Secretary, namely the Policy, Capacity and Monitoring Division, the Strategic Partnerships, Financing and Economy Division, and the Protocols Division. The review also proposes the establishment of three units, specifically the Intergovernmental Meeting Support Cluster, the Administrative and Operational Support Section and the IT and Digital Transformation Unit. In addition, the Office of the Executive Secretary will comprise the following units: Secretariat Support Unit, the Documentation and Language Unit, Legal and Intergovernmental Affairs Unit, and the Programme Management Unit.</w:t>
      </w:r>
    </w:p>
    <w:p w14:paraId="632646AD" w14:textId="77777777" w:rsidR="001C6D3B" w:rsidRPr="0007470F" w:rsidRDefault="001C6D3B" w:rsidP="00DA0C94">
      <w:pPr>
        <w:pStyle w:val="ListParagraph"/>
        <w:numPr>
          <w:ilvl w:val="0"/>
          <w:numId w:val="60"/>
        </w:numPr>
        <w:tabs>
          <w:tab w:val="clear" w:pos="567"/>
          <w:tab w:val="clear" w:pos="1134"/>
          <w:tab w:val="clear" w:pos="1701"/>
          <w:tab w:val="clear" w:pos="2268"/>
        </w:tabs>
        <w:spacing w:before="120" w:after="120"/>
        <w:contextualSpacing w:val="0"/>
        <w:rPr>
          <w:color w:val="000000" w:themeColor="text1"/>
        </w:rPr>
      </w:pPr>
      <w:r w:rsidRPr="0007470F">
        <w:rPr>
          <w:color w:val="000000" w:themeColor="text1"/>
        </w:rPr>
        <w:t>Recommendations are presented under seven opportunity areas: (1) Structural and Strategic Alignment, (2) Cross-Cutting Coherence, (3) Empowerment and Accountability, (4) Human Resource Capacity and Resourcing, (5) Transformation of Ways of Working, (6) Performance and Data Management, and (7) Digital Transformation.</w:t>
      </w:r>
    </w:p>
    <w:p w14:paraId="13107F6D" w14:textId="77777777" w:rsidR="001C6D3B" w:rsidRPr="0007470F" w:rsidRDefault="001C6D3B" w:rsidP="00DA0C94">
      <w:pPr>
        <w:pStyle w:val="ListParagraph"/>
        <w:numPr>
          <w:ilvl w:val="0"/>
          <w:numId w:val="60"/>
        </w:numPr>
        <w:tabs>
          <w:tab w:val="clear" w:pos="567"/>
          <w:tab w:val="clear" w:pos="1134"/>
          <w:tab w:val="clear" w:pos="1701"/>
          <w:tab w:val="clear" w:pos="2268"/>
        </w:tabs>
        <w:spacing w:before="120" w:after="120"/>
        <w:contextualSpacing w:val="0"/>
        <w:rPr>
          <w:color w:val="000000" w:themeColor="text1"/>
        </w:rPr>
      </w:pPr>
      <w:r w:rsidRPr="0007470F">
        <w:rPr>
          <w:color w:val="000000" w:themeColor="text1"/>
        </w:rPr>
        <w:t>It is recommended that implementation be phased. Short-term actions (0-3 months) should focus on preparatory steps for implementing structural changes, establishing governance, identifying and securing resources and capacities required to implement recommendations, instituting business process ownership, and implementing results-based budgeting. Medium-term actions (3-6 months) involve initiation of structural alignment, but also focus on strengthening coordination, integrating results-based management, and enhancing staff development. Long-term actions (6+ months) will complete structural realignment, institutionalize accountability, modernize processes and systems.</w:t>
      </w:r>
    </w:p>
    <w:p w14:paraId="2A890800" w14:textId="77777777" w:rsidR="001C6D3B" w:rsidRPr="0007470F" w:rsidRDefault="001C6D3B" w:rsidP="00DA0C94">
      <w:pPr>
        <w:pStyle w:val="ListParagraph"/>
        <w:numPr>
          <w:ilvl w:val="0"/>
          <w:numId w:val="60"/>
        </w:numPr>
        <w:tabs>
          <w:tab w:val="clear" w:pos="567"/>
          <w:tab w:val="clear" w:pos="1134"/>
          <w:tab w:val="clear" w:pos="1701"/>
          <w:tab w:val="clear" w:pos="2268"/>
        </w:tabs>
        <w:spacing w:before="120" w:after="120"/>
        <w:contextualSpacing w:val="0"/>
        <w:rPr>
          <w:color w:val="000000" w:themeColor="text1"/>
        </w:rPr>
      </w:pPr>
      <w:r w:rsidRPr="0007470F">
        <w:rPr>
          <w:color w:val="000000" w:themeColor="text1"/>
        </w:rPr>
        <w:t>It is recommended that a dedicated change-management mechanism under the Executive Secretary oversee implementation, monitor progress, and ensure transparency. Collectively, these reforms would chart a clear path toward a fit-for-purpose, agile, and results-oriented Secretariat, better equipped to deliver on COP mandates and support Parties in achieving the goals and targets of the KMGBF.</w:t>
      </w:r>
    </w:p>
    <w:p w14:paraId="5ACA5D9C" w14:textId="77777777" w:rsidR="001C6D3B" w:rsidRPr="0007470F" w:rsidRDefault="001C6D3B" w:rsidP="007D16FA">
      <w:pPr>
        <w:pStyle w:val="Heading2"/>
        <w:numPr>
          <w:ilvl w:val="0"/>
          <w:numId w:val="0"/>
        </w:numPr>
        <w:spacing w:after="240"/>
        <w:ind w:left="567" w:hanging="567"/>
        <w:rPr>
          <w:rFonts w:ascii="Times New Roman" w:hAnsi="Times New Roman" w:cs="Times New Roman"/>
          <w:b w:val="0"/>
          <w:bCs/>
          <w:szCs w:val="24"/>
        </w:rPr>
      </w:pPr>
      <w:r w:rsidRPr="0007470F">
        <w:rPr>
          <w:rFonts w:ascii="Times New Roman" w:hAnsi="Times New Roman" w:cs="Times New Roman"/>
          <w:bCs/>
          <w:szCs w:val="24"/>
        </w:rPr>
        <w:lastRenderedPageBreak/>
        <w:t>A. Purpose and scope of the review</w:t>
      </w:r>
    </w:p>
    <w:p w14:paraId="2076180B" w14:textId="77777777" w:rsidR="001C6D3B" w:rsidRPr="0007470F" w:rsidRDefault="001C6D3B" w:rsidP="00DA0C94">
      <w:pPr>
        <w:pStyle w:val="ListParagraph"/>
        <w:numPr>
          <w:ilvl w:val="0"/>
          <w:numId w:val="60"/>
        </w:numPr>
        <w:tabs>
          <w:tab w:val="clear" w:pos="567"/>
          <w:tab w:val="clear" w:pos="1134"/>
          <w:tab w:val="clear" w:pos="1701"/>
          <w:tab w:val="clear" w:pos="2268"/>
        </w:tabs>
        <w:spacing w:before="120" w:after="120"/>
        <w:contextualSpacing w:val="0"/>
      </w:pPr>
      <w:r w:rsidRPr="0007470F">
        <w:t xml:space="preserve">In its decision 15/34 (paragraph 35), the Conference of the Parties (COP) to the Convention on Biological Diversity (CBD) requested the </w:t>
      </w:r>
      <w:r w:rsidRPr="00DA0C94">
        <w:rPr>
          <w:color w:val="000000" w:themeColor="text1"/>
        </w:rPr>
        <w:t>Executive</w:t>
      </w:r>
      <w:r w:rsidRPr="0007470F">
        <w:t xml:space="preserve"> Secretary, in consultation with the Executive Director of the United Nations Environment Programme (UNEP), to undertake an external, in-depth functional review of the Secretariat’s structure and the implementation of its programme of work. The review was intended to update the Secretariat’s organizational structure and </w:t>
      </w:r>
      <w:r w:rsidRPr="00617309">
        <w:t>grading of posts</w:t>
      </w:r>
      <w:r w:rsidRPr="0007470F">
        <w:t xml:space="preserve"> </w:t>
      </w:r>
      <w:proofErr w:type="gramStart"/>
      <w:r w:rsidRPr="0007470F">
        <w:t>in light of</w:t>
      </w:r>
      <w:proofErr w:type="gramEnd"/>
      <w:r w:rsidRPr="0007470F">
        <w:t xml:space="preserve"> the Kunming–Montreal Global Biodiversity Framework (KMGBF) and to strengthen its capacity to support implementation by Parties.</w:t>
      </w:r>
    </w:p>
    <w:p w14:paraId="282F5BC6" w14:textId="77777777" w:rsidR="001C6D3B" w:rsidRPr="00617309" w:rsidRDefault="001C6D3B" w:rsidP="00DA0C94">
      <w:pPr>
        <w:pStyle w:val="ListParagraph"/>
        <w:numPr>
          <w:ilvl w:val="0"/>
          <w:numId w:val="60"/>
        </w:numPr>
        <w:tabs>
          <w:tab w:val="clear" w:pos="567"/>
          <w:tab w:val="clear" w:pos="1134"/>
          <w:tab w:val="clear" w:pos="1701"/>
          <w:tab w:val="clear" w:pos="2268"/>
        </w:tabs>
        <w:spacing w:before="120" w:after="120"/>
        <w:contextualSpacing w:val="0"/>
      </w:pPr>
      <w:r w:rsidRPr="0007470F">
        <w:t xml:space="preserve">In its subsequent decision 16/28 (paragraph 11), the COP urged the Executive Secretary to finalize the functional review, </w:t>
      </w:r>
      <w:proofErr w:type="gramStart"/>
      <w:r w:rsidRPr="0007470F">
        <w:t>taking into account</w:t>
      </w:r>
      <w:proofErr w:type="gramEnd"/>
      <w:r w:rsidRPr="0007470F">
        <w:t xml:space="preserve"> the scoping report referenced in decision 16/4. </w:t>
      </w:r>
      <w:r w:rsidRPr="00617309">
        <w:t xml:space="preserve">The COP emphasized that the review should determine </w:t>
      </w:r>
      <w:r w:rsidRPr="00DA0C94">
        <w:rPr>
          <w:color w:val="000000" w:themeColor="text1"/>
        </w:rPr>
        <w:t>whether</w:t>
      </w:r>
      <w:r w:rsidRPr="00617309">
        <w:t xml:space="preserve"> the Secretariat is appropriately structured and adequately resourced to perform its functions effectively, particularly in servicing meetings under the Convention and its Protocols and in supporting implementation of the KMGBF, and, where gaps exist, identify the adjustments required to address them.</w:t>
      </w:r>
    </w:p>
    <w:p w14:paraId="2E2044A0"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pPr>
      <w:r w:rsidRPr="0007470F">
        <w:t>In response to these mandates, the Secretariat of the Convention on Biological Diversity (SCBD) engaged the Management Consulting Team (MCT) of the United Nations Development Programme (UNDP) to facilitate the external functional review.</w:t>
      </w:r>
      <w:r w:rsidRPr="00C725CE">
        <w:t xml:space="preserve"> The engagement, formalized through a Letter of Understanding signed in April 2025, defined the objectives, scope, methodology, and deliverables of the review. The functional review was designed to assess the Secretariat’s structure, business processes, and resource allocation with a view to ensuring alignment with its core functions and strategic priorities as established by the COP. The scope of work focused on analysis and recommendations related to the Secretariat’s structure and functions of teams. This did not include a review of individual positions or the grading/classification of posts as this is proposed to be undertaken as part of the implementation phase following decisions on the overall direction of change.</w:t>
      </w:r>
    </w:p>
    <w:p w14:paraId="30C4CA90" w14:textId="77777777" w:rsidR="001C6D3B" w:rsidRPr="00C725CE" w:rsidRDefault="001C6D3B" w:rsidP="009E3FBE">
      <w:pPr>
        <w:pStyle w:val="Heading2"/>
        <w:numPr>
          <w:ilvl w:val="0"/>
          <w:numId w:val="0"/>
        </w:numPr>
        <w:spacing w:after="240"/>
        <w:ind w:left="567" w:hanging="567"/>
        <w:rPr>
          <w:rFonts w:ascii="Times New Roman" w:hAnsi="Times New Roman" w:cs="Times New Roman"/>
          <w:b w:val="0"/>
          <w:bCs/>
          <w:szCs w:val="24"/>
        </w:rPr>
      </w:pPr>
      <w:r w:rsidRPr="00C725CE">
        <w:rPr>
          <w:rFonts w:ascii="Times New Roman" w:hAnsi="Times New Roman" w:cs="Times New Roman"/>
          <w:bCs/>
          <w:szCs w:val="24"/>
        </w:rPr>
        <w:t>B. Methodology and approach</w:t>
      </w:r>
    </w:p>
    <w:p w14:paraId="089BD074"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pPr>
      <w:r w:rsidRPr="00C725CE">
        <w:t>The functional review was conducted over a six-month period, following a structured and participatory process designed to generate evidence-based findings and co-created recommendations. The process was divided into two main phases, namely analysis and design, implemented through two concurrent workstreams on Strategic Direction and Operating Model Design. Throughout the process, the team remained mindful of data limitations, including gaps in available metrics.</w:t>
      </w:r>
    </w:p>
    <w:p w14:paraId="6A0A6E0E"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pPr>
      <w:r w:rsidRPr="00C725CE">
        <w:t xml:space="preserve">The Analysis phase focused on developing a comprehensive understanding of the Secretariat’s current structure, functions, and resource </w:t>
      </w:r>
      <w:r w:rsidRPr="00DA0C94">
        <w:rPr>
          <w:color w:val="000000" w:themeColor="text1"/>
        </w:rPr>
        <w:t>allocation</w:t>
      </w:r>
      <w:r w:rsidRPr="00C725CE">
        <w:t xml:space="preserve"> (“as-is” state). This included a review of mandates, organizational charts, staff composition, funding sources, and key intergovernmental business processes, such as governing and subsidiary bodies data gaps or quality issues existed, the review drew on all available information while remaining aware of these limitations.</w:t>
      </w:r>
    </w:p>
    <w:p w14:paraId="332C4D04"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pPr>
      <w:r w:rsidRPr="00C725CE">
        <w:t xml:space="preserve">The Design phase built on the findings of the analysis to develop future-oriented recommendations for a fit-for-purpose structure and operating model (“to-be” state). This phase emphasized functional alignment, clarity of roles, integration across divisions, and coherence with the Secretariat’s strategic vision and COP decisions. </w:t>
      </w:r>
    </w:p>
    <w:p w14:paraId="40C00CAC"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pPr>
      <w:r w:rsidRPr="00C725CE">
        <w:t xml:space="preserve">The two workstreams were implemented as follows: (a) Strategic Direction: examined the Secretariat’s mandate, priorities, and positioning to ensure alignment with the Kunming–Montreal Global Biodiversity Framework and evolving expectations from Parties. This stream included internal consultations, workshops, and visioning sessions to </w:t>
      </w:r>
      <w:r w:rsidRPr="00DA0C94">
        <w:rPr>
          <w:color w:val="000000" w:themeColor="text1"/>
        </w:rPr>
        <w:t>articulate</w:t>
      </w:r>
      <w:r w:rsidRPr="00C725CE">
        <w:t xml:space="preserve"> the Secretariat’s desired future state; and (b) Operating Model Design: assessed key business processes, functions, and resource allocation to identify areas for improvement. The team analyzed workflows, reporting lines, interdependencies across divisions, and facilitated staff workshops to identify bottlenecks and propose solutions for improved coherence and effectiveness.</w:t>
      </w:r>
    </w:p>
    <w:p w14:paraId="47AC2C25"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pPr>
      <w:r w:rsidRPr="00C725CE">
        <w:lastRenderedPageBreak/>
        <w:t xml:space="preserve">The review employed mixed analytical methods, combining quantitative data analysis (performance indicators, staffing tables, budgets, work plans, resource allocation) with qualitative insights (staff interviews, focus groups, and document review). Comparative benchmarking was undertaken against selected multilateral environmental agreement (MEA) secretariats to identify practices in structure, governance, and resource management in similar organizations. </w:t>
      </w:r>
    </w:p>
    <w:p w14:paraId="601613DB"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pPr>
      <w:r w:rsidRPr="00C725CE">
        <w:t xml:space="preserve">Staff engagement was central to the review. Over the course of the engagement, the UNDP Management Consulting Team conducted consultations with senior leadership, unit-level focus groups with all staff, facilitated Secretariat-wide workshops, </w:t>
      </w:r>
      <w:r w:rsidRPr="00DA0C94">
        <w:rPr>
          <w:color w:val="000000" w:themeColor="text1"/>
        </w:rPr>
        <w:t>and</w:t>
      </w:r>
      <w:r w:rsidRPr="00C725CE">
        <w:t xml:space="preserve"> launched an all-staff survey to collect views on structure, functions, and ways of working. These activities ensured that the review reflected staff perspectives and fostered ownership of the process.</w:t>
      </w:r>
    </w:p>
    <w:p w14:paraId="2EF7E7A1"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pPr>
      <w:r w:rsidRPr="00C725CE">
        <w:t>Continuous consultation and validation were ensured through the Functional Review Internal Task Team and the Engagement Team, which provided technical and subject matter support throughout the process, fostering informed decision-making. Emerging findings were reviewed with the SCBD Senior Management Team and presented to the COP Bureau at key milestones for feedback and strategic guidance. This iterative validation helped mitigate the impact of data limitations by grounding findings in collective insights and expert judgment.</w:t>
      </w:r>
    </w:p>
    <w:p w14:paraId="32C84537"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pPr>
      <w:r w:rsidRPr="00C725CE">
        <w:t xml:space="preserve">Key outputs of the process include: (a) Diagnostic analysis of the Secretariat’s structure, functions, and resources; (b) Results of the staff survey and synthesis of focus group inputs; (c) A conference management business process map, draft standard operating procedure and improvement recommendations; (d) Workshop reports on strategic alignment, visioning, and operating model design; (e) A performance indicator </w:t>
      </w:r>
      <w:r w:rsidRPr="009818FA">
        <w:t xml:space="preserve">analysis; (f) An analysis of work </w:t>
      </w:r>
      <w:r w:rsidRPr="00DA0C94">
        <w:rPr>
          <w:color w:val="000000" w:themeColor="text1"/>
        </w:rPr>
        <w:t>undertaken</w:t>
      </w:r>
      <w:r w:rsidRPr="009818FA">
        <w:t xml:space="preserve"> by units by KMGBF targets</w:t>
      </w:r>
      <w:r w:rsidRPr="00C725CE">
        <w:t>; and (g) A draft proposal for a fit-for-purpose structure and operating model with accompanying implementation and change management considerations.</w:t>
      </w:r>
    </w:p>
    <w:p w14:paraId="48521341" w14:textId="77777777" w:rsidR="001C6D3B" w:rsidRPr="00C725CE" w:rsidRDefault="001C6D3B" w:rsidP="00DA0C94">
      <w:pPr>
        <w:pStyle w:val="ListParagraph"/>
        <w:numPr>
          <w:ilvl w:val="0"/>
          <w:numId w:val="60"/>
        </w:numPr>
        <w:tabs>
          <w:tab w:val="clear" w:pos="567"/>
          <w:tab w:val="clear" w:pos="1134"/>
          <w:tab w:val="clear" w:pos="1701"/>
          <w:tab w:val="clear" w:pos="2268"/>
        </w:tabs>
        <w:spacing w:after="160" w:line="278" w:lineRule="auto"/>
      </w:pPr>
      <w:r w:rsidRPr="00C725CE">
        <w:t xml:space="preserve">Together, these outputs form the analytical foundation for the functional review’s recommendations, which aim to strengthen the Secretariat’s ability to service the governing bodies effectively, deliver on its mandates, and support Parties in implementing the KMGBF. </w:t>
      </w:r>
    </w:p>
    <w:p w14:paraId="5A90F5AC" w14:textId="77777777" w:rsidR="001C6D3B" w:rsidRPr="00C725CE" w:rsidRDefault="001C6D3B" w:rsidP="00A04963">
      <w:pPr>
        <w:pStyle w:val="Heading2"/>
        <w:numPr>
          <w:ilvl w:val="0"/>
          <w:numId w:val="0"/>
        </w:numPr>
        <w:spacing w:after="240"/>
        <w:ind w:left="567" w:hanging="567"/>
        <w:rPr>
          <w:rFonts w:ascii="Times New Roman" w:hAnsi="Times New Roman" w:cs="Times New Roman"/>
          <w:b w:val="0"/>
          <w:bCs/>
          <w:szCs w:val="24"/>
        </w:rPr>
      </w:pPr>
      <w:r w:rsidRPr="00C725CE">
        <w:rPr>
          <w:rFonts w:ascii="Times New Roman" w:hAnsi="Times New Roman" w:cs="Times New Roman"/>
          <w:bCs/>
          <w:szCs w:val="24"/>
        </w:rPr>
        <w:t>C. Overview of key findings</w:t>
      </w:r>
    </w:p>
    <w:p w14:paraId="062DB675"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pPr>
      <w:r w:rsidRPr="00C725CE">
        <w:t xml:space="preserve">The functional review identified a range of institutional strengths and challenges across the Secretariat’s structure, resourcing, business processes, </w:t>
      </w:r>
      <w:r w:rsidRPr="00DA0C94">
        <w:rPr>
          <w:color w:val="000000" w:themeColor="text1"/>
        </w:rPr>
        <w:t>and</w:t>
      </w:r>
      <w:r w:rsidRPr="00C725CE">
        <w:t xml:space="preserve"> coordination mechanisms. The functional review confirmed that the Secretariat has maintained a strong record of delivery despite significant operational and resource pressures. It benefits from dedicated and technically skilled staff, a collaborative culture, and a consistent ability to meet Party expectations under demanding conditions. At the same time, the analysis identified several institutional areas where greater coherence, clarity, and integration would further strengthen the Secretariat’s performance and sustainability.</w:t>
      </w:r>
    </w:p>
    <w:p w14:paraId="55402335"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pPr>
      <w:r w:rsidRPr="00C725CE">
        <w:rPr>
          <w:rFonts w:eastAsia="Times New Roman"/>
        </w:rPr>
        <w:t xml:space="preserve">The functional review’s key </w:t>
      </w:r>
      <w:r w:rsidRPr="00DA0C94">
        <w:rPr>
          <w:color w:val="000000" w:themeColor="text1"/>
        </w:rPr>
        <w:t>findings</w:t>
      </w:r>
      <w:r w:rsidRPr="00C725CE">
        <w:rPr>
          <w:rFonts w:eastAsia="Times New Roman"/>
        </w:rPr>
        <w:t xml:space="preserve"> are as follows:</w:t>
      </w:r>
    </w:p>
    <w:p w14:paraId="708AA684" w14:textId="77777777" w:rsidR="001C6D3B" w:rsidRPr="00617309" w:rsidRDefault="001C6D3B" w:rsidP="002D33BE">
      <w:pPr>
        <w:pStyle w:val="Heading3"/>
        <w:numPr>
          <w:ilvl w:val="0"/>
          <w:numId w:val="0"/>
        </w:numPr>
        <w:ind w:left="567" w:hanging="567"/>
        <w:rPr>
          <w:b w:val="0"/>
          <w:bCs w:val="0"/>
        </w:rPr>
      </w:pPr>
      <w:r w:rsidRPr="00617309">
        <w:t>Structural and strategic alignment</w:t>
      </w:r>
    </w:p>
    <w:p w14:paraId="1222F677"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pPr>
      <w:r w:rsidRPr="00C725CE">
        <w:rPr>
          <w:rFonts w:eastAsia="Times New Roman"/>
        </w:rPr>
        <w:t>The Secretariat has made meaningful progress in supporting the goals and targets of the KMGBF, particularly through strong contributions to implementation, mainstreaming, and capacity-building. Mapping of Secretariat workstreams shows clear alignment with KMGBF priorities. At the same time, the current structure presents opportunities to strengthen coherence and better balance functions across the breadth of KMGBF targets. Enhancing coordination, clarifying institutional accountabilities and reinforcing strategic planning would help ensure that decisions, budgeting and resource mobilization are more closely aligned with strategic priorities.</w:t>
      </w:r>
    </w:p>
    <w:p w14:paraId="143B8288"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rsidRPr="00C725CE">
        <w:rPr>
          <w:rFonts w:eastAsia="Times New Roman"/>
        </w:rPr>
        <w:t xml:space="preserve">More specifically, the review resulted </w:t>
      </w:r>
      <w:r w:rsidRPr="00DA0C94">
        <w:rPr>
          <w:color w:val="000000" w:themeColor="text1"/>
        </w:rPr>
        <w:t>in</w:t>
      </w:r>
      <w:r w:rsidRPr="00C725CE">
        <w:rPr>
          <w:rFonts w:eastAsia="Times New Roman"/>
        </w:rPr>
        <w:t xml:space="preserve"> the following observations:</w:t>
      </w:r>
    </w:p>
    <w:p w14:paraId="4A0B649C" w14:textId="77777777" w:rsidR="001C6D3B" w:rsidRPr="00C725CE" w:rsidRDefault="001C6D3B" w:rsidP="008619CF">
      <w:pPr>
        <w:pStyle w:val="ListParagraph"/>
        <w:numPr>
          <w:ilvl w:val="1"/>
          <w:numId w:val="58"/>
        </w:numPr>
        <w:tabs>
          <w:tab w:val="clear" w:pos="567"/>
          <w:tab w:val="clear" w:pos="1134"/>
          <w:tab w:val="clear" w:pos="1701"/>
          <w:tab w:val="clear" w:pos="2268"/>
        </w:tabs>
        <w:spacing w:line="276" w:lineRule="auto"/>
        <w:rPr>
          <w:rFonts w:eastAsia="Times New Roman"/>
        </w:rPr>
      </w:pPr>
      <w:r w:rsidRPr="00C725CE">
        <w:rPr>
          <w:rFonts w:eastAsia="Times New Roman"/>
        </w:rPr>
        <w:t>There is strong potential to further integrate thematic work streams within capacity-building, knowledge management, and monitoring, reporting and review;</w:t>
      </w:r>
    </w:p>
    <w:p w14:paraId="321FA045" w14:textId="77777777" w:rsidR="001C6D3B" w:rsidRPr="00C725CE" w:rsidRDefault="001C6D3B" w:rsidP="008619CF">
      <w:pPr>
        <w:pStyle w:val="ListParagraph"/>
        <w:numPr>
          <w:ilvl w:val="1"/>
          <w:numId w:val="58"/>
        </w:numPr>
        <w:tabs>
          <w:tab w:val="clear" w:pos="567"/>
          <w:tab w:val="clear" w:pos="1134"/>
          <w:tab w:val="clear" w:pos="1701"/>
          <w:tab w:val="clear" w:pos="2268"/>
        </w:tabs>
        <w:spacing w:line="276" w:lineRule="auto"/>
        <w:rPr>
          <w:rFonts w:eastAsia="Times New Roman"/>
        </w:rPr>
      </w:pPr>
      <w:r w:rsidRPr="00C725CE">
        <w:rPr>
          <w:rFonts w:eastAsia="Times New Roman"/>
        </w:rPr>
        <w:lastRenderedPageBreak/>
        <w:t xml:space="preserve">Resource mobilization and stakeholder engagement functions would benefit from a more unified and strategic focus; </w:t>
      </w:r>
    </w:p>
    <w:p w14:paraId="02544A9E" w14:textId="77777777" w:rsidR="001C6D3B" w:rsidRPr="00C725CE" w:rsidRDefault="001C6D3B" w:rsidP="008619CF">
      <w:pPr>
        <w:pStyle w:val="ListParagraph"/>
        <w:numPr>
          <w:ilvl w:val="1"/>
          <w:numId w:val="58"/>
        </w:numPr>
        <w:tabs>
          <w:tab w:val="clear" w:pos="567"/>
          <w:tab w:val="clear" w:pos="1134"/>
          <w:tab w:val="clear" w:pos="1701"/>
          <w:tab w:val="clear" w:pos="2268"/>
        </w:tabs>
        <w:spacing w:line="276" w:lineRule="auto"/>
        <w:rPr>
          <w:rFonts w:eastAsia="Times New Roman"/>
        </w:rPr>
      </w:pPr>
      <w:r w:rsidRPr="00C725CE">
        <w:rPr>
          <w:rFonts w:eastAsia="Times New Roman"/>
        </w:rPr>
        <w:t>Conference services could be strengthened to ensure sustainable and efficient support in view of resource constraints and a growth in servicing requirements over the past years;</w:t>
      </w:r>
    </w:p>
    <w:p w14:paraId="76BF30D0" w14:textId="77777777" w:rsidR="001C6D3B" w:rsidRPr="00C725CE" w:rsidRDefault="001C6D3B" w:rsidP="008619CF">
      <w:pPr>
        <w:pStyle w:val="ListParagraph"/>
        <w:numPr>
          <w:ilvl w:val="1"/>
          <w:numId w:val="58"/>
        </w:numPr>
        <w:tabs>
          <w:tab w:val="clear" w:pos="567"/>
          <w:tab w:val="clear" w:pos="1134"/>
          <w:tab w:val="clear" w:pos="1701"/>
          <w:tab w:val="clear" w:pos="2268"/>
        </w:tabs>
        <w:spacing w:line="276" w:lineRule="auto"/>
        <w:rPr>
          <w:rFonts w:eastAsia="Times New Roman"/>
        </w:rPr>
      </w:pPr>
      <w:r w:rsidRPr="00C725CE">
        <w:rPr>
          <w:rFonts w:eastAsia="Times New Roman"/>
        </w:rPr>
        <w:t>IT services, currently distributed over several units, present opportunities for more integrated digital support;</w:t>
      </w:r>
    </w:p>
    <w:p w14:paraId="1FC09C38" w14:textId="66A74848" w:rsidR="001C6D3B" w:rsidRPr="00C725CE" w:rsidRDefault="001C6D3B" w:rsidP="008619CF">
      <w:pPr>
        <w:pStyle w:val="ListParagraph"/>
        <w:numPr>
          <w:ilvl w:val="1"/>
          <w:numId w:val="58"/>
        </w:numPr>
        <w:tabs>
          <w:tab w:val="clear" w:pos="567"/>
          <w:tab w:val="clear" w:pos="1134"/>
          <w:tab w:val="clear" w:pos="1701"/>
          <w:tab w:val="clear" w:pos="2268"/>
        </w:tabs>
        <w:spacing w:line="276" w:lineRule="auto"/>
        <w:rPr>
          <w:rFonts w:eastAsia="Times New Roman"/>
        </w:rPr>
      </w:pPr>
      <w:r w:rsidRPr="00C725CE">
        <w:rPr>
          <w:rFonts w:eastAsia="Times New Roman"/>
        </w:rPr>
        <w:t>The Results-Based Budget (RBB) framework, while in place, could be more fully leveraged to support integrated planning, budgeting, prioritization and reporting.</w:t>
      </w:r>
    </w:p>
    <w:p w14:paraId="1B638168" w14:textId="77777777" w:rsidR="001C6D3B" w:rsidRPr="00617309" w:rsidRDefault="001C6D3B" w:rsidP="002D33BE">
      <w:pPr>
        <w:pStyle w:val="Heading3"/>
        <w:numPr>
          <w:ilvl w:val="0"/>
          <w:numId w:val="0"/>
        </w:numPr>
        <w:ind w:left="567" w:hanging="567"/>
        <w:rPr>
          <w:b w:val="0"/>
          <w:bCs w:val="0"/>
        </w:rPr>
      </w:pPr>
      <w:r w:rsidRPr="00617309">
        <w:t>Cross-cutting coherence</w:t>
      </w:r>
    </w:p>
    <w:p w14:paraId="53684414"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rsidRPr="00C725CE">
        <w:rPr>
          <w:rFonts w:eastAsia="Times New Roman"/>
        </w:rPr>
        <w:t xml:space="preserve">While collaboration within teams is strong, coordination across divisions and units can be further improved. Current mechanisms for cross-Secretariat planning and information-sharing can be improved to enhance coordination and collaboration, supporting more integrated work across functional areas and enabling more efficient use of resources. Furthermore, enhancing internal communication and embedding consistent change management </w:t>
      </w:r>
      <w:r w:rsidRPr="00DA0C94">
        <w:rPr>
          <w:color w:val="000000" w:themeColor="text1"/>
        </w:rPr>
        <w:t>practices</w:t>
      </w:r>
      <w:r w:rsidRPr="00C725CE">
        <w:rPr>
          <w:rFonts w:eastAsia="Times New Roman"/>
        </w:rPr>
        <w:t xml:space="preserve"> would help reinforce collective ownership and institutional coherence.</w:t>
      </w:r>
    </w:p>
    <w:p w14:paraId="6208902D" w14:textId="77777777" w:rsidR="001C6D3B" w:rsidRPr="00617309" w:rsidRDefault="001C6D3B" w:rsidP="002D33BE">
      <w:pPr>
        <w:pStyle w:val="Heading3"/>
        <w:numPr>
          <w:ilvl w:val="0"/>
          <w:numId w:val="0"/>
        </w:numPr>
        <w:ind w:left="567" w:hanging="567"/>
        <w:rPr>
          <w:b w:val="0"/>
          <w:bCs w:val="0"/>
        </w:rPr>
      </w:pPr>
      <w:r w:rsidRPr="00617309">
        <w:t>Empowerment and accountability</w:t>
      </w:r>
    </w:p>
    <w:p w14:paraId="7D8FF12D"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rsidRPr="00C725CE">
        <w:rPr>
          <w:rFonts w:eastAsia="Times New Roman"/>
        </w:rPr>
        <w:t xml:space="preserve">At the executive level, delegated authority for procurement is limited and has not kept up with price inflation over the past decade, thereby limiting executive authority and leading to cumbersome administrative processes. More </w:t>
      </w:r>
      <w:r w:rsidRPr="00DA0C94">
        <w:rPr>
          <w:color w:val="000000" w:themeColor="text1"/>
        </w:rPr>
        <w:t>generally</w:t>
      </w:r>
      <w:r w:rsidRPr="00C725CE">
        <w:rPr>
          <w:rFonts w:eastAsia="Times New Roman"/>
        </w:rPr>
        <w:t>, the level of dependence on the United Nations Environment Programme (UNEP) and the United Nations Office at Nairobi (UNON) for administrative and operational functions can lengthen processing times and reduce Secretariat flexibility and agility when it comes to administrative transactions.</w:t>
      </w:r>
    </w:p>
    <w:p w14:paraId="16243B98" w14:textId="77777777" w:rsidR="001C6D3B" w:rsidRPr="00617309" w:rsidRDefault="001C6D3B" w:rsidP="002D33BE">
      <w:pPr>
        <w:pStyle w:val="Heading3"/>
        <w:numPr>
          <w:ilvl w:val="0"/>
          <w:numId w:val="0"/>
        </w:numPr>
        <w:ind w:left="567" w:hanging="567"/>
        <w:rPr>
          <w:b w:val="0"/>
          <w:bCs w:val="0"/>
        </w:rPr>
      </w:pPr>
      <w:r w:rsidRPr="00617309">
        <w:t>Human resource capacity and resourcing</w:t>
      </w:r>
    </w:p>
    <w:p w14:paraId="070EED98" w14:textId="77777777" w:rsidR="001C6D3B" w:rsidRPr="00A26343"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rsidRPr="00C725CE">
        <w:rPr>
          <w:rFonts w:eastAsia="Times New Roman"/>
        </w:rPr>
        <w:t xml:space="preserve">As noted above, over the past decade, Secretariat staffing levels have stagnated, while the scope and volume of work have expanded substantially. This development has led to ad-hoc arrangements with staff taking on extra duties, the use of short-term contractors to fill gaps and work overload in some areas, particularly at peak times. The lack of staff resources has, in part, been aggravated by delays in recruitment. Ensuring </w:t>
      </w:r>
      <w:r w:rsidRPr="00A26343">
        <w:rPr>
          <w:rFonts w:eastAsia="Times New Roman"/>
        </w:rPr>
        <w:t>adequate staffing and HR capacity is necessary to improve recruitment and onboarding thus supporting a more sustainable distribution of workload, and the ability for the Secretariat to meet its mandated functions while safeguarding staff wellbeing.</w:t>
      </w:r>
    </w:p>
    <w:p w14:paraId="62BD9C9C" w14:textId="77777777" w:rsidR="001C6D3B" w:rsidRPr="00617309" w:rsidRDefault="001C6D3B" w:rsidP="00507DC7">
      <w:pPr>
        <w:pStyle w:val="Heading3"/>
        <w:numPr>
          <w:ilvl w:val="0"/>
          <w:numId w:val="0"/>
        </w:numPr>
        <w:ind w:left="567" w:hanging="567"/>
        <w:rPr>
          <w:b w:val="0"/>
          <w:bCs w:val="0"/>
        </w:rPr>
      </w:pPr>
      <w:r w:rsidRPr="00617309">
        <w:t>Performance Metrics</w:t>
      </w:r>
    </w:p>
    <w:p w14:paraId="1F2DF5F3" w14:textId="77777777" w:rsidR="001C6D3B" w:rsidRPr="00A26343"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rsidRPr="00A26343">
        <w:rPr>
          <w:rFonts w:eastAsia="Times New Roman"/>
        </w:rPr>
        <w:t xml:space="preserve">While the Secretariat has established comprehensive planning and reporting mechanisms for intergovernmental processes linked to the COP and its subsidiary bodies, internal performance tracking across the Secretariat could be strengthened. The absence of a Secretariat-wide performance measurement framework and performance metrics </w:t>
      </w:r>
      <w:r w:rsidRPr="00DA0C94">
        <w:rPr>
          <w:color w:val="000000" w:themeColor="text1"/>
        </w:rPr>
        <w:t>and</w:t>
      </w:r>
      <w:r w:rsidRPr="00A26343">
        <w:rPr>
          <w:rFonts w:eastAsia="Times New Roman"/>
        </w:rPr>
        <w:t xml:space="preserve"> quality data proved to be a challenge for the Functional Review, but also creates ongoing challenges for the SCBD, namely in strategic planning, prioritization, accountability, and, importantly, in providing evidence to support budget requests, staffing adjustments and process improvements. </w:t>
      </w:r>
      <w:bookmarkStart w:id="2" w:name="_Hlk217052903"/>
      <w:r w:rsidRPr="00A26343">
        <w:rPr>
          <w:rFonts w:eastAsia="Times New Roman"/>
        </w:rPr>
        <w:t>At the same time, several units—such as Editorial and Language Unit, DevOps, HR, IT, Travel and Procurement have developed team-level performance metrics that provide a strong foundation and useful starting point for building a more coherent Secretariat-wide performance measurement framework</w:t>
      </w:r>
      <w:bookmarkEnd w:id="2"/>
      <w:r w:rsidRPr="00A26343">
        <w:rPr>
          <w:rFonts w:eastAsia="Times New Roman"/>
        </w:rPr>
        <w:t xml:space="preserve">. </w:t>
      </w:r>
    </w:p>
    <w:p w14:paraId="4141269F" w14:textId="77777777" w:rsidR="001C6D3B" w:rsidRPr="00617309" w:rsidRDefault="001C6D3B" w:rsidP="00507DC7">
      <w:pPr>
        <w:pStyle w:val="Heading3"/>
        <w:numPr>
          <w:ilvl w:val="0"/>
          <w:numId w:val="0"/>
        </w:numPr>
        <w:ind w:left="567" w:hanging="567"/>
        <w:rPr>
          <w:b w:val="0"/>
          <w:bCs w:val="0"/>
        </w:rPr>
      </w:pPr>
      <w:r w:rsidRPr="00617309">
        <w:t>Ways of working</w:t>
      </w:r>
    </w:p>
    <w:p w14:paraId="7B737634"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rsidRPr="00C725CE">
        <w:rPr>
          <w:rFonts w:eastAsia="Times New Roman"/>
        </w:rPr>
        <w:t xml:space="preserve">The COP determines the core budget on a two-year cycle, and many activities depend on voluntary contributions which creates uncertainties and challenges in planning and executing work. Currently, the Secretariat lacks a comprehensive </w:t>
      </w:r>
      <w:r w:rsidRPr="00DA0C94">
        <w:rPr>
          <w:color w:val="000000" w:themeColor="text1"/>
        </w:rPr>
        <w:t>approach</w:t>
      </w:r>
      <w:r w:rsidRPr="00C725CE">
        <w:rPr>
          <w:rFonts w:eastAsia="Times New Roman"/>
        </w:rPr>
        <w:t xml:space="preserve"> to strategic planning that effectively integrates long-term budgetary considerations with programmatic priorities. This disconnect hinders alignment of divisional and unit-level work with the Secretariat’s overarching goals and priorities. </w:t>
      </w:r>
    </w:p>
    <w:p w14:paraId="3BD982D0" w14:textId="77777777" w:rsidR="001C6D3B" w:rsidRPr="00C725CE" w:rsidRDefault="001C6D3B" w:rsidP="00507DC7">
      <w:pPr>
        <w:pStyle w:val="Heading2"/>
        <w:numPr>
          <w:ilvl w:val="0"/>
          <w:numId w:val="0"/>
        </w:numPr>
        <w:ind w:left="567" w:hanging="567"/>
        <w:rPr>
          <w:rFonts w:ascii="Times New Roman" w:hAnsi="Times New Roman" w:cs="Times New Roman"/>
          <w:b w:val="0"/>
          <w:szCs w:val="24"/>
        </w:rPr>
      </w:pPr>
      <w:r w:rsidRPr="00C725CE">
        <w:rPr>
          <w:rFonts w:ascii="Times New Roman" w:hAnsi="Times New Roman" w:cs="Times New Roman"/>
          <w:bCs/>
          <w:szCs w:val="24"/>
        </w:rPr>
        <w:lastRenderedPageBreak/>
        <w:t>D. Key recommendations and proposed functional model</w:t>
      </w:r>
    </w:p>
    <w:p w14:paraId="227C26C1"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rsidRPr="00C725CE">
        <w:rPr>
          <w:rFonts w:eastAsia="Times New Roman"/>
        </w:rPr>
        <w:t xml:space="preserve">The functional review produced several recommendations grouped under seven interrelated opportunity areas. Together, these recommendations aim to strengthen the Secretariat’s structure, systems, and working methods to enhance coherence, </w:t>
      </w:r>
      <w:r w:rsidRPr="00DA0C94">
        <w:rPr>
          <w:color w:val="000000" w:themeColor="text1"/>
        </w:rPr>
        <w:t>accountability</w:t>
      </w:r>
      <w:r w:rsidRPr="00C725CE">
        <w:rPr>
          <w:rFonts w:eastAsia="Times New Roman"/>
        </w:rPr>
        <w:t>, and alignment with the KMGBF.</w:t>
      </w:r>
    </w:p>
    <w:p w14:paraId="3C8C49B8" w14:textId="77777777" w:rsidR="001C6D3B" w:rsidRPr="00C725CE" w:rsidRDefault="001C6D3B" w:rsidP="00507DC7">
      <w:pPr>
        <w:pStyle w:val="Heading3"/>
        <w:numPr>
          <w:ilvl w:val="0"/>
          <w:numId w:val="0"/>
        </w:numPr>
        <w:spacing w:beforeLines="100" w:before="240" w:after="0"/>
        <w:ind w:left="567" w:hanging="567"/>
        <w:rPr>
          <w:rFonts w:eastAsia="Times New Roman"/>
          <w:b w:val="0"/>
        </w:rPr>
      </w:pPr>
      <w:r w:rsidRPr="00C725CE">
        <w:rPr>
          <w:rFonts w:eastAsia="Times New Roman"/>
        </w:rPr>
        <w:t>a. Structural and strategic alignment</w:t>
      </w:r>
    </w:p>
    <w:p w14:paraId="08F1BA64" w14:textId="77777777" w:rsidR="001C6D3B" w:rsidRPr="00A26343"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rsidRPr="00C725CE">
        <w:rPr>
          <w:rFonts w:eastAsia="Times New Roman"/>
        </w:rPr>
        <w:t xml:space="preserve">The review recommends realigning the Secretariat’s functions and structures to better reflect the four goals and 23 targets of the KMGBF </w:t>
      </w:r>
      <w:r w:rsidRPr="00DA0C94">
        <w:rPr>
          <w:color w:val="000000" w:themeColor="text1"/>
        </w:rPr>
        <w:t>and</w:t>
      </w:r>
      <w:r w:rsidRPr="00C725CE">
        <w:rPr>
          <w:rFonts w:eastAsia="Times New Roman"/>
        </w:rPr>
        <w:t xml:space="preserve"> ensure improved coherence in servicing the Convention and its Protocols. This includes clarifying linkages between programmatic and cross-cutting functions and ensuring that </w:t>
      </w:r>
      <w:r w:rsidRPr="00A26343">
        <w:rPr>
          <w:rFonts w:eastAsia="Times New Roman"/>
        </w:rPr>
        <w:t xml:space="preserve">related activities are organized under consistent reporting lines. Strengthening functional alignment will improve coordination, clarify accountability, and enable the Secretariat to deliver more cohesive support to Parties under the KMGBF. </w:t>
      </w:r>
      <w:r w:rsidRPr="00A26343">
        <w:t xml:space="preserve">The specific structural changes underpinning these recommendations, including the </w:t>
      </w:r>
      <w:r w:rsidRPr="00617309">
        <w:t>reorganization</w:t>
      </w:r>
      <w:r w:rsidRPr="00A26343">
        <w:t xml:space="preserve"> and reallocation of units, are set out in </w:t>
      </w:r>
      <w:r w:rsidRPr="00A26343">
        <w:rPr>
          <w:rStyle w:val="Strong"/>
        </w:rPr>
        <w:t>the annex.</w:t>
      </w:r>
    </w:p>
    <w:p w14:paraId="5456B63A"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rsidRPr="00C725CE">
        <w:rPr>
          <w:rFonts w:eastAsia="Times New Roman"/>
        </w:rPr>
        <w:t xml:space="preserve">More specifically, it is recommended to make structural adjustments guided by the following six functional groupings in addition to the </w:t>
      </w:r>
      <w:r w:rsidRPr="00DA0C94">
        <w:rPr>
          <w:color w:val="000000" w:themeColor="text1"/>
        </w:rPr>
        <w:t>overall</w:t>
      </w:r>
      <w:r w:rsidRPr="00C725CE">
        <w:rPr>
          <w:rFonts w:eastAsia="Times New Roman"/>
        </w:rPr>
        <w:t xml:space="preserve"> executive management and executive management support functions: </w:t>
      </w:r>
    </w:p>
    <w:p w14:paraId="1D99C1F0" w14:textId="3A8CE4F2" w:rsidR="001C6D3B" w:rsidRPr="00C725CE" w:rsidRDefault="001C6D3B" w:rsidP="008619CF">
      <w:pPr>
        <w:pStyle w:val="ListParagraph"/>
        <w:numPr>
          <w:ilvl w:val="1"/>
          <w:numId w:val="59"/>
        </w:numPr>
        <w:tabs>
          <w:tab w:val="clear" w:pos="567"/>
          <w:tab w:val="clear" w:pos="1134"/>
          <w:tab w:val="clear" w:pos="1701"/>
          <w:tab w:val="clear" w:pos="2268"/>
        </w:tabs>
        <w:spacing w:line="276" w:lineRule="auto"/>
        <w:rPr>
          <w:rFonts w:eastAsia="Times New Roman"/>
        </w:rPr>
      </w:pPr>
      <w:r w:rsidRPr="00C725CE">
        <w:rPr>
          <w:rFonts w:eastAsia="Times New Roman"/>
        </w:rPr>
        <w:t>Policy, Capacity and Monitoring, an integrated division focused on delivering on the KMGBF goals and targets, encompassing thematic Support, including all work related to programmatic, scientific, technical and policy support, and work related to capacity-building, National Biodiversity Strategies and Action Plans (NBSAPs), Technical and Scientific Cooperation (TSC) and Clearing-House (CH) mechanisms, and monitoring, review and reporting</w:t>
      </w:r>
    </w:p>
    <w:p w14:paraId="2EB1D91F" w14:textId="77777777" w:rsidR="001C6D3B" w:rsidRPr="00C725CE" w:rsidRDefault="001C6D3B" w:rsidP="008619CF">
      <w:pPr>
        <w:pStyle w:val="ListParagraph"/>
        <w:numPr>
          <w:ilvl w:val="1"/>
          <w:numId w:val="59"/>
        </w:numPr>
        <w:tabs>
          <w:tab w:val="clear" w:pos="567"/>
          <w:tab w:val="clear" w:pos="1134"/>
          <w:tab w:val="clear" w:pos="1701"/>
          <w:tab w:val="clear" w:pos="2268"/>
        </w:tabs>
        <w:spacing w:line="276" w:lineRule="auto"/>
        <w:rPr>
          <w:rFonts w:eastAsia="Times New Roman"/>
          <w:color w:val="000000" w:themeColor="text1"/>
        </w:rPr>
      </w:pPr>
      <w:r w:rsidRPr="00C725CE">
        <w:rPr>
          <w:rFonts w:eastAsia="Times New Roman"/>
        </w:rPr>
        <w:t>Strategic</w:t>
      </w:r>
      <w:r w:rsidRPr="00C725CE">
        <w:rPr>
          <w:rFonts w:eastAsia="Times New Roman"/>
          <w:color w:val="000000" w:themeColor="text1"/>
        </w:rPr>
        <w:t xml:space="preserve"> Partnerships, Financing &amp; Economy, an integrated division focused on work related to resource mobilization and economic integration of biodiversity targets, engagement with non-Party actors</w:t>
      </w:r>
    </w:p>
    <w:p w14:paraId="77E3584B" w14:textId="77777777" w:rsidR="001C6D3B" w:rsidRPr="00617309" w:rsidRDefault="001C6D3B" w:rsidP="008619CF">
      <w:pPr>
        <w:pStyle w:val="ListParagraph"/>
        <w:numPr>
          <w:ilvl w:val="1"/>
          <w:numId w:val="59"/>
        </w:numPr>
        <w:tabs>
          <w:tab w:val="clear" w:pos="567"/>
          <w:tab w:val="clear" w:pos="1134"/>
          <w:tab w:val="clear" w:pos="1701"/>
          <w:tab w:val="clear" w:pos="2268"/>
        </w:tabs>
        <w:spacing w:line="276" w:lineRule="auto"/>
        <w:rPr>
          <w:rFonts w:eastAsia="Times New Roman"/>
        </w:rPr>
      </w:pPr>
      <w:r w:rsidRPr="00C725CE">
        <w:rPr>
          <w:rFonts w:eastAsia="Times New Roman"/>
        </w:rPr>
        <w:t>Protocols, dedicated to servicing COP-MOPs and compliance committees for both Biosafety and ABS</w:t>
      </w:r>
    </w:p>
    <w:p w14:paraId="67BF33DF" w14:textId="77777777" w:rsidR="001C6D3B" w:rsidRPr="00617309" w:rsidRDefault="001C6D3B" w:rsidP="008619CF">
      <w:pPr>
        <w:pStyle w:val="ListParagraph"/>
        <w:numPr>
          <w:ilvl w:val="1"/>
          <w:numId w:val="59"/>
        </w:numPr>
        <w:tabs>
          <w:tab w:val="clear" w:pos="567"/>
          <w:tab w:val="clear" w:pos="1134"/>
          <w:tab w:val="clear" w:pos="1701"/>
          <w:tab w:val="clear" w:pos="2268"/>
        </w:tabs>
        <w:spacing w:line="276" w:lineRule="auto"/>
        <w:rPr>
          <w:rFonts w:eastAsia="Times New Roman"/>
        </w:rPr>
      </w:pPr>
      <w:r w:rsidRPr="00C725CE">
        <w:rPr>
          <w:rFonts w:eastAsia="Times New Roman"/>
        </w:rPr>
        <w:t>Intergovernmental Meetings Support, supporting the formal and informal meetings of the intergovernmental process</w:t>
      </w:r>
    </w:p>
    <w:p w14:paraId="2D35F151" w14:textId="77777777" w:rsidR="001C6D3B" w:rsidRPr="00C725CE" w:rsidRDefault="001C6D3B" w:rsidP="008619CF">
      <w:pPr>
        <w:pStyle w:val="ListParagraph"/>
        <w:numPr>
          <w:ilvl w:val="1"/>
          <w:numId w:val="59"/>
        </w:numPr>
        <w:tabs>
          <w:tab w:val="clear" w:pos="567"/>
          <w:tab w:val="clear" w:pos="1134"/>
          <w:tab w:val="clear" w:pos="1701"/>
          <w:tab w:val="clear" w:pos="2268"/>
        </w:tabs>
        <w:spacing w:line="276" w:lineRule="auto"/>
        <w:rPr>
          <w:rFonts w:eastAsia="Times New Roman"/>
        </w:rPr>
      </w:pPr>
      <w:r w:rsidRPr="00C725CE">
        <w:rPr>
          <w:rFonts w:eastAsia="Times New Roman"/>
          <w:color w:val="000000" w:themeColor="text1"/>
        </w:rPr>
        <w:t xml:space="preserve">Administrative and Operational Support, </w:t>
      </w:r>
      <w:r w:rsidRPr="00C725CE">
        <w:rPr>
          <w:rFonts w:eastAsia="Times New Roman"/>
        </w:rPr>
        <w:t xml:space="preserve">including all administrative support to Secretariat operations </w:t>
      </w:r>
    </w:p>
    <w:p w14:paraId="09777B35" w14:textId="77777777" w:rsidR="001C6D3B" w:rsidRPr="00C725CE" w:rsidRDefault="001C6D3B" w:rsidP="008619CF">
      <w:pPr>
        <w:pStyle w:val="ListParagraph"/>
        <w:numPr>
          <w:ilvl w:val="1"/>
          <w:numId w:val="59"/>
        </w:numPr>
        <w:tabs>
          <w:tab w:val="clear" w:pos="567"/>
          <w:tab w:val="clear" w:pos="1134"/>
          <w:tab w:val="clear" w:pos="1701"/>
          <w:tab w:val="clear" w:pos="2268"/>
        </w:tabs>
        <w:spacing w:line="276" w:lineRule="auto"/>
        <w:rPr>
          <w:rFonts w:eastAsia="Times New Roman"/>
          <w:color w:val="000000" w:themeColor="text1"/>
        </w:rPr>
      </w:pPr>
      <w:r w:rsidRPr="00C725CE">
        <w:rPr>
          <w:rFonts w:eastAsia="Times New Roman"/>
        </w:rPr>
        <w:t>IT and Digital Transformation, including Digital Solutions, IT infrastructure management, and IT support for clearing houses, and corporate</w:t>
      </w:r>
      <w:r w:rsidRPr="00C725CE">
        <w:rPr>
          <w:rFonts w:eastAsia="Times New Roman"/>
          <w:color w:val="000000" w:themeColor="text1"/>
        </w:rPr>
        <w:t xml:space="preserve"> knowledge management</w:t>
      </w:r>
    </w:p>
    <w:p w14:paraId="47BE5E5F" w14:textId="77777777" w:rsidR="001C6D3B" w:rsidRPr="00C725CE" w:rsidRDefault="001C6D3B" w:rsidP="008619CF">
      <w:pPr>
        <w:pStyle w:val="ListParagraph"/>
        <w:numPr>
          <w:ilvl w:val="1"/>
          <w:numId w:val="59"/>
        </w:numPr>
        <w:tabs>
          <w:tab w:val="clear" w:pos="567"/>
          <w:tab w:val="clear" w:pos="1134"/>
          <w:tab w:val="clear" w:pos="1701"/>
          <w:tab w:val="clear" w:pos="2268"/>
        </w:tabs>
        <w:spacing w:line="276" w:lineRule="auto"/>
        <w:rPr>
          <w:rFonts w:eastAsia="Times New Roman"/>
          <w:color w:val="000000" w:themeColor="text1"/>
        </w:rPr>
      </w:pPr>
      <w:r w:rsidRPr="00C725CE">
        <w:rPr>
          <w:rFonts w:eastAsia="Times New Roman"/>
        </w:rPr>
        <w:t xml:space="preserve">Japan Biodiversity Fund, </w:t>
      </w:r>
    </w:p>
    <w:p w14:paraId="78A9162B"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color w:val="000000" w:themeColor="text1"/>
        </w:rPr>
      </w:pPr>
      <w:r w:rsidRPr="00C725CE">
        <w:rPr>
          <w:rFonts w:eastAsia="Times New Roman"/>
          <w:color w:val="000000" w:themeColor="text1"/>
        </w:rPr>
        <w:t xml:space="preserve">The review recommends the </w:t>
      </w:r>
      <w:r w:rsidRPr="00DA0C94">
        <w:rPr>
          <w:color w:val="000000" w:themeColor="text1"/>
        </w:rPr>
        <w:t>following</w:t>
      </w:r>
      <w:r w:rsidRPr="00C725CE">
        <w:rPr>
          <w:rFonts w:eastAsia="Times New Roman"/>
          <w:color w:val="000000" w:themeColor="text1"/>
        </w:rPr>
        <w:t xml:space="preserve"> specific changes to the current Secretariat structure:</w:t>
      </w:r>
    </w:p>
    <w:p w14:paraId="50813DB5" w14:textId="77777777" w:rsidR="001C6D3B" w:rsidRPr="00C725CE" w:rsidRDefault="001C6D3B" w:rsidP="00DD157A">
      <w:pPr>
        <w:pStyle w:val="Heading4"/>
        <w:numPr>
          <w:ilvl w:val="0"/>
          <w:numId w:val="0"/>
        </w:numPr>
        <w:ind w:left="567" w:hanging="567"/>
        <w:rPr>
          <w:rFonts w:eastAsia="Times New Roman"/>
          <w:b w:val="0"/>
          <w:bCs w:val="0"/>
          <w:i/>
          <w:iCs/>
          <w:color w:val="000000" w:themeColor="text1"/>
        </w:rPr>
      </w:pPr>
      <w:r w:rsidRPr="00C725CE">
        <w:rPr>
          <w:rFonts w:eastAsia="Times New Roman"/>
          <w:color w:val="000000" w:themeColor="text1"/>
        </w:rPr>
        <w:t>Office of Executive Secretary</w:t>
      </w:r>
    </w:p>
    <w:p w14:paraId="0CAD7589"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rsidRPr="00C725CE">
        <w:rPr>
          <w:rFonts w:eastAsia="Times New Roman"/>
          <w:color w:val="000000" w:themeColor="text1"/>
        </w:rPr>
        <w:t xml:space="preserve">Strengthen </w:t>
      </w:r>
      <w:r w:rsidRPr="00C725CE">
        <w:rPr>
          <w:rFonts w:eastAsia="Times New Roman"/>
        </w:rPr>
        <w:t>budgetary</w:t>
      </w:r>
      <w:r w:rsidRPr="00C725CE">
        <w:rPr>
          <w:rFonts w:eastAsia="Times New Roman"/>
          <w:color w:val="000000" w:themeColor="text1"/>
        </w:rPr>
        <w:t xml:space="preserve"> planning and monitoring by moving and strengthening the Programme Management Unit currently housed in the </w:t>
      </w:r>
      <w:r w:rsidRPr="00DA0C94">
        <w:rPr>
          <w:color w:val="000000" w:themeColor="text1"/>
        </w:rPr>
        <w:t>Administration</w:t>
      </w:r>
      <w:r w:rsidRPr="00C725CE">
        <w:rPr>
          <w:rFonts w:eastAsia="Times New Roman"/>
          <w:color w:val="000000" w:themeColor="text1"/>
        </w:rPr>
        <w:t xml:space="preserve"> Division to </w:t>
      </w:r>
      <w:r w:rsidRPr="00C725CE">
        <w:rPr>
          <w:rFonts w:eastAsia="Times New Roman"/>
        </w:rPr>
        <w:t xml:space="preserve">the Office of the Executive Secretary to support the effective use of the Results-Based Budgeting and Planning (RBBP) framework as the Secretariat’s central strategic management tool for implementing the KMGBF and aligning resources with COP and Protocol decisions. </w:t>
      </w:r>
    </w:p>
    <w:p w14:paraId="36F4C699" w14:textId="77777777" w:rsidR="001C6D3B" w:rsidRPr="00C725CE" w:rsidRDefault="001C6D3B" w:rsidP="00507DC7">
      <w:pPr>
        <w:pStyle w:val="Heading4"/>
        <w:numPr>
          <w:ilvl w:val="0"/>
          <w:numId w:val="0"/>
        </w:numPr>
        <w:ind w:left="567" w:hanging="567"/>
        <w:rPr>
          <w:rFonts w:eastAsia="Times New Roman"/>
          <w:b w:val="0"/>
        </w:rPr>
      </w:pPr>
      <w:bookmarkStart w:id="3" w:name="_Hlk215164287"/>
      <w:r w:rsidRPr="00C725CE">
        <w:rPr>
          <w:rFonts w:eastAsia="Times New Roman"/>
        </w:rPr>
        <w:t>Policy, Capacity and Monitoring Division</w:t>
      </w:r>
    </w:p>
    <w:bookmarkEnd w:id="3"/>
    <w:p w14:paraId="5BD8CF5B"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rsidRPr="00C725CE">
        <w:rPr>
          <w:rFonts w:eastAsia="Times New Roman"/>
        </w:rPr>
        <w:t>Provide a clearer focus on Secretariat programmatic, scientific, technical and policy support in areas central to the KMGBF, including work on biome-based Programmes of Work, reducing threats to biodiversity, and promoting sustainable use and traditional knowledge, by bundling related staff resources in one division with expertise in the current Biodiversity, Science, Policy and Governance (BSPG) Unit forming the core capability.</w:t>
      </w:r>
    </w:p>
    <w:p w14:paraId="022F91A0" w14:textId="77777777" w:rsidR="001C6D3B" w:rsidRPr="00617309"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rsidRPr="00C725CE">
        <w:rPr>
          <w:rFonts w:eastAsia="Times New Roman"/>
        </w:rPr>
        <w:lastRenderedPageBreak/>
        <w:t>Make better use of synergies in support of key cross-cutting implementation functions such as capacity-building, NBSAPs, TSC and CH mechanisms, and monitoring, review and reporting by bundling related staff resources in one division, with expertise in the current Capacity Building (CB) and Knowledge Management (KM) Units, and the Monitoring Review and National Reporting Unit (MRNR)</w:t>
      </w:r>
      <w:r w:rsidRPr="00C725CE">
        <w:rPr>
          <w:rFonts w:eastAsia="Times New Roman"/>
          <w:color w:val="000000" w:themeColor="text1"/>
        </w:rPr>
        <w:t>.</w:t>
      </w:r>
    </w:p>
    <w:p w14:paraId="6E930BB8" w14:textId="77777777" w:rsidR="001C6D3B" w:rsidRPr="00C725CE" w:rsidRDefault="001C6D3B" w:rsidP="00507DC7">
      <w:pPr>
        <w:pStyle w:val="Heading4"/>
        <w:numPr>
          <w:ilvl w:val="0"/>
          <w:numId w:val="0"/>
        </w:numPr>
        <w:ind w:left="567" w:hanging="567"/>
        <w:rPr>
          <w:rFonts w:eastAsia="Times New Roman"/>
          <w:b w:val="0"/>
        </w:rPr>
      </w:pPr>
      <w:r w:rsidRPr="00C725CE">
        <w:rPr>
          <w:rFonts w:eastAsia="Times New Roman"/>
        </w:rPr>
        <w:t>Strategic Partnerships, Financing, and Economy Division</w:t>
      </w:r>
    </w:p>
    <w:p w14:paraId="12817B82"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color w:val="000000" w:themeColor="text1"/>
        </w:rPr>
      </w:pPr>
      <w:r w:rsidRPr="00C725CE">
        <w:rPr>
          <w:rFonts w:eastAsia="Times New Roman"/>
        </w:rPr>
        <w:t xml:space="preserve">Provide a </w:t>
      </w:r>
      <w:r w:rsidRPr="00C725CE">
        <w:rPr>
          <w:rFonts w:eastAsia="Times New Roman"/>
          <w:color w:val="000000" w:themeColor="text1"/>
        </w:rPr>
        <w:t>stronger</w:t>
      </w:r>
      <w:r w:rsidRPr="00C725CE">
        <w:rPr>
          <w:rFonts w:eastAsia="Times New Roman"/>
        </w:rPr>
        <w:t xml:space="preserve"> strategic </w:t>
      </w:r>
      <w:r w:rsidRPr="00DA0C94">
        <w:rPr>
          <w:color w:val="000000" w:themeColor="text1"/>
        </w:rPr>
        <w:t>focus</w:t>
      </w:r>
      <w:r w:rsidRPr="00C725CE">
        <w:rPr>
          <w:rFonts w:eastAsia="Times New Roman"/>
        </w:rPr>
        <w:t xml:space="preserve"> on engaging a broad range of actors, mainstreaming biodiversity across economic sectors and levels of governance, and supporting resource mobilization, by combining Secretariat support related to the following areas in one division: </w:t>
      </w:r>
    </w:p>
    <w:p w14:paraId="0C6BE892" w14:textId="77777777" w:rsidR="001C6D3B" w:rsidRPr="00C725CE" w:rsidRDefault="001C6D3B" w:rsidP="008B3605">
      <w:pPr>
        <w:pStyle w:val="ListParagraph"/>
        <w:numPr>
          <w:ilvl w:val="0"/>
          <w:numId w:val="57"/>
        </w:numPr>
        <w:tabs>
          <w:tab w:val="clear" w:pos="567"/>
          <w:tab w:val="clear" w:pos="1134"/>
          <w:tab w:val="clear" w:pos="1701"/>
          <w:tab w:val="clear" w:pos="2268"/>
        </w:tabs>
        <w:spacing w:line="278" w:lineRule="auto"/>
        <w:rPr>
          <w:rFonts w:eastAsia="Times New Roman"/>
        </w:rPr>
      </w:pPr>
      <w:r w:rsidRPr="00C725CE">
        <w:rPr>
          <w:rFonts w:eastAsia="Times New Roman"/>
        </w:rPr>
        <w:t>Support to the engagement of major groups and stakeholder</w:t>
      </w:r>
    </w:p>
    <w:p w14:paraId="22C5E150" w14:textId="77777777" w:rsidR="001C6D3B" w:rsidRPr="00C725CE" w:rsidRDefault="001C6D3B" w:rsidP="008B3605">
      <w:pPr>
        <w:pStyle w:val="ListParagraph"/>
        <w:numPr>
          <w:ilvl w:val="0"/>
          <w:numId w:val="57"/>
        </w:numPr>
        <w:tabs>
          <w:tab w:val="clear" w:pos="567"/>
          <w:tab w:val="clear" w:pos="1134"/>
          <w:tab w:val="clear" w:pos="1701"/>
          <w:tab w:val="clear" w:pos="2268"/>
        </w:tabs>
        <w:spacing w:line="278" w:lineRule="auto"/>
        <w:rPr>
          <w:rFonts w:eastAsia="Times New Roman"/>
        </w:rPr>
      </w:pPr>
      <w:r w:rsidRPr="00C725CE">
        <w:rPr>
          <w:rFonts w:eastAsia="Times New Roman"/>
        </w:rPr>
        <w:t>Cooperation with other UN actors</w:t>
      </w:r>
    </w:p>
    <w:p w14:paraId="1C617D5A" w14:textId="77777777" w:rsidR="001C6D3B" w:rsidRPr="00C725CE" w:rsidRDefault="001C6D3B" w:rsidP="008B3605">
      <w:pPr>
        <w:pStyle w:val="ListParagraph"/>
        <w:numPr>
          <w:ilvl w:val="0"/>
          <w:numId w:val="57"/>
        </w:numPr>
        <w:tabs>
          <w:tab w:val="clear" w:pos="567"/>
          <w:tab w:val="clear" w:pos="1134"/>
          <w:tab w:val="clear" w:pos="1701"/>
          <w:tab w:val="clear" w:pos="2268"/>
        </w:tabs>
        <w:spacing w:line="278" w:lineRule="auto"/>
        <w:rPr>
          <w:rFonts w:eastAsia="Times New Roman"/>
        </w:rPr>
      </w:pPr>
      <w:r w:rsidRPr="00C725CE">
        <w:rPr>
          <w:rFonts w:eastAsia="Times New Roman"/>
        </w:rPr>
        <w:t>Support related to Article 8(j)</w:t>
      </w:r>
    </w:p>
    <w:p w14:paraId="63129D84" w14:textId="77777777" w:rsidR="001C6D3B" w:rsidRPr="00C725CE" w:rsidRDefault="001C6D3B" w:rsidP="008B3605">
      <w:pPr>
        <w:pStyle w:val="ListParagraph"/>
        <w:numPr>
          <w:ilvl w:val="0"/>
          <w:numId w:val="57"/>
        </w:numPr>
        <w:tabs>
          <w:tab w:val="clear" w:pos="567"/>
          <w:tab w:val="clear" w:pos="1134"/>
          <w:tab w:val="clear" w:pos="1701"/>
          <w:tab w:val="clear" w:pos="2268"/>
        </w:tabs>
        <w:spacing w:line="278" w:lineRule="auto"/>
        <w:rPr>
          <w:rFonts w:eastAsia="Times New Roman"/>
        </w:rPr>
      </w:pPr>
      <w:r w:rsidRPr="00C725CE">
        <w:rPr>
          <w:rFonts w:eastAsia="Times New Roman"/>
        </w:rPr>
        <w:t>Support to Resource Mobilization (including Cali Fund and Financial Mechanism)</w:t>
      </w:r>
    </w:p>
    <w:p w14:paraId="5C31B727" w14:textId="77777777" w:rsidR="001C6D3B" w:rsidRPr="00C725CE" w:rsidRDefault="001C6D3B" w:rsidP="008B3605">
      <w:pPr>
        <w:pStyle w:val="ListParagraph"/>
        <w:numPr>
          <w:ilvl w:val="0"/>
          <w:numId w:val="57"/>
        </w:numPr>
        <w:tabs>
          <w:tab w:val="clear" w:pos="567"/>
          <w:tab w:val="clear" w:pos="1134"/>
          <w:tab w:val="clear" w:pos="1701"/>
          <w:tab w:val="clear" w:pos="2268"/>
        </w:tabs>
        <w:spacing w:line="278" w:lineRule="auto"/>
        <w:rPr>
          <w:rFonts w:eastAsia="Times New Roman"/>
        </w:rPr>
      </w:pPr>
      <w:r w:rsidRPr="00C725CE">
        <w:rPr>
          <w:rFonts w:eastAsia="Times New Roman"/>
        </w:rPr>
        <w:t>Communications and Awareness-Raising</w:t>
      </w:r>
    </w:p>
    <w:p w14:paraId="7A4C4A13" w14:textId="77777777" w:rsidR="001C6D3B" w:rsidRPr="00C725CE" w:rsidRDefault="001C6D3B" w:rsidP="008B3605">
      <w:pPr>
        <w:pStyle w:val="ListParagraph"/>
        <w:numPr>
          <w:ilvl w:val="0"/>
          <w:numId w:val="57"/>
        </w:numPr>
        <w:tabs>
          <w:tab w:val="clear" w:pos="567"/>
          <w:tab w:val="clear" w:pos="1134"/>
          <w:tab w:val="clear" w:pos="1701"/>
          <w:tab w:val="clear" w:pos="2268"/>
        </w:tabs>
        <w:spacing w:line="278" w:lineRule="auto"/>
        <w:rPr>
          <w:rFonts w:eastAsia="Times New Roman"/>
        </w:rPr>
      </w:pPr>
      <w:r w:rsidRPr="00C725CE">
        <w:rPr>
          <w:rFonts w:eastAsia="Times New Roman"/>
        </w:rPr>
        <w:t>Corporate Knowledge Management</w:t>
      </w:r>
    </w:p>
    <w:p w14:paraId="5A14DB2C"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rsidRPr="00C725CE">
        <w:rPr>
          <w:rFonts w:eastAsia="Times New Roman"/>
        </w:rPr>
        <w:t xml:space="preserve">This would require bundling resources currently distributed across various units with expertise in the Biodiversity, Economy Transformation and Innovation (BETI) Unit, the Stakeholder Engagement and Cooperation (SEC) and the People and </w:t>
      </w:r>
      <w:r w:rsidRPr="00DA0C94">
        <w:rPr>
          <w:color w:val="000000" w:themeColor="text1"/>
        </w:rPr>
        <w:t>Biodiversity</w:t>
      </w:r>
      <w:r w:rsidRPr="00C725CE">
        <w:rPr>
          <w:rFonts w:eastAsia="Times New Roman"/>
        </w:rPr>
        <w:t xml:space="preserve"> (PBU) Unit forming its core capability into three units within this division.</w:t>
      </w:r>
    </w:p>
    <w:p w14:paraId="58341A48" w14:textId="77777777" w:rsidR="001C6D3B" w:rsidRPr="00C725CE" w:rsidRDefault="001C6D3B" w:rsidP="00FC4EF8">
      <w:pPr>
        <w:spacing w:line="276" w:lineRule="auto"/>
        <w:rPr>
          <w:rFonts w:eastAsia="Times New Roman"/>
          <w:b/>
          <w:bCs/>
          <w:color w:val="000000" w:themeColor="text1"/>
        </w:rPr>
      </w:pPr>
      <w:r w:rsidRPr="00C725CE">
        <w:rPr>
          <w:rFonts w:eastAsia="Times New Roman"/>
          <w:b/>
          <w:bCs/>
          <w:color w:val="000000" w:themeColor="text1"/>
        </w:rPr>
        <w:t>Protocols Division</w:t>
      </w:r>
    </w:p>
    <w:p w14:paraId="1496D7FB"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color w:val="000000" w:themeColor="text1"/>
        </w:rPr>
      </w:pPr>
      <w:r w:rsidRPr="00C725CE">
        <w:rPr>
          <w:rFonts w:eastAsia="Times New Roman"/>
        </w:rPr>
        <w:t xml:space="preserve">Cluster work related </w:t>
      </w:r>
      <w:r w:rsidRPr="00C725CE">
        <w:rPr>
          <w:rFonts w:eastAsia="Times New Roman"/>
          <w:color w:val="000000" w:themeColor="text1"/>
        </w:rPr>
        <w:t>to</w:t>
      </w:r>
      <w:r w:rsidRPr="00C725CE">
        <w:rPr>
          <w:rFonts w:eastAsia="Times New Roman"/>
        </w:rPr>
        <w:t xml:space="preserve"> Access and Benefit Sharing, Digital Sequence Information (DSI) on Genetic Resources and Biosafety in one division. Consolidating the two Protocol units into a single division would strengthen coherence across Protocol implementation, streamline support to Parties, and enable shared planning and expertise. This integration would enhance collaboration and operational efficiency, and position the Secretariat to deliver more consistent, coordinated, and technically robust services across both Protocols.</w:t>
      </w:r>
    </w:p>
    <w:p w14:paraId="67E0DCC0" w14:textId="77777777" w:rsidR="001C6D3B" w:rsidRPr="00C725CE" w:rsidRDefault="001C6D3B" w:rsidP="00507DC7">
      <w:pPr>
        <w:pStyle w:val="Heading4"/>
        <w:numPr>
          <w:ilvl w:val="0"/>
          <w:numId w:val="0"/>
        </w:numPr>
        <w:ind w:left="567" w:hanging="567"/>
        <w:rPr>
          <w:rFonts w:eastAsia="Times New Roman"/>
          <w:u w:val="single"/>
        </w:rPr>
      </w:pPr>
      <w:r w:rsidRPr="00C725CE">
        <w:rPr>
          <w:rFonts w:eastAsia="Times New Roman"/>
        </w:rPr>
        <w:t xml:space="preserve">Intergovernmental Meetings Support </w:t>
      </w:r>
    </w:p>
    <w:p w14:paraId="5EC35B48" w14:textId="77777777" w:rsidR="001C6D3B" w:rsidRPr="00617309" w:rsidRDefault="001C6D3B" w:rsidP="00DA0C94">
      <w:pPr>
        <w:pStyle w:val="ListParagraph"/>
        <w:numPr>
          <w:ilvl w:val="0"/>
          <w:numId w:val="60"/>
        </w:numPr>
        <w:tabs>
          <w:tab w:val="clear" w:pos="567"/>
          <w:tab w:val="clear" w:pos="1134"/>
          <w:tab w:val="clear" w:pos="1701"/>
          <w:tab w:val="clear" w:pos="2268"/>
        </w:tabs>
        <w:spacing w:before="120" w:after="120"/>
        <w:contextualSpacing w:val="0"/>
        <w:rPr>
          <w:color w:val="000000" w:themeColor="text1"/>
        </w:rPr>
      </w:pPr>
      <w:r w:rsidRPr="00617309">
        <w:rPr>
          <w:rFonts w:eastAsia="Times New Roman"/>
        </w:rPr>
        <w:t xml:space="preserve">Strengthen support to intergovernmental meetings by </w:t>
      </w:r>
      <w:r w:rsidRPr="00C725CE">
        <w:rPr>
          <w:rFonts w:eastAsia="Times New Roman"/>
        </w:rPr>
        <w:t>creating</w:t>
      </w:r>
      <w:r w:rsidRPr="00617309">
        <w:rPr>
          <w:rFonts w:eastAsia="Times New Roman"/>
        </w:rPr>
        <w:t xml:space="preserve"> a self-standing unit under direct oversight of the Deputy Executive Secretary </w:t>
      </w:r>
      <w:r w:rsidRPr="00C725CE">
        <w:rPr>
          <w:rFonts w:eastAsia="Times New Roman"/>
        </w:rPr>
        <w:t xml:space="preserve">and establishing </w:t>
      </w:r>
      <w:r w:rsidRPr="00617309">
        <w:rPr>
          <w:rFonts w:eastAsia="Times New Roman"/>
        </w:rPr>
        <w:t xml:space="preserve">a senior manager </w:t>
      </w:r>
      <w:r w:rsidRPr="00C725CE">
        <w:rPr>
          <w:rFonts w:eastAsia="Times New Roman"/>
        </w:rPr>
        <w:t xml:space="preserve">position to oversee and guide </w:t>
      </w:r>
      <w:r w:rsidRPr="00617309">
        <w:rPr>
          <w:rFonts w:eastAsia="Times New Roman"/>
        </w:rPr>
        <w:t xml:space="preserve">conference logistics and meetings </w:t>
      </w:r>
      <w:r w:rsidRPr="00617309">
        <w:rPr>
          <w:rFonts w:eastAsia="Times New Roman"/>
          <w:color w:val="000000" w:themeColor="text1"/>
        </w:rPr>
        <w:t>management</w:t>
      </w:r>
      <w:r w:rsidRPr="00617309">
        <w:rPr>
          <w:rFonts w:eastAsia="Times New Roman"/>
        </w:rPr>
        <w:t xml:space="preserve">, participant registration, and travel for participants. By establishing a direct link to, and </w:t>
      </w:r>
      <w:r w:rsidRPr="00DA0C94">
        <w:rPr>
          <w:color w:val="000000" w:themeColor="text1"/>
        </w:rPr>
        <w:t>oversight</w:t>
      </w:r>
      <w:r w:rsidRPr="00617309">
        <w:rPr>
          <w:rFonts w:eastAsia="Times New Roman"/>
        </w:rPr>
        <w:t xml:space="preserve"> by, Executive Management</w:t>
      </w:r>
      <w:r w:rsidRPr="00C725CE">
        <w:rPr>
          <w:rFonts w:eastAsia="Times New Roman"/>
        </w:rPr>
        <w:t>,</w:t>
      </w:r>
      <w:r w:rsidRPr="00617309">
        <w:rPr>
          <w:rFonts w:eastAsia="Times New Roman"/>
        </w:rPr>
        <w:t xml:space="preserve"> these services should be more closely integrated with functions undertaken by the Document</w:t>
      </w:r>
      <w:r w:rsidRPr="00C725CE">
        <w:rPr>
          <w:rFonts w:eastAsia="Times New Roman"/>
        </w:rPr>
        <w:t xml:space="preserve">ation and Language </w:t>
      </w:r>
      <w:r w:rsidRPr="00617309">
        <w:rPr>
          <w:rFonts w:eastAsia="Times New Roman"/>
        </w:rPr>
        <w:t>Unit currently proposed to be part of the Executive Management function.</w:t>
      </w:r>
    </w:p>
    <w:p w14:paraId="7E7DD06C" w14:textId="77777777" w:rsidR="001C6D3B" w:rsidRPr="00C725CE" w:rsidRDefault="001C6D3B" w:rsidP="00507DC7">
      <w:pPr>
        <w:pStyle w:val="Heading4"/>
        <w:numPr>
          <w:ilvl w:val="0"/>
          <w:numId w:val="0"/>
        </w:numPr>
        <w:ind w:left="567" w:hanging="567"/>
        <w:rPr>
          <w:rFonts w:eastAsia="Times New Roman"/>
          <w:b w:val="0"/>
        </w:rPr>
      </w:pPr>
      <w:r w:rsidRPr="00C725CE">
        <w:rPr>
          <w:rFonts w:eastAsia="Times New Roman"/>
        </w:rPr>
        <w:t>Administrative and Operational Support Section</w:t>
      </w:r>
    </w:p>
    <w:p w14:paraId="2C2407C8"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rsidRPr="00C725CE">
        <w:rPr>
          <w:rFonts w:eastAsia="Times New Roman"/>
        </w:rPr>
        <w:t xml:space="preserve">Strengthen the administrative </w:t>
      </w:r>
      <w:r w:rsidRPr="00DA0C94">
        <w:rPr>
          <w:color w:val="000000" w:themeColor="text1"/>
        </w:rPr>
        <w:t>backbone</w:t>
      </w:r>
      <w:r w:rsidRPr="00C725CE">
        <w:rPr>
          <w:rFonts w:eastAsia="Times New Roman"/>
        </w:rPr>
        <w:t xml:space="preserve"> of the Secretariat by focusing the Division’s work on the following core services:</w:t>
      </w:r>
    </w:p>
    <w:p w14:paraId="7D4B546D" w14:textId="77777777" w:rsidR="001C6D3B" w:rsidRPr="00C725CE" w:rsidRDefault="001C6D3B" w:rsidP="00FC4EF8">
      <w:pPr>
        <w:ind w:left="720" w:firstLine="720"/>
        <w:rPr>
          <w:rFonts w:eastAsia="Times New Roman"/>
        </w:rPr>
      </w:pPr>
      <w:r w:rsidRPr="00C725CE">
        <w:rPr>
          <w:rFonts w:eastAsia="Times New Roman"/>
        </w:rPr>
        <w:t>(a) Huma</w:t>
      </w:r>
      <w:r w:rsidRPr="00C725CE">
        <w:t xml:space="preserve">n </w:t>
      </w:r>
      <w:r w:rsidRPr="00C725CE">
        <w:rPr>
          <w:rFonts w:eastAsia="Times New Roman"/>
        </w:rPr>
        <w:t>Resources</w:t>
      </w:r>
    </w:p>
    <w:p w14:paraId="4DF2D275" w14:textId="77777777" w:rsidR="001C6D3B" w:rsidRPr="00C725CE" w:rsidRDefault="001C6D3B" w:rsidP="00FC4EF8">
      <w:pPr>
        <w:ind w:left="720" w:firstLine="720"/>
        <w:rPr>
          <w:rFonts w:eastAsia="Times New Roman"/>
        </w:rPr>
      </w:pPr>
      <w:r w:rsidRPr="00C725CE">
        <w:rPr>
          <w:rFonts w:eastAsia="Times New Roman"/>
        </w:rPr>
        <w:t>(b) Finance and Budget</w:t>
      </w:r>
    </w:p>
    <w:p w14:paraId="7780ABE4" w14:textId="77777777" w:rsidR="001C6D3B" w:rsidRPr="00C725CE" w:rsidRDefault="001C6D3B" w:rsidP="00FC4EF8">
      <w:pPr>
        <w:ind w:left="720" w:firstLine="720"/>
        <w:rPr>
          <w:rFonts w:eastAsia="Times New Roman"/>
        </w:rPr>
      </w:pPr>
      <w:r w:rsidRPr="00C725CE">
        <w:rPr>
          <w:rFonts w:eastAsia="Times New Roman"/>
        </w:rPr>
        <w:t>(c) General Administration (including facility management and procurement)</w:t>
      </w:r>
      <w:r w:rsidRPr="00C725CE">
        <w:t xml:space="preserve"> </w:t>
      </w:r>
    </w:p>
    <w:p w14:paraId="611A5A9F" w14:textId="77777777" w:rsidR="001C6D3B" w:rsidRPr="00C725CE" w:rsidRDefault="001C6D3B" w:rsidP="00507DC7">
      <w:pPr>
        <w:pStyle w:val="Heading4"/>
        <w:numPr>
          <w:ilvl w:val="0"/>
          <w:numId w:val="0"/>
        </w:numPr>
        <w:ind w:left="567" w:hanging="567"/>
        <w:rPr>
          <w:rFonts w:eastAsia="Times New Roman"/>
          <w:b w:val="0"/>
        </w:rPr>
      </w:pPr>
      <w:r w:rsidRPr="00C725CE">
        <w:rPr>
          <w:rFonts w:eastAsia="Times New Roman"/>
        </w:rPr>
        <w:t>IT and Digital Transformation Unit</w:t>
      </w:r>
    </w:p>
    <w:p w14:paraId="44F35E54"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rsidRPr="00C725CE">
        <w:rPr>
          <w:rFonts w:eastAsia="Times New Roman"/>
        </w:rPr>
        <w:t xml:space="preserve">Enhance strategic focus in the planning and execution of IT services by consolidating resources currently distributed across the Administration Division IT Unit and the CBKM, IT/DevOps sub-unit under a unified IT and Digital Transformation Unit to enhance efficiency, coordination and support for digital innovation. This unit would focus on three areas of work: i) providing tools and solutions for use by Parties and other external stakeholders (e.g. knowledge products, CHM, website), ii) leading on internal digital transformation to improve internal processes and workflows, coordination, knowledge management, and </w:t>
      </w:r>
      <w:r w:rsidRPr="00C725CE">
        <w:rPr>
          <w:rFonts w:eastAsia="Times New Roman"/>
        </w:rPr>
        <w:lastRenderedPageBreak/>
        <w:t xml:space="preserve">performance and data management, iii) support the administration of IT equipment, infrastructure, and systems. </w:t>
      </w:r>
    </w:p>
    <w:p w14:paraId="2AA6DBEA" w14:textId="77777777" w:rsidR="001C6D3B" w:rsidRPr="00C725CE" w:rsidRDefault="001C6D3B" w:rsidP="00FC4EF8">
      <w:r w:rsidRPr="00617309">
        <w:rPr>
          <w:b/>
          <w:bCs/>
        </w:rPr>
        <w:t>Japan Biodiversity Fund</w:t>
      </w:r>
    </w:p>
    <w:p w14:paraId="5E4F6B16"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pPr>
      <w:r w:rsidRPr="00E76172">
        <w:t xml:space="preserve">The Fund is aligned with its mandate and continues to </w:t>
      </w:r>
      <w:r w:rsidRPr="00E76172">
        <w:rPr>
          <w:rFonts w:eastAsia="Times New Roman"/>
        </w:rPr>
        <w:t xml:space="preserve">provide substantive </w:t>
      </w:r>
      <w:r w:rsidRPr="00E76172">
        <w:t>support</w:t>
      </w:r>
      <w:r w:rsidRPr="00E76172">
        <w:rPr>
          <w:rFonts w:eastAsia="Times New Roman"/>
        </w:rPr>
        <w:t xml:space="preserve"> to</w:t>
      </w:r>
      <w:r w:rsidRPr="00E76172">
        <w:t xml:space="preserve"> the Secretariat </w:t>
      </w:r>
      <w:r w:rsidRPr="00E76172">
        <w:rPr>
          <w:rFonts w:eastAsia="Times New Roman"/>
        </w:rPr>
        <w:t>on delivering</w:t>
      </w:r>
      <w:r w:rsidRPr="00E76172">
        <w:t xml:space="preserve"> targeted capacity-building and implementation support. </w:t>
      </w:r>
      <w:r w:rsidRPr="00E76172">
        <w:rPr>
          <w:rFonts w:eastAsia="Times New Roman"/>
        </w:rPr>
        <w:t>T</w:t>
      </w:r>
      <w:r w:rsidRPr="00E76172">
        <w:t xml:space="preserve">he review highlights an opportunity to strengthen coordination </w:t>
      </w:r>
      <w:r w:rsidRPr="00DA0C94">
        <w:rPr>
          <w:color w:val="000000" w:themeColor="text1"/>
        </w:rPr>
        <w:t>between</w:t>
      </w:r>
      <w:r w:rsidRPr="00E76172">
        <w:t xml:space="preserve"> the JBF and the Secretariat</w:t>
      </w:r>
      <w:r w:rsidRPr="00E76172">
        <w:rPr>
          <w:rFonts w:hint="eastAsia"/>
        </w:rPr>
        <w:t>’</w:t>
      </w:r>
      <w:r w:rsidRPr="00E76172">
        <w:t xml:space="preserve">s broader financial-mechanism functions to ensure a more comprehensive and strategically integrated approach to financing. Enhanced </w:t>
      </w:r>
      <w:r w:rsidRPr="00E76172">
        <w:rPr>
          <w:rFonts w:eastAsia="Times New Roman"/>
        </w:rPr>
        <w:t>coordination</w:t>
      </w:r>
      <w:r w:rsidRPr="00E76172">
        <w:t xml:space="preserve"> would support greater coherence in resource mobilization efforts and improve alignment with Parties</w:t>
      </w:r>
      <w:r w:rsidRPr="00E76172">
        <w:rPr>
          <w:rFonts w:hint="eastAsia"/>
        </w:rPr>
        <w:t>’</w:t>
      </w:r>
      <w:r w:rsidRPr="00E76172">
        <w:t xml:space="preserve"> priority implementation needs.</w:t>
      </w:r>
    </w:p>
    <w:p w14:paraId="27CC04FC" w14:textId="77777777" w:rsidR="001C6D3B" w:rsidRPr="00C725CE" w:rsidRDefault="001C6D3B" w:rsidP="00C03FBC">
      <w:pPr>
        <w:pStyle w:val="Heading3"/>
        <w:numPr>
          <w:ilvl w:val="0"/>
          <w:numId w:val="0"/>
        </w:numPr>
        <w:spacing w:before="240"/>
        <w:ind w:left="567" w:hanging="567"/>
      </w:pPr>
      <w:r w:rsidRPr="00617309">
        <w:t>b. Cross-cutting coherence</w:t>
      </w:r>
    </w:p>
    <w:p w14:paraId="58E7F0CA"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rsidRPr="00C725CE">
        <w:rPr>
          <w:rFonts w:eastAsia="Times New Roman"/>
        </w:rPr>
        <w:t xml:space="preserve">The review highlighted opportunities to strengthen integration and coordination across Secretariat-wide processes and frameworks. More coherent governance arrangements and streamlined workflows would enhance efficiency, consistency, and institutional learning. To support this, the review recommends establishing designated business process owners for key cross-cutting functions. Consultations with Secretariat units underscored </w:t>
      </w:r>
      <w:r w:rsidRPr="00DA0C94">
        <w:rPr>
          <w:color w:val="000000" w:themeColor="text1"/>
        </w:rPr>
        <w:t>that</w:t>
      </w:r>
      <w:r w:rsidRPr="00C725CE">
        <w:rPr>
          <w:rFonts w:eastAsia="Times New Roman"/>
        </w:rPr>
        <w:t xml:space="preserve"> clearer functional ownership and defined points of accountability would facilitate stronger collaboration, reduce overlap and enable more consistent and coordinated delivery across divisions.</w:t>
      </w:r>
    </w:p>
    <w:p w14:paraId="550D6CE4"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rsidRPr="00C725CE">
        <w:rPr>
          <w:rFonts w:eastAsia="Times New Roman"/>
        </w:rPr>
        <w:t xml:space="preserve">Business process owners would provide technical guidance and services in their respective areas of expertise, ensure consistent application of Secretariat-wide standards, and be accountable for integrating lessons learned into internal policies and procedures. This approach would strengthen cross-functional coherence, promote </w:t>
      </w:r>
      <w:r w:rsidRPr="00DA0C94">
        <w:rPr>
          <w:color w:val="000000" w:themeColor="text1"/>
        </w:rPr>
        <w:t>institutional</w:t>
      </w:r>
      <w:r w:rsidRPr="00C725CE">
        <w:rPr>
          <w:rFonts w:eastAsia="Times New Roman"/>
        </w:rPr>
        <w:t xml:space="preserve"> learning, and help embed shared standards and practices across the Secretariat. Based on the review and consultations, the proposed business process owners are:</w:t>
      </w:r>
    </w:p>
    <w:p w14:paraId="7F175C2A" w14:textId="77777777" w:rsidR="001C6D3B" w:rsidRPr="00C725CE" w:rsidRDefault="001C6D3B" w:rsidP="00484B4C">
      <w:pPr>
        <w:pStyle w:val="ListParagraph"/>
        <w:numPr>
          <w:ilvl w:val="0"/>
          <w:numId w:val="55"/>
        </w:numPr>
        <w:tabs>
          <w:tab w:val="clear" w:pos="567"/>
          <w:tab w:val="clear" w:pos="1134"/>
          <w:tab w:val="clear" w:pos="1701"/>
          <w:tab w:val="clear" w:pos="2268"/>
        </w:tabs>
        <w:spacing w:after="160" w:line="278" w:lineRule="auto"/>
        <w:jc w:val="left"/>
        <w:rPr>
          <w:rFonts w:eastAsia="Times New Roman"/>
        </w:rPr>
      </w:pPr>
      <w:bookmarkStart w:id="4" w:name="_Hlk216959711"/>
      <w:r w:rsidRPr="00C725CE">
        <w:rPr>
          <w:rFonts w:eastAsia="Times New Roman"/>
        </w:rPr>
        <w:t xml:space="preserve">Communications: </w:t>
      </w:r>
      <w:bookmarkStart w:id="5" w:name="_Hlk216959816"/>
      <w:r w:rsidRPr="00C725CE">
        <w:rPr>
          <w:rFonts w:eastAsia="Times New Roman"/>
        </w:rPr>
        <w:t xml:space="preserve">Communications and Awareness Unit </w:t>
      </w:r>
      <w:bookmarkEnd w:id="5"/>
    </w:p>
    <w:p w14:paraId="3E37A255" w14:textId="77777777" w:rsidR="001C6D3B" w:rsidRPr="00C725CE" w:rsidRDefault="001C6D3B" w:rsidP="00484B4C">
      <w:pPr>
        <w:pStyle w:val="ListParagraph"/>
        <w:numPr>
          <w:ilvl w:val="0"/>
          <w:numId w:val="55"/>
        </w:numPr>
        <w:tabs>
          <w:tab w:val="clear" w:pos="567"/>
          <w:tab w:val="clear" w:pos="1134"/>
          <w:tab w:val="clear" w:pos="1701"/>
          <w:tab w:val="clear" w:pos="2268"/>
        </w:tabs>
        <w:spacing w:after="160" w:line="278" w:lineRule="auto"/>
        <w:jc w:val="left"/>
        <w:rPr>
          <w:rFonts w:eastAsia="Times New Roman"/>
        </w:rPr>
      </w:pPr>
      <w:r w:rsidRPr="00C725CE">
        <w:rPr>
          <w:rFonts w:eastAsia="Times New Roman"/>
        </w:rPr>
        <w:t xml:space="preserve">Resource Mobilization: </w:t>
      </w:r>
      <w:bookmarkStart w:id="6" w:name="_Hlk216959840"/>
      <w:r w:rsidRPr="00C725CE">
        <w:rPr>
          <w:rFonts w:eastAsia="Times New Roman"/>
        </w:rPr>
        <w:t>Resource Mobilization &amp; Strategic Financing Unit</w:t>
      </w:r>
      <w:bookmarkEnd w:id="6"/>
    </w:p>
    <w:p w14:paraId="775B6015" w14:textId="77777777" w:rsidR="001C6D3B" w:rsidRPr="00C725CE" w:rsidRDefault="001C6D3B" w:rsidP="00484B4C">
      <w:pPr>
        <w:pStyle w:val="ListParagraph"/>
        <w:numPr>
          <w:ilvl w:val="0"/>
          <w:numId w:val="55"/>
        </w:numPr>
        <w:tabs>
          <w:tab w:val="clear" w:pos="567"/>
          <w:tab w:val="clear" w:pos="1134"/>
          <w:tab w:val="clear" w:pos="1701"/>
          <w:tab w:val="clear" w:pos="2268"/>
        </w:tabs>
        <w:spacing w:after="160" w:line="278" w:lineRule="auto"/>
        <w:jc w:val="left"/>
        <w:rPr>
          <w:rFonts w:eastAsia="Times New Roman"/>
        </w:rPr>
      </w:pPr>
      <w:r w:rsidRPr="00C725CE">
        <w:rPr>
          <w:rFonts w:eastAsia="Times New Roman"/>
        </w:rPr>
        <w:t xml:space="preserve">Stakeholder Engagement: </w:t>
      </w:r>
      <w:bookmarkStart w:id="7" w:name="_Hlk216959902"/>
      <w:r w:rsidRPr="00C725CE">
        <w:rPr>
          <w:rFonts w:eastAsia="Times New Roman"/>
        </w:rPr>
        <w:t>Stakeholder Engagement and Cooperation Unit</w:t>
      </w:r>
      <w:bookmarkEnd w:id="7"/>
    </w:p>
    <w:p w14:paraId="0781F13B" w14:textId="77777777" w:rsidR="001C6D3B" w:rsidRPr="00C725CE" w:rsidRDefault="001C6D3B" w:rsidP="00484B4C">
      <w:pPr>
        <w:pStyle w:val="ListParagraph"/>
        <w:numPr>
          <w:ilvl w:val="0"/>
          <w:numId w:val="55"/>
        </w:numPr>
        <w:tabs>
          <w:tab w:val="clear" w:pos="567"/>
          <w:tab w:val="clear" w:pos="1134"/>
          <w:tab w:val="clear" w:pos="1701"/>
          <w:tab w:val="clear" w:pos="2268"/>
        </w:tabs>
        <w:spacing w:after="160" w:line="278" w:lineRule="auto"/>
        <w:jc w:val="left"/>
        <w:rPr>
          <w:rFonts w:eastAsia="Times New Roman"/>
        </w:rPr>
      </w:pPr>
      <w:r w:rsidRPr="00C725CE">
        <w:rPr>
          <w:rFonts w:eastAsia="Times New Roman"/>
        </w:rPr>
        <w:t>Capacity Building: Capacity Building, Monitoring and Reporting Unit</w:t>
      </w:r>
    </w:p>
    <w:p w14:paraId="1F10119E" w14:textId="77777777" w:rsidR="001C6D3B" w:rsidRPr="00C725CE" w:rsidRDefault="001C6D3B" w:rsidP="00484B4C">
      <w:pPr>
        <w:pStyle w:val="ListParagraph"/>
        <w:numPr>
          <w:ilvl w:val="0"/>
          <w:numId w:val="55"/>
        </w:numPr>
        <w:tabs>
          <w:tab w:val="clear" w:pos="567"/>
          <w:tab w:val="clear" w:pos="1134"/>
          <w:tab w:val="clear" w:pos="1701"/>
          <w:tab w:val="clear" w:pos="2268"/>
        </w:tabs>
        <w:spacing w:after="160" w:line="278" w:lineRule="auto"/>
        <w:jc w:val="left"/>
        <w:rPr>
          <w:rFonts w:eastAsia="Times New Roman"/>
        </w:rPr>
      </w:pPr>
      <w:r w:rsidRPr="00C725CE">
        <w:rPr>
          <w:rFonts w:eastAsia="Times New Roman"/>
        </w:rPr>
        <w:t>Knowledge Management: Capacity Building, Monitoring and Reporting Unit</w:t>
      </w:r>
    </w:p>
    <w:p w14:paraId="4680A22E" w14:textId="77777777" w:rsidR="001C6D3B" w:rsidRPr="00C725CE" w:rsidRDefault="001C6D3B" w:rsidP="00484B4C">
      <w:pPr>
        <w:pStyle w:val="ListParagraph"/>
        <w:numPr>
          <w:ilvl w:val="0"/>
          <w:numId w:val="55"/>
        </w:numPr>
        <w:tabs>
          <w:tab w:val="clear" w:pos="567"/>
          <w:tab w:val="clear" w:pos="1134"/>
          <w:tab w:val="clear" w:pos="1701"/>
          <w:tab w:val="clear" w:pos="2268"/>
        </w:tabs>
        <w:spacing w:after="160" w:line="278" w:lineRule="auto"/>
        <w:jc w:val="left"/>
        <w:rPr>
          <w:rFonts w:eastAsia="Times New Roman"/>
        </w:rPr>
      </w:pPr>
      <w:r w:rsidRPr="00C725CE">
        <w:rPr>
          <w:rFonts w:eastAsia="Times New Roman"/>
        </w:rPr>
        <w:t>Conference Management: Conference Services Unit</w:t>
      </w:r>
    </w:p>
    <w:bookmarkEnd w:id="4"/>
    <w:p w14:paraId="102C6A1F" w14:textId="26FD8015" w:rsidR="001C6D3B" w:rsidRPr="00C725CE" w:rsidRDefault="001C6D3B" w:rsidP="006979D3">
      <w:pPr>
        <w:pStyle w:val="Heading3"/>
        <w:numPr>
          <w:ilvl w:val="0"/>
          <w:numId w:val="0"/>
        </w:numPr>
        <w:spacing w:before="0" w:after="0"/>
        <w:ind w:left="567" w:hanging="567"/>
        <w:rPr>
          <w:rFonts w:eastAsia="Times New Roman"/>
          <w:b w:val="0"/>
        </w:rPr>
      </w:pPr>
      <w:r w:rsidRPr="00C725CE">
        <w:rPr>
          <w:rFonts w:eastAsia="Times New Roman"/>
        </w:rPr>
        <w:t>c. Empowerment and accountability</w:t>
      </w:r>
    </w:p>
    <w:p w14:paraId="12EFE7EE"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rsidRPr="00C725CE">
        <w:rPr>
          <w:rFonts w:eastAsia="Times New Roman"/>
        </w:rPr>
        <w:t xml:space="preserve">Strengthening empowerment and accountability within the Secretariat is essential to ensure timely and effective decision-making. The review recommends that, where feasible, authority be delegated to division heads for areas such as budget </w:t>
      </w:r>
      <w:r w:rsidRPr="00DA0C94">
        <w:rPr>
          <w:color w:val="000000" w:themeColor="text1"/>
        </w:rPr>
        <w:t>management</w:t>
      </w:r>
      <w:r w:rsidRPr="00C725CE">
        <w:rPr>
          <w:rFonts w:eastAsia="Times New Roman"/>
        </w:rPr>
        <w:t xml:space="preserve"> and procurement, in line with United Nations rules and regulations. </w:t>
      </w:r>
      <w:proofErr w:type="gramStart"/>
      <w:r w:rsidRPr="00C725CE">
        <w:rPr>
          <w:rFonts w:eastAsia="Times New Roman"/>
        </w:rPr>
        <w:t>In particular, increasing</w:t>
      </w:r>
      <w:proofErr w:type="gramEnd"/>
      <w:r w:rsidRPr="00C725CE">
        <w:rPr>
          <w:rFonts w:eastAsia="Times New Roman"/>
        </w:rPr>
        <w:t xml:space="preserve"> delegation of authority limits from UNEP for low-value procurement would help reduce delays and improve operational efficiency, considering the value for low value procurement has been US$10,000 for over 10 years.</w:t>
      </w:r>
    </w:p>
    <w:p w14:paraId="7D10A106"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rsidRPr="00C725CE">
        <w:rPr>
          <w:rFonts w:eastAsia="Times New Roman"/>
        </w:rPr>
        <w:t>Greater delegation of authority must be complemented by clear accountability frameworks and performance monitoring mechanisms. Enhancing managerial empowerment would improve leadership responsibility for results, encourage initiative at the mid-management level, and contribute to a more agile and responsive Secretariat.</w:t>
      </w:r>
    </w:p>
    <w:p w14:paraId="01FE4CFC" w14:textId="77777777" w:rsidR="001C6D3B" w:rsidRPr="00C725CE" w:rsidRDefault="001C6D3B" w:rsidP="006979D3">
      <w:pPr>
        <w:pStyle w:val="Heading3"/>
        <w:numPr>
          <w:ilvl w:val="0"/>
          <w:numId w:val="0"/>
        </w:numPr>
        <w:ind w:left="567" w:hanging="567"/>
        <w:rPr>
          <w:rFonts w:eastAsia="Times New Roman"/>
          <w:b w:val="0"/>
        </w:rPr>
      </w:pPr>
      <w:r w:rsidRPr="00C725CE">
        <w:rPr>
          <w:rFonts w:eastAsia="Times New Roman"/>
        </w:rPr>
        <w:t>d. Human resource capacity and staff resourcing</w:t>
      </w:r>
    </w:p>
    <w:p w14:paraId="13DBFEF2"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rsidRPr="00C725CE">
        <w:rPr>
          <w:rFonts w:eastAsia="Times New Roman"/>
        </w:rPr>
        <w:t xml:space="preserve">The review found that staffing shortages and high and uneven workloads constrain the Secretariat’s performance and staff well-being. In addition, team organigrams and job </w:t>
      </w:r>
      <w:r w:rsidRPr="00A26343">
        <w:rPr>
          <w:rFonts w:eastAsia="Times New Roman"/>
        </w:rPr>
        <w:t xml:space="preserve">descriptions are outdated. To address these </w:t>
      </w:r>
      <w:r w:rsidRPr="00DA0C94">
        <w:rPr>
          <w:color w:val="000000" w:themeColor="text1"/>
        </w:rPr>
        <w:t>challenges</w:t>
      </w:r>
      <w:r w:rsidRPr="00A26343">
        <w:rPr>
          <w:rFonts w:eastAsia="Times New Roman"/>
        </w:rPr>
        <w:t xml:space="preserve">, the review recommends strengthening the HR team and undertaking an internal </w:t>
      </w:r>
      <w:r w:rsidRPr="00617309">
        <w:rPr>
          <w:rFonts w:eastAsia="Times New Roman"/>
        </w:rPr>
        <w:t xml:space="preserve">review </w:t>
      </w:r>
      <w:r w:rsidRPr="00A26343">
        <w:rPr>
          <w:rFonts w:eastAsia="Times New Roman"/>
        </w:rPr>
        <w:t xml:space="preserve">of recruitment processes to ensure the timeliness of backfilling vacant positions in coordination with </w:t>
      </w:r>
      <w:r w:rsidRPr="00A26343">
        <w:rPr>
          <w:rFonts w:eastAsia="Times New Roman"/>
        </w:rPr>
        <w:lastRenderedPageBreak/>
        <w:t>UNEP and UNON and updating and publishing individual job descriptions and team</w:t>
      </w:r>
      <w:r w:rsidRPr="00C725CE">
        <w:rPr>
          <w:rFonts w:eastAsia="Times New Roman"/>
        </w:rPr>
        <w:t xml:space="preserve"> structures to reflect current functions. </w:t>
      </w:r>
    </w:p>
    <w:p w14:paraId="456E26E4"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rsidRPr="00C725CE">
        <w:rPr>
          <w:rFonts w:eastAsia="Times New Roman"/>
        </w:rPr>
        <w:t xml:space="preserve">Additional actions should include: establishing a regular process to review and keep up to date the Secretariat’s job </w:t>
      </w:r>
      <w:r w:rsidRPr="00DA0C94">
        <w:rPr>
          <w:color w:val="000000" w:themeColor="text1"/>
        </w:rPr>
        <w:t>descriptions</w:t>
      </w:r>
      <w:r w:rsidRPr="00C725CE">
        <w:rPr>
          <w:rFonts w:eastAsia="Times New Roman"/>
        </w:rPr>
        <w:t xml:space="preserve"> and staffing data, improving coordination with UNEP and UNON on recruitment, and exploring opportunities for administrative efficiency through economies of scale in contracting and shared services. Enhanced workforce planning, including better use of temporary capacity, will help ensure that the Secretariat is better staffed to meet operational needs.</w:t>
      </w:r>
    </w:p>
    <w:p w14:paraId="2476C624"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rsidRPr="00C725CE">
        <w:rPr>
          <w:rFonts w:eastAsia="Times New Roman"/>
        </w:rPr>
        <w:t xml:space="preserve">Given the Secretariat’s expanding workload and persistent capacity gaps identified across several technical and operational areas, strengthened workforce planning must also be accompanied by </w:t>
      </w:r>
      <w:r w:rsidRPr="00617309">
        <w:rPr>
          <w:rFonts w:eastAsia="Times New Roman"/>
        </w:rPr>
        <w:t>increased staffing capacity</w:t>
      </w:r>
      <w:r w:rsidRPr="00C725CE">
        <w:rPr>
          <w:rFonts w:eastAsia="Times New Roman"/>
        </w:rPr>
        <w:t xml:space="preserve">, particularly in units facing increased demands. More deliberate use of temporary capacity can help address short-term pressures, but sustainable delivery of core functions will require bolstering permanent staffing levels. </w:t>
      </w:r>
    </w:p>
    <w:p w14:paraId="7B9C1CE1" w14:textId="77777777" w:rsidR="001C6D3B" w:rsidRPr="00C725CE" w:rsidRDefault="001C6D3B" w:rsidP="006979D3">
      <w:pPr>
        <w:pStyle w:val="Heading3"/>
        <w:numPr>
          <w:ilvl w:val="0"/>
          <w:numId w:val="0"/>
        </w:numPr>
        <w:ind w:left="567" w:hanging="567"/>
        <w:rPr>
          <w:rFonts w:eastAsia="Times New Roman"/>
          <w:b w:val="0"/>
        </w:rPr>
      </w:pPr>
      <w:r w:rsidRPr="00C725CE">
        <w:rPr>
          <w:rFonts w:eastAsia="Times New Roman"/>
        </w:rPr>
        <w:t>e. Transforming ways of working</w:t>
      </w:r>
    </w:p>
    <w:p w14:paraId="2F0CE0B8"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rsidRPr="00C725CE">
        <w:rPr>
          <w:rFonts w:eastAsia="Times New Roman"/>
        </w:rPr>
        <w:t xml:space="preserve">The review recommends that the Secretariat adopt a more structured, Secretariat-wide approach to planning and </w:t>
      </w:r>
      <w:r w:rsidRPr="00DA0C94">
        <w:rPr>
          <w:color w:val="000000" w:themeColor="text1"/>
        </w:rPr>
        <w:t>coordination</w:t>
      </w:r>
      <w:r w:rsidRPr="00C725CE">
        <w:rPr>
          <w:rFonts w:eastAsia="Times New Roman"/>
        </w:rPr>
        <w:t xml:space="preserve"> of work, building on the RBB framework to better align activities with functional roles and strategic priorities. Strengthened work planning would help reduce overlapping efforts, particularly as it relates to stakeholder engagement, resource mobilization and implementation support, improve coordination across units and support a more balanced distribution of workload. A more formalized internal process for change management, communication, and accountability would further enhance transparency and staff engagement. Several of these improvements have already been recognized by senior management and are in the early stages of implementation, providing a foundation for more integrated and coherent organizational practices going forward.</w:t>
      </w:r>
    </w:p>
    <w:p w14:paraId="0B37A8CD"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rsidRPr="00C725CE">
        <w:rPr>
          <w:rFonts w:eastAsia="Times New Roman"/>
        </w:rPr>
        <w:t xml:space="preserve">In addition, the review proposes the strengthening of the resource mobilization function to ensure adequate resources are available to support priority activities. The development of biannual resource mobilization plans following each COP to monitor implementation of funding strategies and strengthen the link between decisions, resource allocation, and delivery. Reinforcement of the Secretariat’s long-term budgetary planning processes would also be beneficial. The development of multi-year financial projections informed by historical funding patterns and anticipated mandates will help the Secretariat in achieving greater predictability and alignment of divisional activities with overall organizational priorities. </w:t>
      </w:r>
    </w:p>
    <w:p w14:paraId="2B2C3096" w14:textId="77777777" w:rsidR="001C6D3B" w:rsidRPr="00A26343"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rsidRPr="00C725CE">
        <w:rPr>
          <w:rFonts w:eastAsia="Times New Roman"/>
        </w:rPr>
        <w:t xml:space="preserve">Collectively, these recommendations are intended to ensure that the Secretariat operates in a more coherent, coordinated, and forward-looking manner. These recommendations will necessitate the strengthening of the Programme Management Unit to support these functions and its elevation to the Office of the Executive Secretary. Their implementation will enable the Secretariat to better align its structure and </w:t>
      </w:r>
      <w:r w:rsidRPr="00A26343">
        <w:rPr>
          <w:rFonts w:eastAsia="Times New Roman"/>
        </w:rPr>
        <w:t xml:space="preserve">resources with its strategic </w:t>
      </w:r>
      <w:r w:rsidRPr="00DA0C94">
        <w:rPr>
          <w:color w:val="000000" w:themeColor="text1"/>
        </w:rPr>
        <w:t>objectives</w:t>
      </w:r>
      <w:r w:rsidRPr="00A26343">
        <w:rPr>
          <w:rFonts w:eastAsia="Times New Roman"/>
        </w:rPr>
        <w:t>, improve coordination efficiency, and strengthen its capacity to support Parties in achieving the goals and targets of the Kunming–Montreal Global Biodiversity Framework.</w:t>
      </w:r>
    </w:p>
    <w:p w14:paraId="5950BA24" w14:textId="77777777" w:rsidR="001C6D3B" w:rsidRPr="00A26343" w:rsidRDefault="001C6D3B" w:rsidP="006979D3">
      <w:pPr>
        <w:pStyle w:val="Heading3"/>
        <w:numPr>
          <w:ilvl w:val="0"/>
          <w:numId w:val="0"/>
        </w:numPr>
        <w:ind w:left="567" w:hanging="567"/>
        <w:rPr>
          <w:rFonts w:eastAsia="Times New Roman"/>
          <w:b w:val="0"/>
          <w:bCs w:val="0"/>
        </w:rPr>
      </w:pPr>
      <w:r w:rsidRPr="00A26343">
        <w:rPr>
          <w:rFonts w:eastAsia="Times New Roman"/>
        </w:rPr>
        <w:t>f. Management of the Secretariat’s</w:t>
      </w:r>
      <w:r w:rsidRPr="00617309">
        <w:rPr>
          <w:rFonts w:eastAsia="Times New Roman"/>
        </w:rPr>
        <w:t xml:space="preserve"> Functional</w:t>
      </w:r>
      <w:r w:rsidRPr="00A26343">
        <w:rPr>
          <w:rFonts w:eastAsia="Times New Roman"/>
        </w:rPr>
        <w:t xml:space="preserve"> Performance</w:t>
      </w:r>
      <w:r w:rsidRPr="00617309">
        <w:rPr>
          <w:rFonts w:eastAsia="Times New Roman"/>
        </w:rPr>
        <w:t xml:space="preserve"> Delivery</w:t>
      </w:r>
    </w:p>
    <w:p w14:paraId="0901D425" w14:textId="77777777" w:rsidR="001C6D3B" w:rsidRPr="00A26343"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rsidRPr="00A26343">
        <w:rPr>
          <w:rFonts w:eastAsia="Times New Roman"/>
        </w:rPr>
        <w:t>To address the lack of comprehensive and reliable</w:t>
      </w:r>
      <w:r w:rsidRPr="00617309">
        <w:rPr>
          <w:rFonts w:eastAsia="Times New Roman"/>
        </w:rPr>
        <w:t xml:space="preserve"> internal</w:t>
      </w:r>
      <w:r w:rsidRPr="00A26343">
        <w:rPr>
          <w:rFonts w:eastAsia="Times New Roman"/>
        </w:rPr>
        <w:t xml:space="preserve"> performance metrics and data to </w:t>
      </w:r>
      <w:r w:rsidRPr="00617309">
        <w:rPr>
          <w:rFonts w:eastAsia="Times New Roman"/>
        </w:rPr>
        <w:t>inform the management of the Secretariat’s function</w:t>
      </w:r>
      <w:r w:rsidRPr="00A26343">
        <w:rPr>
          <w:rFonts w:eastAsia="Times New Roman"/>
        </w:rPr>
        <w:t xml:space="preserve">, the Secretariat should develop and apply </w:t>
      </w:r>
      <w:r w:rsidRPr="00617309">
        <w:rPr>
          <w:rFonts w:eastAsia="Times New Roman"/>
        </w:rPr>
        <w:t xml:space="preserve">a </w:t>
      </w:r>
      <w:r w:rsidRPr="00A26343">
        <w:rPr>
          <w:rFonts w:eastAsia="Times New Roman"/>
        </w:rPr>
        <w:t xml:space="preserve">Secretariat-wide </w:t>
      </w:r>
      <w:r w:rsidRPr="00617309">
        <w:rPr>
          <w:rFonts w:eastAsia="Times New Roman"/>
        </w:rPr>
        <w:t>set of high-level p</w:t>
      </w:r>
      <w:r w:rsidRPr="00A26343">
        <w:rPr>
          <w:rFonts w:eastAsia="Times New Roman"/>
        </w:rPr>
        <w:t xml:space="preserve">erformance </w:t>
      </w:r>
      <w:r w:rsidRPr="00617309">
        <w:rPr>
          <w:rFonts w:eastAsia="Times New Roman"/>
        </w:rPr>
        <w:t>metrics</w:t>
      </w:r>
      <w:r w:rsidRPr="00A26343">
        <w:rPr>
          <w:rFonts w:eastAsia="Times New Roman"/>
        </w:rPr>
        <w:t xml:space="preserve"> aligned with </w:t>
      </w:r>
      <w:r w:rsidRPr="00617309">
        <w:rPr>
          <w:rFonts w:eastAsia="Times New Roman"/>
        </w:rPr>
        <w:t xml:space="preserve">supporting the implementation of </w:t>
      </w:r>
      <w:r w:rsidRPr="00A26343">
        <w:rPr>
          <w:rFonts w:eastAsia="Times New Roman"/>
        </w:rPr>
        <w:t xml:space="preserve">KMGBF and COP decisions. </w:t>
      </w:r>
      <w:r w:rsidRPr="00617309">
        <w:rPr>
          <w:rFonts w:eastAsia="Times New Roman"/>
        </w:rPr>
        <w:t>These metrics are intended to capture Secretariat-wide functional delivery</w:t>
      </w:r>
      <w:r>
        <w:rPr>
          <w:rFonts w:eastAsia="Times New Roman"/>
        </w:rPr>
        <w:t xml:space="preserve"> of teams</w:t>
      </w:r>
      <w:r w:rsidRPr="00617309">
        <w:rPr>
          <w:rFonts w:eastAsia="Times New Roman"/>
        </w:rPr>
        <w:t>, rather than individual staff performance. Developing and maintaining such performance data</w:t>
      </w:r>
      <w:r w:rsidRPr="00A26343">
        <w:rPr>
          <w:rFonts w:eastAsia="Times New Roman"/>
        </w:rPr>
        <w:t xml:space="preserve"> would require additional capacity and specialized </w:t>
      </w:r>
      <w:r w:rsidRPr="00DA0C94">
        <w:rPr>
          <w:color w:val="000000" w:themeColor="text1"/>
        </w:rPr>
        <w:t>expertise</w:t>
      </w:r>
      <w:r w:rsidRPr="00617309">
        <w:rPr>
          <w:rFonts w:eastAsia="Times New Roman"/>
        </w:rPr>
        <w:t xml:space="preserve"> for data collection, analysis and management</w:t>
      </w:r>
      <w:r w:rsidRPr="00A26343">
        <w:rPr>
          <w:rFonts w:eastAsia="Times New Roman"/>
        </w:rPr>
        <w:t xml:space="preserve">. </w:t>
      </w:r>
      <w:r w:rsidRPr="00617309">
        <w:rPr>
          <w:rFonts w:eastAsia="Times New Roman"/>
        </w:rPr>
        <w:t>Once established, the performance data could</w:t>
      </w:r>
      <w:r w:rsidRPr="00A26343">
        <w:rPr>
          <w:rFonts w:eastAsia="Times New Roman"/>
        </w:rPr>
        <w:t xml:space="preserve"> be used to prepare a centralized performance dashboard, and to support planning, budgeting, request for resources and resource allocation. </w:t>
      </w:r>
      <w:r w:rsidRPr="00617309">
        <w:rPr>
          <w:rFonts w:eastAsia="Times New Roman"/>
        </w:rPr>
        <w:t>The</w:t>
      </w:r>
      <w:r w:rsidRPr="00A26343">
        <w:rPr>
          <w:rFonts w:eastAsia="Times New Roman"/>
        </w:rPr>
        <w:t xml:space="preserve"> Programme Management Unit would be </w:t>
      </w:r>
      <w:r w:rsidRPr="00617309">
        <w:rPr>
          <w:rFonts w:eastAsia="Times New Roman"/>
        </w:rPr>
        <w:t>well</w:t>
      </w:r>
      <w:r w:rsidRPr="00A26343">
        <w:rPr>
          <w:rFonts w:eastAsia="Times New Roman"/>
        </w:rPr>
        <w:t xml:space="preserve"> placed to assume ownership of the framework and ensure its ongoing relevance and application.</w:t>
      </w:r>
    </w:p>
    <w:p w14:paraId="2634337C" w14:textId="77777777" w:rsidR="001C6D3B" w:rsidRPr="00C725CE" w:rsidRDefault="001C6D3B" w:rsidP="006979D3">
      <w:pPr>
        <w:pStyle w:val="Heading3"/>
        <w:numPr>
          <w:ilvl w:val="0"/>
          <w:numId w:val="0"/>
        </w:numPr>
        <w:ind w:left="567" w:hanging="567"/>
        <w:rPr>
          <w:rFonts w:eastAsia="Times New Roman"/>
          <w:b w:val="0"/>
          <w:bCs w:val="0"/>
        </w:rPr>
      </w:pPr>
      <w:r w:rsidRPr="00C725CE">
        <w:rPr>
          <w:rFonts w:eastAsia="Times New Roman"/>
        </w:rPr>
        <w:lastRenderedPageBreak/>
        <w:t>g. Digital Transformation</w:t>
      </w:r>
    </w:p>
    <w:p w14:paraId="3BA7DDAF"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rsidRPr="00C725CE">
        <w:rPr>
          <w:rFonts w:eastAsia="Times New Roman"/>
        </w:rPr>
        <w:t xml:space="preserve">Develop a Secretariat-Wide Digital Transformation Strategy that articulates a unifying vision for digital services supporting KMGBF </w:t>
      </w:r>
      <w:r w:rsidRPr="00DA0C94">
        <w:rPr>
          <w:color w:val="000000" w:themeColor="text1"/>
        </w:rPr>
        <w:t>implementation</w:t>
      </w:r>
      <w:r w:rsidRPr="00C725CE">
        <w:rPr>
          <w:rFonts w:eastAsia="Times New Roman"/>
        </w:rPr>
        <w:t>, priorities for modernizing key processes and platforms, strengthening data governance, quality and analytics. This strategy will guide digital/AI initiatives across units with the goal of ensuring a more efficient secretariat and enhanced service delivery to Parties. This recommendation would require additional resources, both to develop and implement the strategy.</w:t>
      </w:r>
    </w:p>
    <w:p w14:paraId="6DC2986B" w14:textId="77777777" w:rsidR="001C6D3B" w:rsidRPr="00C725CE" w:rsidRDefault="001C6D3B" w:rsidP="006979D3">
      <w:pPr>
        <w:pStyle w:val="Heading2"/>
        <w:numPr>
          <w:ilvl w:val="0"/>
          <w:numId w:val="0"/>
        </w:numPr>
        <w:spacing w:before="0" w:after="0"/>
        <w:ind w:left="567" w:hanging="567"/>
        <w:rPr>
          <w:rFonts w:ascii="Times New Roman" w:eastAsia="Times New Roman" w:hAnsi="Times New Roman" w:cs="Times New Roman"/>
          <w:b w:val="0"/>
          <w:bCs/>
          <w:szCs w:val="24"/>
        </w:rPr>
      </w:pPr>
      <w:r w:rsidRPr="00C725CE">
        <w:rPr>
          <w:rFonts w:ascii="Times New Roman" w:eastAsia="Times New Roman" w:hAnsi="Times New Roman" w:cs="Times New Roman"/>
          <w:bCs/>
          <w:szCs w:val="24"/>
        </w:rPr>
        <w:t>E. Next steps and expected outcomes</w:t>
      </w:r>
    </w:p>
    <w:p w14:paraId="0152A5EA" w14:textId="77777777" w:rsidR="001C6D3B" w:rsidRPr="00B236D8"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rsidRPr="00C725CE">
        <w:rPr>
          <w:rFonts w:eastAsia="Times New Roman"/>
        </w:rPr>
        <w:t>The successful implementation of the Functional Review’s recommendations will require a phased and well-coordinated approach led by the Executive Secretary and ideally managed by an appointed implementation lead. In the immediate term, the Secretariat will need to establish a dedicated implementation and change-</w:t>
      </w:r>
      <w:r w:rsidRPr="00DA0C94">
        <w:rPr>
          <w:color w:val="000000" w:themeColor="text1"/>
        </w:rPr>
        <w:t>management</w:t>
      </w:r>
      <w:r w:rsidRPr="00C725CE">
        <w:rPr>
          <w:rFonts w:eastAsia="Times New Roman"/>
        </w:rPr>
        <w:t xml:space="preserve"> mechanism responsible for translating the recommendations into concrete actions, sequencing reforms, and monitoring progress. Implementing these reforms will also require additional resources for staffing and specialized expertise to ensure that changes are adequately supported and </w:t>
      </w:r>
      <w:r w:rsidRPr="00B236D8">
        <w:rPr>
          <w:rFonts w:eastAsia="Times New Roman"/>
        </w:rPr>
        <w:t>sustained. This mechanism will ensure that reform efforts remain transparent and inclusive.</w:t>
      </w:r>
    </w:p>
    <w:p w14:paraId="5AB3C13F" w14:textId="77777777" w:rsidR="001C6D3B" w:rsidRPr="00B236D8" w:rsidRDefault="001C6D3B" w:rsidP="00DA0C94">
      <w:pPr>
        <w:pStyle w:val="ListParagraph"/>
        <w:numPr>
          <w:ilvl w:val="0"/>
          <w:numId w:val="60"/>
        </w:numPr>
        <w:tabs>
          <w:tab w:val="clear" w:pos="567"/>
          <w:tab w:val="clear" w:pos="1134"/>
          <w:tab w:val="clear" w:pos="1701"/>
          <w:tab w:val="clear" w:pos="2268"/>
        </w:tabs>
        <w:rPr>
          <w:rFonts w:eastAsia="Times New Roman"/>
        </w:rPr>
      </w:pPr>
      <w:r w:rsidRPr="00617309">
        <w:rPr>
          <w:rFonts w:eastAsia="Times New Roman"/>
          <w:bCs/>
        </w:rPr>
        <w:t>Short-term priorities</w:t>
      </w:r>
      <w:r w:rsidRPr="00B236D8">
        <w:rPr>
          <w:rFonts w:eastAsia="Times New Roman"/>
        </w:rPr>
        <w:t xml:space="preserve"> should include: </w:t>
      </w:r>
    </w:p>
    <w:p w14:paraId="2E9D9388" w14:textId="5DBE894C" w:rsidR="001C6D3B" w:rsidRPr="00B236D8" w:rsidRDefault="001C6D3B" w:rsidP="00FC4EF8">
      <w:pPr>
        <w:ind w:firstLine="720"/>
        <w:rPr>
          <w:rFonts w:eastAsia="Times New Roman"/>
        </w:rPr>
      </w:pPr>
      <w:r w:rsidRPr="00B236D8">
        <w:rPr>
          <w:rFonts w:eastAsia="Times New Roman"/>
        </w:rPr>
        <w:t xml:space="preserve">(a) finalization of the proposed operating model and structure; </w:t>
      </w:r>
    </w:p>
    <w:p w14:paraId="6E31A311" w14:textId="77777777" w:rsidR="001C6D3B" w:rsidRPr="00B236D8" w:rsidRDefault="001C6D3B" w:rsidP="00FC4EF8">
      <w:pPr>
        <w:ind w:firstLine="720"/>
        <w:rPr>
          <w:rFonts w:eastAsia="Times New Roman"/>
        </w:rPr>
      </w:pPr>
      <w:r w:rsidRPr="00B236D8">
        <w:rPr>
          <w:rFonts w:eastAsia="Times New Roman"/>
        </w:rPr>
        <w:t>(b) identification for additional posts and resources to implement recommendations;</w:t>
      </w:r>
    </w:p>
    <w:p w14:paraId="0149BB24" w14:textId="77777777" w:rsidR="001C6D3B" w:rsidRPr="00B236D8" w:rsidRDefault="001C6D3B" w:rsidP="00FC4EF8">
      <w:pPr>
        <w:ind w:firstLine="720"/>
        <w:rPr>
          <w:color w:val="000000" w:themeColor="text1"/>
        </w:rPr>
      </w:pPr>
      <w:r w:rsidRPr="00B236D8">
        <w:rPr>
          <w:rFonts w:eastAsia="Times New Roman"/>
        </w:rPr>
        <w:t>(c) detailed plan for adjustments to positions and levels in alignment with endorsed structure;</w:t>
      </w:r>
    </w:p>
    <w:p w14:paraId="049D0037" w14:textId="77777777" w:rsidR="001C6D3B" w:rsidRPr="00617309" w:rsidRDefault="001C6D3B" w:rsidP="00FC4EF8">
      <w:pPr>
        <w:ind w:firstLine="720"/>
        <w:rPr>
          <w:rFonts w:eastAsia="Times New Roman"/>
        </w:rPr>
      </w:pPr>
      <w:r w:rsidRPr="00B236D8">
        <w:rPr>
          <w:color w:val="000000" w:themeColor="text1"/>
        </w:rPr>
        <w:t>(d) the development of</w:t>
      </w:r>
      <w:r w:rsidRPr="00B236D8">
        <w:rPr>
          <w:rFonts w:eastAsia="Times New Roman"/>
        </w:rPr>
        <w:t xml:space="preserve"> </w:t>
      </w:r>
      <w:r w:rsidRPr="00617309">
        <w:rPr>
          <w:color w:val="000000" w:themeColor="text1"/>
        </w:rPr>
        <w:t>updated or new job descriptions</w:t>
      </w:r>
      <w:r w:rsidRPr="00B236D8">
        <w:rPr>
          <w:color w:val="000000" w:themeColor="text1"/>
        </w:rPr>
        <w:t>;</w:t>
      </w:r>
    </w:p>
    <w:p w14:paraId="161DF0F0" w14:textId="77777777" w:rsidR="001C6D3B" w:rsidRPr="00C725CE" w:rsidRDefault="001C6D3B" w:rsidP="00FC4EF8">
      <w:pPr>
        <w:ind w:firstLine="720"/>
        <w:rPr>
          <w:rFonts w:eastAsia="Times New Roman"/>
        </w:rPr>
      </w:pPr>
      <w:r w:rsidRPr="00B236D8">
        <w:rPr>
          <w:rFonts w:eastAsia="Times New Roman"/>
        </w:rPr>
        <w:t>(e) the launch of Secretariat-wide communication on</w:t>
      </w:r>
      <w:r w:rsidRPr="00C725CE">
        <w:rPr>
          <w:rFonts w:eastAsia="Times New Roman"/>
        </w:rPr>
        <w:t xml:space="preserve"> the reform process; </w:t>
      </w:r>
    </w:p>
    <w:p w14:paraId="15B0D395" w14:textId="77777777" w:rsidR="001C6D3B" w:rsidRPr="00C725CE" w:rsidRDefault="001C6D3B" w:rsidP="00FC4EF8">
      <w:pPr>
        <w:ind w:firstLine="720"/>
        <w:rPr>
          <w:rFonts w:eastAsia="Times New Roman"/>
        </w:rPr>
      </w:pPr>
      <w:r w:rsidRPr="00C725CE">
        <w:rPr>
          <w:rFonts w:eastAsia="Times New Roman"/>
        </w:rPr>
        <w:t xml:space="preserve">(f) the designation of business process owners; and </w:t>
      </w:r>
    </w:p>
    <w:p w14:paraId="3BB1ABAA" w14:textId="77777777" w:rsidR="001C6D3B" w:rsidRPr="00C725CE" w:rsidRDefault="001C6D3B" w:rsidP="00FC4EF8">
      <w:pPr>
        <w:ind w:firstLine="720"/>
        <w:rPr>
          <w:rFonts w:eastAsia="Times New Roman"/>
        </w:rPr>
      </w:pPr>
      <w:r w:rsidRPr="00C725CE">
        <w:rPr>
          <w:rFonts w:eastAsia="Times New Roman"/>
        </w:rPr>
        <w:t xml:space="preserve">(g) the integration of results-based budgeting as a standard management practice. </w:t>
      </w:r>
    </w:p>
    <w:p w14:paraId="2A136F0F"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rsidRPr="00617309">
        <w:rPr>
          <w:rFonts w:eastAsia="Times New Roman"/>
          <w:bCs/>
        </w:rPr>
        <w:t>Medium-term actions</w:t>
      </w:r>
      <w:r w:rsidRPr="00C725CE">
        <w:rPr>
          <w:rFonts w:eastAsia="Times New Roman"/>
        </w:rPr>
        <w:t xml:space="preserve"> </w:t>
      </w:r>
      <w:r w:rsidRPr="00DA0C94">
        <w:rPr>
          <w:color w:val="000000" w:themeColor="text1"/>
        </w:rPr>
        <w:t>should</w:t>
      </w:r>
      <w:r w:rsidRPr="00C725CE">
        <w:rPr>
          <w:rFonts w:eastAsia="Times New Roman"/>
        </w:rPr>
        <w:t xml:space="preserve"> focus on:</w:t>
      </w:r>
    </w:p>
    <w:p w14:paraId="46985762" w14:textId="77777777" w:rsidR="001C6D3B" w:rsidRPr="00C725CE" w:rsidRDefault="001C6D3B" w:rsidP="00FC4EF8">
      <w:pPr>
        <w:ind w:firstLine="720"/>
        <w:rPr>
          <w:rFonts w:eastAsia="Times New Roman"/>
        </w:rPr>
      </w:pPr>
      <w:r w:rsidRPr="00C725CE">
        <w:rPr>
          <w:rFonts w:eastAsia="Times New Roman"/>
        </w:rPr>
        <w:t>(a) initiation of structural alignment process in line with SCBD and UNEP policies and procedures</w:t>
      </w:r>
    </w:p>
    <w:p w14:paraId="5D5D28A3" w14:textId="77777777" w:rsidR="001C6D3B" w:rsidRPr="00C725CE" w:rsidRDefault="001C6D3B" w:rsidP="00FC4EF8">
      <w:pPr>
        <w:ind w:firstLine="720"/>
        <w:rPr>
          <w:rFonts w:eastAsia="Times New Roman"/>
        </w:rPr>
      </w:pPr>
      <w:r w:rsidRPr="00C725CE">
        <w:rPr>
          <w:rFonts w:eastAsia="Times New Roman"/>
        </w:rPr>
        <w:t xml:space="preserve">(b) strengthening coordination and coherence across the new functional clusters, </w:t>
      </w:r>
    </w:p>
    <w:p w14:paraId="59ECCD7B" w14:textId="77777777" w:rsidR="001C6D3B" w:rsidRPr="00C725CE" w:rsidRDefault="001C6D3B" w:rsidP="00FC4EF8">
      <w:pPr>
        <w:ind w:firstLine="720"/>
        <w:rPr>
          <w:rFonts w:eastAsia="Times New Roman"/>
        </w:rPr>
      </w:pPr>
      <w:r w:rsidRPr="00C725CE">
        <w:rPr>
          <w:rFonts w:eastAsia="Times New Roman"/>
        </w:rPr>
        <w:t xml:space="preserve">(c) embedding accountability mechanisms, and </w:t>
      </w:r>
    </w:p>
    <w:p w14:paraId="6C93C079" w14:textId="77777777" w:rsidR="001C6D3B" w:rsidRPr="00C725CE" w:rsidRDefault="001C6D3B" w:rsidP="00FC4EF8">
      <w:pPr>
        <w:ind w:firstLine="720"/>
        <w:rPr>
          <w:rFonts w:eastAsia="Times New Roman"/>
        </w:rPr>
      </w:pPr>
      <w:r w:rsidRPr="00C725CE">
        <w:rPr>
          <w:rFonts w:eastAsia="Times New Roman"/>
        </w:rPr>
        <w:t xml:space="preserve">(d) enhancing staff capacities through targeted development initiatives. </w:t>
      </w:r>
    </w:p>
    <w:p w14:paraId="7B4BC529" w14:textId="77777777" w:rsidR="001C6D3B" w:rsidRPr="00C725CE" w:rsidRDefault="001C6D3B" w:rsidP="00FC4EF8">
      <w:pPr>
        <w:ind w:firstLine="720"/>
        <w:rPr>
          <w:rFonts w:eastAsia="Times New Roman"/>
        </w:rPr>
      </w:pPr>
      <w:r w:rsidRPr="00C725CE">
        <w:rPr>
          <w:rFonts w:eastAsia="Times New Roman"/>
        </w:rPr>
        <w:t>(e) development and implementation of performance and data management framework</w:t>
      </w:r>
    </w:p>
    <w:p w14:paraId="24D7A29E" w14:textId="77777777" w:rsidR="001C6D3B" w:rsidRPr="00C725CE" w:rsidRDefault="001C6D3B" w:rsidP="00FC4EF8">
      <w:pPr>
        <w:ind w:firstLine="720"/>
        <w:rPr>
          <w:rFonts w:eastAsia="Times New Roman"/>
        </w:rPr>
      </w:pPr>
      <w:r w:rsidRPr="00C725CE">
        <w:rPr>
          <w:rFonts w:eastAsia="Times New Roman"/>
        </w:rPr>
        <w:t>(f) development of a digital transformation strategy</w:t>
      </w:r>
    </w:p>
    <w:p w14:paraId="7F865073"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rsidRPr="00C725CE">
        <w:rPr>
          <w:rFonts w:eastAsia="Times New Roman"/>
        </w:rPr>
        <w:t xml:space="preserve">Furthermore, the </w:t>
      </w:r>
      <w:r w:rsidRPr="00DA0C94">
        <w:rPr>
          <w:color w:val="000000" w:themeColor="text1"/>
        </w:rPr>
        <w:t>implementation</w:t>
      </w:r>
      <w:r w:rsidRPr="00C725CE">
        <w:rPr>
          <w:rFonts w:eastAsia="Times New Roman"/>
        </w:rPr>
        <w:t xml:space="preserve"> of integrated planning, budgeting, and monitoring systems should be prioritized to improve decision-making, transparency, and alignment between strategic priorities and resource allocation.</w:t>
      </w:r>
    </w:p>
    <w:p w14:paraId="6C074768" w14:textId="77777777"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rsidRPr="00617309">
        <w:rPr>
          <w:rFonts w:eastAsia="Times New Roman"/>
          <w:bCs/>
        </w:rPr>
        <w:t>In the long term</w:t>
      </w:r>
      <w:r w:rsidRPr="00C725CE">
        <w:rPr>
          <w:rFonts w:eastAsia="Times New Roman"/>
        </w:rPr>
        <w:t xml:space="preserve">, the Secretariat will need to institutionalize the new operating model, ensuring that organizational structures, </w:t>
      </w:r>
      <w:r w:rsidRPr="00DA0C94">
        <w:rPr>
          <w:color w:val="000000" w:themeColor="text1"/>
        </w:rPr>
        <w:t>processes</w:t>
      </w:r>
      <w:r w:rsidRPr="00C725CE">
        <w:rPr>
          <w:rFonts w:eastAsia="Times New Roman"/>
        </w:rPr>
        <w:t>, and systems are fully aligned. Sustained leadership engagement, proactive communication, and continued consultation with staff and governing bodies will be essential to consolidating these reforms.</w:t>
      </w:r>
    </w:p>
    <w:p w14:paraId="5C199DC6" w14:textId="1CDD4E00" w:rsidR="001C6D3B" w:rsidRPr="00C725CE"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imes New Roman"/>
        </w:rPr>
      </w:pPr>
      <w:r w:rsidRPr="00C725CE">
        <w:rPr>
          <w:rFonts w:eastAsia="Times New Roman"/>
        </w:rPr>
        <w:t xml:space="preserve">It is also recognized that </w:t>
      </w:r>
      <w:r w:rsidRPr="00DA0C94">
        <w:rPr>
          <w:color w:val="000000" w:themeColor="text1"/>
        </w:rPr>
        <w:t>any</w:t>
      </w:r>
      <w:r w:rsidRPr="00C725CE">
        <w:rPr>
          <w:rFonts w:eastAsia="Times New Roman"/>
        </w:rPr>
        <w:t xml:space="preserve"> budgetary implications arising from the implementation of the functional review, including those related to additional staffing capacity and funding of activities, will require approval by the Parties. The Secretariat will therefore need to ensure that all proposed adjustments with financial impact are transparently costed, justified, and presented for consideration through the appropriate intergovernmental processes.</w:t>
      </w:r>
    </w:p>
    <w:p w14:paraId="036C3BBF" w14:textId="22837453" w:rsidR="001C6D3B" w:rsidRPr="00DA0C94" w:rsidRDefault="001C6D3B" w:rsidP="00DA0C94">
      <w:pPr>
        <w:pStyle w:val="ListParagraph"/>
        <w:numPr>
          <w:ilvl w:val="0"/>
          <w:numId w:val="60"/>
        </w:numPr>
        <w:tabs>
          <w:tab w:val="clear" w:pos="567"/>
          <w:tab w:val="clear" w:pos="1134"/>
          <w:tab w:val="clear" w:pos="1701"/>
          <w:tab w:val="clear" w:pos="2268"/>
        </w:tabs>
        <w:spacing w:before="120" w:after="120"/>
        <w:contextualSpacing w:val="0"/>
        <w:rPr>
          <w:rFonts w:eastAsiaTheme="majorEastAsia"/>
          <w:b/>
          <w:bCs/>
          <w:sz w:val="28"/>
          <w:szCs w:val="28"/>
        </w:rPr>
      </w:pPr>
      <w:r w:rsidRPr="00C725CE">
        <w:rPr>
          <w:rFonts w:eastAsia="Times New Roman"/>
        </w:rPr>
        <w:t xml:space="preserve">The expected outcomes of this process include a more coherent and strategically aligned Secretariat with clear accountability, optimized resource utilization, and an enhanced ability to deliver on COP mandates. The restructured organization will be better positioned to support Parties in achieving the goals and targets of the KMGBF </w:t>
      </w:r>
      <w:r w:rsidRPr="00DA0C94">
        <w:rPr>
          <w:color w:val="000000" w:themeColor="text1"/>
        </w:rPr>
        <w:t>through</w:t>
      </w:r>
      <w:r w:rsidRPr="00C725CE">
        <w:rPr>
          <w:rFonts w:eastAsia="Times New Roman"/>
        </w:rPr>
        <w:t xml:space="preserve"> improved coordination, strengthened partnerships, and more efficient servicing of intergovernmental processes, including governing and subsidiary bodies. Ultimately, the implementation of the review’s recommendations will enable the Secretariat to function as a more agile, </w:t>
      </w:r>
      <w:r w:rsidRPr="00C725CE">
        <w:rPr>
          <w:rFonts w:eastAsia="Times New Roman"/>
        </w:rPr>
        <w:lastRenderedPageBreak/>
        <w:t>results-oriented, and future-ready institution capable of responding effectively to the evolving global biodiversity agenda.</w:t>
      </w:r>
    </w:p>
    <w:p w14:paraId="6D020E9F" w14:textId="77777777" w:rsidR="00244EFC" w:rsidRDefault="00244EFC" w:rsidP="00A111D1">
      <w:pPr>
        <w:pStyle w:val="Para1"/>
        <w:numPr>
          <w:ilvl w:val="0"/>
          <w:numId w:val="0"/>
        </w:numPr>
        <w:ind w:left="567"/>
        <w:jc w:val="center"/>
      </w:pPr>
    </w:p>
    <w:p w14:paraId="65976694" w14:textId="77777777" w:rsidR="00244EFC" w:rsidRDefault="00244EFC" w:rsidP="00A111D1">
      <w:pPr>
        <w:pStyle w:val="Para1"/>
        <w:numPr>
          <w:ilvl w:val="0"/>
          <w:numId w:val="0"/>
        </w:numPr>
        <w:ind w:left="567"/>
        <w:jc w:val="center"/>
        <w:sectPr w:rsidR="00244EFC" w:rsidSect="00E57322">
          <w:headerReference w:type="even" r:id="rId23"/>
          <w:headerReference w:type="default" r:id="rId24"/>
          <w:footerReference w:type="even" r:id="rId25"/>
          <w:footerReference w:type="default" r:id="rId26"/>
          <w:pgSz w:w="12240" w:h="15840"/>
          <w:pgMar w:top="1134" w:right="1440" w:bottom="1134" w:left="1440" w:header="709" w:footer="709" w:gutter="0"/>
          <w:cols w:space="708"/>
          <w:titlePg/>
          <w:docGrid w:linePitch="360"/>
        </w:sectPr>
      </w:pPr>
    </w:p>
    <w:p w14:paraId="6858385A" w14:textId="526ACD24" w:rsidR="00244EFC" w:rsidRDefault="00244EFC" w:rsidP="00244EFC">
      <w:pPr>
        <w:pStyle w:val="CBDAnnex"/>
      </w:pPr>
      <w:r>
        <w:lastRenderedPageBreak/>
        <w:t>Annex</w:t>
      </w:r>
      <w:r w:rsidR="000A431C">
        <w:t xml:space="preserve"> II</w:t>
      </w:r>
    </w:p>
    <w:p w14:paraId="1B76CE4E" w14:textId="77777777" w:rsidR="00244EFC" w:rsidRDefault="00244EFC" w:rsidP="00244EFC">
      <w:pPr>
        <w:pStyle w:val="CBDTitle"/>
        <w:rPr>
          <w:lang w:bidi="ar-SY"/>
        </w:rPr>
      </w:pPr>
      <w:r w:rsidRPr="00AF3D6C">
        <w:rPr>
          <w:lang w:bidi="ar-SY"/>
        </w:rPr>
        <w:t xml:space="preserve">Estimated </w:t>
      </w:r>
      <w:r>
        <w:rPr>
          <w:lang w:bidi="ar-SY"/>
        </w:rPr>
        <w:t>e</w:t>
      </w:r>
      <w:r w:rsidRPr="00A32440">
        <w:rPr>
          <w:lang w:bidi="ar-SY"/>
        </w:rPr>
        <w:t>xtrabudgetary resource requirements</w:t>
      </w:r>
    </w:p>
    <w:p w14:paraId="37D5589C" w14:textId="77777777" w:rsidR="00244EFC" w:rsidRDefault="00244EFC" w:rsidP="00244EFC">
      <w:pPr>
        <w:pStyle w:val="CBDNormalNoNumber"/>
        <w:rPr>
          <w:lang w:bidi="ar-SY"/>
        </w:rPr>
      </w:pPr>
      <w:r>
        <w:rPr>
          <w:lang w:bidi="ar-SY"/>
        </w:rPr>
        <w:t>The table below has been prepared to show the estimated e</w:t>
      </w:r>
      <w:r w:rsidRPr="00B92975">
        <w:rPr>
          <w:lang w:bidi="ar-SY"/>
        </w:rPr>
        <w:t>xtrabudgetary resource requirements</w:t>
      </w:r>
      <w:r>
        <w:rPr>
          <w:lang w:bidi="ar-SY"/>
        </w:rPr>
        <w:t xml:space="preserve"> for the activities requested of the Secretariat, as outlined in the draft </w:t>
      </w:r>
      <w:r>
        <w:t>recommendation, in support of its consideration</w:t>
      </w:r>
      <w:r>
        <w:rPr>
          <w:lang w:bidi="ar-SY"/>
        </w:rPr>
        <w:t>.</w:t>
      </w:r>
      <w:bookmarkStart w:id="8" w:name="_Hlk216086750"/>
      <w:r>
        <w:rPr>
          <w:lang w:bidi="ar-SY"/>
        </w:rPr>
        <w:t xml:space="preserve"> </w:t>
      </w:r>
      <w:r w:rsidRPr="00AE7337">
        <w:rPr>
          <w:lang w:bidi="ar-SY"/>
        </w:rPr>
        <w:t xml:space="preserve">The present </w:t>
      </w:r>
      <w:r w:rsidRPr="00AE7337">
        <w:rPr>
          <w:lang w:val="en-CA"/>
        </w:rPr>
        <w:t xml:space="preserve">annex is not part of the draft </w:t>
      </w:r>
      <w:r w:rsidRPr="00DA0C94">
        <w:rPr>
          <w:lang w:val="en-CA"/>
        </w:rPr>
        <w:t>recommendation</w:t>
      </w:r>
      <w:r w:rsidRPr="00AE7337">
        <w:rPr>
          <w:lang w:val="en-CA"/>
        </w:rPr>
        <w:t xml:space="preserve"> submitted for consideration by the Subsidiary Body</w:t>
      </w:r>
      <w:r>
        <w:rPr>
          <w:lang w:val="en-CA"/>
        </w:rPr>
        <w:t>.</w:t>
      </w:r>
    </w:p>
    <w:bookmarkEnd w:id="8"/>
    <w:p w14:paraId="5DD0B8B8" w14:textId="77777777" w:rsidR="00D0239C" w:rsidRDefault="00D0239C" w:rsidP="00DA0C94">
      <w:pPr>
        <w:pStyle w:val="CBDTableTitle"/>
      </w:pPr>
      <w:r>
        <w:t>Extrabudgetary resource requirements</w:t>
      </w:r>
    </w:p>
    <w:p w14:paraId="2B4B5192" w14:textId="77777777" w:rsidR="00D0239C" w:rsidRPr="00370945" w:rsidRDefault="00D0239C" w:rsidP="00D0239C">
      <w:pPr>
        <w:spacing w:before="120" w:after="120"/>
        <w:rPr>
          <w:iCs/>
        </w:rPr>
      </w:pPr>
      <w:r w:rsidRPr="00370945">
        <w:rPr>
          <w:iCs/>
          <w:sz w:val="18"/>
          <w:szCs w:val="18"/>
        </w:rPr>
        <w:t>(United States dollars)</w:t>
      </w:r>
    </w:p>
    <w:tbl>
      <w:tblPr>
        <w:tblW w:w="9331" w:type="dxa"/>
        <w:tblLayout w:type="fixed"/>
        <w:tblCellMar>
          <w:left w:w="0" w:type="dxa"/>
          <w:right w:w="0" w:type="dxa"/>
        </w:tblCellMar>
        <w:tblLook w:val="04A0" w:firstRow="1" w:lastRow="0" w:firstColumn="1" w:lastColumn="0" w:noHBand="0" w:noVBand="1"/>
      </w:tblPr>
      <w:tblGrid>
        <w:gridCol w:w="424"/>
        <w:gridCol w:w="2977"/>
        <w:gridCol w:w="995"/>
        <w:gridCol w:w="707"/>
        <w:gridCol w:w="993"/>
        <w:gridCol w:w="993"/>
        <w:gridCol w:w="1372"/>
        <w:gridCol w:w="870"/>
      </w:tblGrid>
      <w:tr w:rsidR="00554FED" w:rsidRPr="00A810C3" w14:paraId="765F91C9" w14:textId="77777777" w:rsidTr="00DA0C94">
        <w:trPr>
          <w:trHeight w:val="290"/>
        </w:trPr>
        <w:tc>
          <w:tcPr>
            <w:tcW w:w="228" w:type="pct"/>
            <w:tcBorders>
              <w:top w:val="single" w:sz="4" w:space="0" w:color="auto"/>
              <w:bottom w:val="single" w:sz="8" w:space="0" w:color="auto"/>
            </w:tcBorders>
            <w:vAlign w:val="bottom"/>
          </w:tcPr>
          <w:p w14:paraId="03852902" w14:textId="77777777" w:rsidR="00D0239C" w:rsidRDefault="00D0239C" w:rsidP="00DA0C94">
            <w:pPr>
              <w:jc w:val="center"/>
              <w:rPr>
                <w:sz w:val="20"/>
                <w:szCs w:val="20"/>
                <w:lang w:val="en-US"/>
              </w:rPr>
            </w:pPr>
            <w:r>
              <w:rPr>
                <w:i/>
                <w:iCs/>
                <w:sz w:val="20"/>
                <w:szCs w:val="20"/>
                <w:lang w:val="en-US"/>
              </w:rPr>
              <w:t>OP</w:t>
            </w:r>
          </w:p>
        </w:tc>
        <w:tc>
          <w:tcPr>
            <w:tcW w:w="1595" w:type="pct"/>
            <w:tcBorders>
              <w:top w:val="single" w:sz="4" w:space="0" w:color="auto"/>
              <w:bottom w:val="single" w:sz="8" w:space="0" w:color="auto"/>
            </w:tcBorders>
            <w:noWrap/>
            <w:tcMar>
              <w:top w:w="0" w:type="dxa"/>
              <w:left w:w="108" w:type="dxa"/>
              <w:bottom w:w="0" w:type="dxa"/>
              <w:right w:w="108" w:type="dxa"/>
            </w:tcMar>
            <w:vAlign w:val="bottom"/>
          </w:tcPr>
          <w:p w14:paraId="2682D279" w14:textId="77777777" w:rsidR="00D0239C" w:rsidRDefault="00D0239C" w:rsidP="00DA0C94">
            <w:pPr>
              <w:jc w:val="left"/>
              <w:rPr>
                <w:sz w:val="20"/>
                <w:szCs w:val="20"/>
                <w:lang w:val="en-US"/>
              </w:rPr>
            </w:pPr>
            <w:r w:rsidRPr="00793F17">
              <w:rPr>
                <w:i/>
                <w:iCs/>
                <w:sz w:val="20"/>
                <w:szCs w:val="20"/>
                <w:lang w:val="en-US"/>
              </w:rPr>
              <w:t>Activity</w:t>
            </w:r>
          </w:p>
        </w:tc>
        <w:tc>
          <w:tcPr>
            <w:tcW w:w="533" w:type="pct"/>
            <w:tcBorders>
              <w:top w:val="single" w:sz="4" w:space="0" w:color="auto"/>
              <w:bottom w:val="single" w:sz="8" w:space="0" w:color="auto"/>
            </w:tcBorders>
            <w:noWrap/>
            <w:tcMar>
              <w:top w:w="0" w:type="dxa"/>
              <w:left w:w="108" w:type="dxa"/>
              <w:bottom w:w="0" w:type="dxa"/>
              <w:right w:w="108" w:type="dxa"/>
            </w:tcMar>
            <w:vAlign w:val="bottom"/>
          </w:tcPr>
          <w:p w14:paraId="03D12DE6" w14:textId="4AA6AE0F" w:rsidR="00D0239C" w:rsidRPr="00793F17" w:rsidRDefault="00D0239C" w:rsidP="00DA0C94">
            <w:pPr>
              <w:jc w:val="center"/>
              <w:rPr>
                <w:sz w:val="20"/>
                <w:szCs w:val="20"/>
                <w:lang w:val="en-US"/>
              </w:rPr>
            </w:pPr>
            <w:r w:rsidRPr="00793F17">
              <w:rPr>
                <w:i/>
                <w:iCs/>
                <w:sz w:val="20"/>
                <w:szCs w:val="20"/>
                <w:lang w:val="en-US"/>
              </w:rPr>
              <w:t>Meeting</w:t>
            </w:r>
            <w:r>
              <w:rPr>
                <w:i/>
                <w:iCs/>
                <w:sz w:val="20"/>
                <w:szCs w:val="20"/>
                <w:lang w:val="en-US"/>
              </w:rPr>
              <w:t xml:space="preserve"> costs</w:t>
            </w:r>
          </w:p>
        </w:tc>
        <w:tc>
          <w:tcPr>
            <w:tcW w:w="379" w:type="pct"/>
            <w:tcBorders>
              <w:top w:val="single" w:sz="4" w:space="0" w:color="auto"/>
              <w:bottom w:val="single" w:sz="8" w:space="0" w:color="auto"/>
            </w:tcBorders>
            <w:noWrap/>
            <w:tcMar>
              <w:top w:w="0" w:type="dxa"/>
              <w:left w:w="108" w:type="dxa"/>
              <w:bottom w:w="0" w:type="dxa"/>
              <w:right w:w="108" w:type="dxa"/>
            </w:tcMar>
            <w:vAlign w:val="bottom"/>
          </w:tcPr>
          <w:p w14:paraId="0ADA7E0A" w14:textId="77777777" w:rsidR="00D0239C" w:rsidRPr="00793F17" w:rsidRDefault="00D0239C" w:rsidP="00DA0C94">
            <w:pPr>
              <w:jc w:val="center"/>
              <w:rPr>
                <w:sz w:val="20"/>
                <w:szCs w:val="20"/>
                <w:lang w:val="en-US"/>
              </w:rPr>
            </w:pPr>
            <w:r w:rsidRPr="00793F17">
              <w:rPr>
                <w:i/>
                <w:iCs/>
                <w:sz w:val="20"/>
                <w:szCs w:val="20"/>
                <w:lang w:val="en-US"/>
              </w:rPr>
              <w:t>Staff travel</w:t>
            </w:r>
          </w:p>
        </w:tc>
        <w:tc>
          <w:tcPr>
            <w:tcW w:w="532" w:type="pct"/>
            <w:tcBorders>
              <w:top w:val="single" w:sz="4" w:space="0" w:color="auto"/>
              <w:bottom w:val="single" w:sz="8" w:space="0" w:color="auto"/>
            </w:tcBorders>
            <w:noWrap/>
            <w:tcMar>
              <w:top w:w="0" w:type="dxa"/>
              <w:left w:w="108" w:type="dxa"/>
              <w:bottom w:w="0" w:type="dxa"/>
              <w:right w:w="108" w:type="dxa"/>
            </w:tcMar>
            <w:vAlign w:val="bottom"/>
          </w:tcPr>
          <w:p w14:paraId="7B2202EC" w14:textId="5BE5DD21" w:rsidR="00D0239C" w:rsidRPr="00793F17" w:rsidRDefault="00D0239C" w:rsidP="00DA0C94">
            <w:pPr>
              <w:jc w:val="center"/>
              <w:rPr>
                <w:sz w:val="20"/>
                <w:szCs w:val="20"/>
                <w:lang w:val="en-US"/>
              </w:rPr>
            </w:pPr>
            <w:r w:rsidRPr="00793F17">
              <w:rPr>
                <w:i/>
                <w:iCs/>
                <w:sz w:val="20"/>
                <w:szCs w:val="20"/>
                <w:lang w:val="en-US"/>
              </w:rPr>
              <w:t>Staff</w:t>
            </w:r>
            <w:r>
              <w:rPr>
                <w:i/>
                <w:iCs/>
                <w:sz w:val="20"/>
                <w:szCs w:val="20"/>
                <w:lang w:val="en-US"/>
              </w:rPr>
              <w:t xml:space="preserve"> costs</w:t>
            </w:r>
            <w:r w:rsidR="003471DF" w:rsidRPr="00DA0C94">
              <w:rPr>
                <w:i/>
                <w:iCs/>
                <w:sz w:val="20"/>
                <w:szCs w:val="20"/>
                <w:vertAlign w:val="superscript"/>
                <w:lang w:val="en-US"/>
              </w:rPr>
              <w:t>a</w:t>
            </w:r>
          </w:p>
        </w:tc>
        <w:tc>
          <w:tcPr>
            <w:tcW w:w="532" w:type="pct"/>
            <w:tcBorders>
              <w:top w:val="single" w:sz="4" w:space="0" w:color="auto"/>
              <w:bottom w:val="single" w:sz="8" w:space="0" w:color="auto"/>
            </w:tcBorders>
            <w:noWrap/>
            <w:tcMar>
              <w:top w:w="0" w:type="dxa"/>
              <w:left w:w="108" w:type="dxa"/>
              <w:bottom w:w="0" w:type="dxa"/>
              <w:right w:w="108" w:type="dxa"/>
            </w:tcMar>
            <w:vAlign w:val="bottom"/>
          </w:tcPr>
          <w:p w14:paraId="62D707E6" w14:textId="77777777" w:rsidR="00D0239C" w:rsidRPr="00793F17" w:rsidRDefault="00D0239C" w:rsidP="00DA0C94">
            <w:pPr>
              <w:jc w:val="center"/>
              <w:rPr>
                <w:sz w:val="20"/>
                <w:szCs w:val="20"/>
                <w:lang w:val="en-US"/>
              </w:rPr>
            </w:pPr>
            <w:r w:rsidRPr="00793F17">
              <w:rPr>
                <w:i/>
                <w:iCs/>
                <w:sz w:val="20"/>
                <w:szCs w:val="20"/>
                <w:lang w:val="en-US"/>
              </w:rPr>
              <w:t>Subtotal</w:t>
            </w:r>
          </w:p>
        </w:tc>
        <w:tc>
          <w:tcPr>
            <w:tcW w:w="735" w:type="pct"/>
            <w:tcBorders>
              <w:top w:val="single" w:sz="4" w:space="0" w:color="auto"/>
              <w:bottom w:val="single" w:sz="8" w:space="0" w:color="auto"/>
            </w:tcBorders>
            <w:noWrap/>
            <w:tcMar>
              <w:top w:w="0" w:type="dxa"/>
              <w:left w:w="108" w:type="dxa"/>
              <w:bottom w:w="0" w:type="dxa"/>
              <w:right w:w="108" w:type="dxa"/>
            </w:tcMar>
            <w:vAlign w:val="bottom"/>
          </w:tcPr>
          <w:p w14:paraId="6E56FF9C" w14:textId="05D34254" w:rsidR="00D0239C" w:rsidRPr="00793F17" w:rsidRDefault="00D0239C" w:rsidP="00DA0C94">
            <w:pPr>
              <w:jc w:val="center"/>
              <w:rPr>
                <w:sz w:val="20"/>
                <w:szCs w:val="20"/>
                <w:lang w:val="en-US"/>
              </w:rPr>
            </w:pPr>
            <w:r>
              <w:rPr>
                <w:i/>
                <w:iCs/>
                <w:sz w:val="20"/>
                <w:szCs w:val="20"/>
                <w:lang w:val="en-US"/>
              </w:rPr>
              <w:t>PSC</w:t>
            </w:r>
            <w:r w:rsidRPr="00DD7F75">
              <w:rPr>
                <w:i/>
                <w:iCs/>
                <w:sz w:val="20"/>
                <w:szCs w:val="20"/>
                <w:lang w:val="en-US"/>
              </w:rPr>
              <w:t xml:space="preserve"> </w:t>
            </w:r>
            <w:r w:rsidR="001B53C7">
              <w:rPr>
                <w:i/>
                <w:iCs/>
                <w:sz w:val="20"/>
                <w:szCs w:val="20"/>
                <w:lang w:val="en-US"/>
              </w:rPr>
              <w:br/>
            </w:r>
            <w:r w:rsidRPr="00DD7F75">
              <w:rPr>
                <w:i/>
                <w:iCs/>
                <w:sz w:val="20"/>
                <w:szCs w:val="20"/>
                <w:lang w:val="en-US"/>
              </w:rPr>
              <w:t>(13</w:t>
            </w:r>
            <w:r w:rsidR="00966A89">
              <w:rPr>
                <w:i/>
                <w:iCs/>
                <w:sz w:val="20"/>
                <w:szCs w:val="20"/>
                <w:lang w:val="en-US"/>
              </w:rPr>
              <w:t xml:space="preserve"> </w:t>
            </w:r>
            <w:r w:rsidRPr="00DD7F75">
              <w:rPr>
                <w:i/>
                <w:iCs/>
                <w:sz w:val="20"/>
                <w:szCs w:val="20"/>
                <w:lang w:val="en-US"/>
              </w:rPr>
              <w:t>per cent)</w:t>
            </w:r>
          </w:p>
        </w:tc>
        <w:tc>
          <w:tcPr>
            <w:tcW w:w="466" w:type="pct"/>
            <w:tcBorders>
              <w:top w:val="single" w:sz="4" w:space="0" w:color="auto"/>
              <w:bottom w:val="single" w:sz="8" w:space="0" w:color="auto"/>
            </w:tcBorders>
            <w:noWrap/>
            <w:tcMar>
              <w:top w:w="0" w:type="dxa"/>
              <w:left w:w="108" w:type="dxa"/>
              <w:bottom w:w="0" w:type="dxa"/>
              <w:right w:w="108" w:type="dxa"/>
            </w:tcMar>
            <w:vAlign w:val="bottom"/>
          </w:tcPr>
          <w:p w14:paraId="1A98E395" w14:textId="77777777" w:rsidR="00D0239C" w:rsidRPr="00FF2841" w:rsidRDefault="00D0239C" w:rsidP="006A0A90">
            <w:pPr>
              <w:jc w:val="right"/>
              <w:rPr>
                <w:i/>
                <w:iCs/>
                <w:sz w:val="20"/>
                <w:szCs w:val="20"/>
                <w:lang w:val="en-US"/>
              </w:rPr>
            </w:pPr>
            <w:r w:rsidRPr="00FF2841">
              <w:rPr>
                <w:i/>
                <w:iCs/>
                <w:sz w:val="20"/>
                <w:szCs w:val="20"/>
                <w:lang w:val="en-US"/>
              </w:rPr>
              <w:t>Total</w:t>
            </w:r>
          </w:p>
        </w:tc>
      </w:tr>
      <w:tr w:rsidR="00554FED" w:rsidRPr="00A810C3" w14:paraId="07C001EA" w14:textId="77777777" w:rsidTr="00DA0C94">
        <w:trPr>
          <w:trHeight w:val="290"/>
        </w:trPr>
        <w:tc>
          <w:tcPr>
            <w:tcW w:w="228" w:type="pct"/>
            <w:tcBorders>
              <w:top w:val="single" w:sz="8" w:space="0" w:color="auto"/>
            </w:tcBorders>
          </w:tcPr>
          <w:p w14:paraId="4B68B0DF" w14:textId="708E65DA" w:rsidR="00D0239C" w:rsidRPr="007D1FEC" w:rsidRDefault="00D0239C" w:rsidP="00DA0C94">
            <w:pPr>
              <w:jc w:val="right"/>
              <w:rPr>
                <w:sz w:val="20"/>
                <w:szCs w:val="20"/>
                <w:lang w:val="en-US"/>
              </w:rPr>
            </w:pPr>
            <w:r>
              <w:rPr>
                <w:sz w:val="20"/>
                <w:szCs w:val="20"/>
                <w:lang w:val="en-US"/>
              </w:rPr>
              <w:t>4</w:t>
            </w:r>
            <w:r w:rsidR="00885C6C">
              <w:rPr>
                <w:sz w:val="20"/>
                <w:szCs w:val="20"/>
                <w:lang w:val="en-US"/>
              </w:rPr>
              <w:t> </w:t>
            </w:r>
            <w:r>
              <w:rPr>
                <w:sz w:val="20"/>
                <w:szCs w:val="20"/>
                <w:lang w:val="en-US"/>
              </w:rPr>
              <w:t>(a)</w:t>
            </w:r>
          </w:p>
        </w:tc>
        <w:tc>
          <w:tcPr>
            <w:tcW w:w="1595" w:type="pct"/>
            <w:tcBorders>
              <w:top w:val="single" w:sz="8" w:space="0" w:color="auto"/>
            </w:tcBorders>
            <w:noWrap/>
            <w:tcMar>
              <w:top w:w="0" w:type="dxa"/>
              <w:left w:w="108" w:type="dxa"/>
              <w:bottom w:w="0" w:type="dxa"/>
              <w:right w:w="108" w:type="dxa"/>
            </w:tcMar>
            <w:vAlign w:val="center"/>
            <w:hideMark/>
          </w:tcPr>
          <w:p w14:paraId="0A5647BC" w14:textId="7D1635D7" w:rsidR="00D0239C" w:rsidRPr="004425A5" w:rsidRDefault="00D0239C" w:rsidP="00890663">
            <w:pPr>
              <w:jc w:val="left"/>
              <w:rPr>
                <w:iCs/>
                <w:sz w:val="20"/>
                <w:szCs w:val="20"/>
                <w:highlight w:val="yellow"/>
                <w:lang w:val="en-US"/>
              </w:rPr>
            </w:pPr>
            <w:r w:rsidRPr="00DA0C94">
              <w:rPr>
                <w:iCs/>
                <w:snapToGrid w:val="0"/>
                <w:kern w:val="22"/>
                <w:sz w:val="20"/>
                <w:szCs w:val="20"/>
              </w:rPr>
              <w:t>Support for the implementation of some</w:t>
            </w:r>
            <w:r w:rsidR="009F448B">
              <w:rPr>
                <w:iCs/>
                <w:snapToGrid w:val="0"/>
                <w:kern w:val="22"/>
                <w:sz w:val="20"/>
                <w:szCs w:val="20"/>
              </w:rPr>
              <w:t xml:space="preserve"> of the</w:t>
            </w:r>
            <w:r w:rsidRPr="00DA0C94">
              <w:rPr>
                <w:iCs/>
                <w:snapToGrid w:val="0"/>
                <w:kern w:val="22"/>
                <w:sz w:val="20"/>
                <w:szCs w:val="20"/>
              </w:rPr>
              <w:t xml:space="preserve"> recommendations </w:t>
            </w:r>
            <w:r w:rsidR="00966A89">
              <w:rPr>
                <w:iCs/>
                <w:snapToGrid w:val="0"/>
                <w:kern w:val="22"/>
                <w:sz w:val="20"/>
                <w:szCs w:val="20"/>
              </w:rPr>
              <w:t xml:space="preserve">in </w:t>
            </w:r>
            <w:r w:rsidRPr="00DA0C94">
              <w:rPr>
                <w:iCs/>
                <w:snapToGrid w:val="0"/>
                <w:kern w:val="22"/>
                <w:sz w:val="20"/>
                <w:szCs w:val="20"/>
              </w:rPr>
              <w:t>the functional review related to enhancing business processes, in case regular posts are not provided</w:t>
            </w:r>
          </w:p>
        </w:tc>
        <w:tc>
          <w:tcPr>
            <w:tcW w:w="533" w:type="pct"/>
            <w:tcBorders>
              <w:top w:val="single" w:sz="8" w:space="0" w:color="auto"/>
            </w:tcBorders>
            <w:noWrap/>
            <w:tcMar>
              <w:top w:w="0" w:type="dxa"/>
              <w:left w:w="108" w:type="dxa"/>
              <w:bottom w:w="0" w:type="dxa"/>
              <w:right w:w="108" w:type="dxa"/>
            </w:tcMar>
            <w:vAlign w:val="bottom"/>
            <w:hideMark/>
          </w:tcPr>
          <w:p w14:paraId="2B0AC047" w14:textId="581C62AE" w:rsidR="00D0239C" w:rsidRPr="00793F17" w:rsidRDefault="006A0A90" w:rsidP="006A0A90">
            <w:pPr>
              <w:jc w:val="right"/>
              <w:rPr>
                <w:sz w:val="20"/>
                <w:szCs w:val="20"/>
                <w:lang w:val="en-US"/>
              </w:rPr>
            </w:pPr>
            <w:r>
              <w:rPr>
                <w:sz w:val="20"/>
                <w:szCs w:val="20"/>
                <w:lang w:val="en-US"/>
              </w:rPr>
              <w:t>–</w:t>
            </w:r>
          </w:p>
        </w:tc>
        <w:tc>
          <w:tcPr>
            <w:tcW w:w="379" w:type="pct"/>
            <w:tcBorders>
              <w:top w:val="single" w:sz="8" w:space="0" w:color="auto"/>
            </w:tcBorders>
            <w:noWrap/>
            <w:tcMar>
              <w:top w:w="0" w:type="dxa"/>
              <w:left w:w="108" w:type="dxa"/>
              <w:bottom w:w="0" w:type="dxa"/>
              <w:right w:w="108" w:type="dxa"/>
            </w:tcMar>
            <w:vAlign w:val="bottom"/>
            <w:hideMark/>
          </w:tcPr>
          <w:p w14:paraId="567F3A7C" w14:textId="54028480" w:rsidR="00D0239C" w:rsidRPr="00793F17" w:rsidRDefault="006A0A90" w:rsidP="006A0A90">
            <w:pPr>
              <w:jc w:val="right"/>
              <w:rPr>
                <w:sz w:val="20"/>
                <w:szCs w:val="20"/>
                <w:lang w:val="en-US"/>
              </w:rPr>
            </w:pPr>
            <w:r>
              <w:rPr>
                <w:sz w:val="20"/>
                <w:szCs w:val="20"/>
                <w:lang w:val="en-US"/>
              </w:rPr>
              <w:t>–</w:t>
            </w:r>
          </w:p>
        </w:tc>
        <w:tc>
          <w:tcPr>
            <w:tcW w:w="532" w:type="pct"/>
            <w:tcBorders>
              <w:top w:val="single" w:sz="8" w:space="0" w:color="auto"/>
            </w:tcBorders>
            <w:noWrap/>
            <w:tcMar>
              <w:top w:w="0" w:type="dxa"/>
              <w:left w:w="108" w:type="dxa"/>
              <w:bottom w:w="0" w:type="dxa"/>
              <w:right w:w="108" w:type="dxa"/>
            </w:tcMar>
            <w:vAlign w:val="bottom"/>
            <w:hideMark/>
          </w:tcPr>
          <w:p w14:paraId="69F386F4" w14:textId="76EC3141" w:rsidR="00D0239C" w:rsidRPr="00793F17" w:rsidRDefault="00D0239C" w:rsidP="006A0A90">
            <w:pPr>
              <w:jc w:val="right"/>
              <w:rPr>
                <w:sz w:val="20"/>
                <w:szCs w:val="20"/>
                <w:lang w:val="en-US"/>
              </w:rPr>
            </w:pPr>
            <w:r>
              <w:rPr>
                <w:sz w:val="20"/>
                <w:szCs w:val="20"/>
                <w:lang w:val="en-US"/>
              </w:rPr>
              <w:t>288</w:t>
            </w:r>
            <w:r w:rsidR="00C8217E">
              <w:rPr>
                <w:sz w:val="20"/>
                <w:szCs w:val="20"/>
                <w:lang w:val="en-US"/>
              </w:rPr>
              <w:t> </w:t>
            </w:r>
            <w:r>
              <w:rPr>
                <w:sz w:val="20"/>
                <w:szCs w:val="20"/>
                <w:lang w:val="en-US"/>
              </w:rPr>
              <w:t>000</w:t>
            </w:r>
          </w:p>
        </w:tc>
        <w:tc>
          <w:tcPr>
            <w:tcW w:w="532" w:type="pct"/>
            <w:tcBorders>
              <w:top w:val="single" w:sz="8" w:space="0" w:color="auto"/>
            </w:tcBorders>
            <w:noWrap/>
            <w:tcMar>
              <w:top w:w="0" w:type="dxa"/>
              <w:left w:w="108" w:type="dxa"/>
              <w:bottom w:w="0" w:type="dxa"/>
              <w:right w:w="108" w:type="dxa"/>
            </w:tcMar>
            <w:vAlign w:val="bottom"/>
            <w:hideMark/>
          </w:tcPr>
          <w:p w14:paraId="3E8D2BA9" w14:textId="0A9DE25E" w:rsidR="00D0239C" w:rsidRPr="00793F17" w:rsidRDefault="00D0239C" w:rsidP="006A0A90">
            <w:pPr>
              <w:jc w:val="right"/>
              <w:rPr>
                <w:sz w:val="20"/>
                <w:szCs w:val="20"/>
                <w:lang w:val="en-US"/>
              </w:rPr>
            </w:pPr>
            <w:r>
              <w:rPr>
                <w:sz w:val="20"/>
                <w:szCs w:val="20"/>
                <w:lang w:val="en-US"/>
              </w:rPr>
              <w:t>288</w:t>
            </w:r>
            <w:r w:rsidR="00C8217E">
              <w:rPr>
                <w:sz w:val="20"/>
                <w:szCs w:val="20"/>
                <w:lang w:val="en-US"/>
              </w:rPr>
              <w:t> </w:t>
            </w:r>
            <w:r>
              <w:rPr>
                <w:sz w:val="20"/>
                <w:szCs w:val="20"/>
                <w:lang w:val="en-US"/>
              </w:rPr>
              <w:t>000</w:t>
            </w:r>
          </w:p>
        </w:tc>
        <w:tc>
          <w:tcPr>
            <w:tcW w:w="735" w:type="pct"/>
            <w:tcBorders>
              <w:top w:val="single" w:sz="8" w:space="0" w:color="auto"/>
            </w:tcBorders>
            <w:noWrap/>
            <w:tcMar>
              <w:top w:w="0" w:type="dxa"/>
              <w:left w:w="108" w:type="dxa"/>
              <w:bottom w:w="0" w:type="dxa"/>
              <w:right w:w="108" w:type="dxa"/>
            </w:tcMar>
            <w:vAlign w:val="bottom"/>
            <w:hideMark/>
          </w:tcPr>
          <w:p w14:paraId="48D0D73F" w14:textId="0812610E" w:rsidR="00D0239C" w:rsidRPr="00793F17" w:rsidRDefault="00D0239C" w:rsidP="006A0A90">
            <w:pPr>
              <w:jc w:val="right"/>
              <w:rPr>
                <w:sz w:val="20"/>
                <w:szCs w:val="20"/>
                <w:lang w:val="en-US"/>
              </w:rPr>
            </w:pPr>
            <w:r>
              <w:rPr>
                <w:sz w:val="20"/>
                <w:szCs w:val="20"/>
                <w:lang w:val="en-US"/>
              </w:rPr>
              <w:t>37</w:t>
            </w:r>
            <w:r w:rsidR="00C8217E">
              <w:rPr>
                <w:sz w:val="20"/>
                <w:szCs w:val="20"/>
                <w:lang w:val="en-US"/>
              </w:rPr>
              <w:t> </w:t>
            </w:r>
            <w:r>
              <w:rPr>
                <w:sz w:val="20"/>
                <w:szCs w:val="20"/>
                <w:lang w:val="en-US"/>
              </w:rPr>
              <w:t>440</w:t>
            </w:r>
          </w:p>
        </w:tc>
        <w:tc>
          <w:tcPr>
            <w:tcW w:w="466" w:type="pct"/>
            <w:tcBorders>
              <w:top w:val="single" w:sz="8" w:space="0" w:color="auto"/>
            </w:tcBorders>
            <w:noWrap/>
            <w:tcMar>
              <w:top w:w="0" w:type="dxa"/>
              <w:left w:w="108" w:type="dxa"/>
              <w:bottom w:w="0" w:type="dxa"/>
              <w:right w:w="108" w:type="dxa"/>
            </w:tcMar>
            <w:vAlign w:val="bottom"/>
            <w:hideMark/>
          </w:tcPr>
          <w:p w14:paraId="0EDE7876" w14:textId="38A181AD" w:rsidR="00D0239C" w:rsidRPr="001F3ED5" w:rsidRDefault="00D0239C" w:rsidP="006A0A90">
            <w:pPr>
              <w:jc w:val="right"/>
              <w:rPr>
                <w:sz w:val="20"/>
                <w:szCs w:val="20"/>
                <w:lang w:val="en-US"/>
              </w:rPr>
            </w:pPr>
            <w:r>
              <w:rPr>
                <w:sz w:val="20"/>
                <w:szCs w:val="20"/>
                <w:lang w:val="en-US"/>
              </w:rPr>
              <w:t>325</w:t>
            </w:r>
            <w:r w:rsidR="00175828">
              <w:rPr>
                <w:sz w:val="20"/>
                <w:szCs w:val="20"/>
                <w:lang w:val="en-US"/>
              </w:rPr>
              <w:t> </w:t>
            </w:r>
            <w:r>
              <w:rPr>
                <w:sz w:val="20"/>
                <w:szCs w:val="20"/>
                <w:lang w:val="en-US"/>
              </w:rPr>
              <w:t>440</w:t>
            </w:r>
          </w:p>
        </w:tc>
      </w:tr>
      <w:tr w:rsidR="00554FED" w:rsidRPr="00A810C3" w14:paraId="2B28FDF9" w14:textId="77777777" w:rsidTr="00DA0C94">
        <w:trPr>
          <w:trHeight w:val="290"/>
        </w:trPr>
        <w:tc>
          <w:tcPr>
            <w:tcW w:w="228" w:type="pct"/>
            <w:tcBorders>
              <w:bottom w:val="single" w:sz="4" w:space="0" w:color="auto"/>
            </w:tcBorders>
          </w:tcPr>
          <w:p w14:paraId="6C162694" w14:textId="2898D87D" w:rsidR="00D0239C" w:rsidRPr="007D1FEC" w:rsidRDefault="00D0239C" w:rsidP="00DA0C94">
            <w:pPr>
              <w:jc w:val="right"/>
              <w:rPr>
                <w:sz w:val="20"/>
                <w:szCs w:val="20"/>
                <w:lang w:val="en-US"/>
              </w:rPr>
            </w:pPr>
            <w:r>
              <w:rPr>
                <w:sz w:val="20"/>
                <w:szCs w:val="20"/>
                <w:lang w:val="en-US"/>
              </w:rPr>
              <w:t>4</w:t>
            </w:r>
            <w:r w:rsidR="00885C6C">
              <w:rPr>
                <w:sz w:val="20"/>
                <w:szCs w:val="20"/>
                <w:lang w:val="en-US"/>
              </w:rPr>
              <w:t> </w:t>
            </w:r>
            <w:r>
              <w:rPr>
                <w:sz w:val="20"/>
                <w:szCs w:val="20"/>
                <w:lang w:val="en-US"/>
              </w:rPr>
              <w:t>(a)</w:t>
            </w:r>
          </w:p>
        </w:tc>
        <w:tc>
          <w:tcPr>
            <w:tcW w:w="1595" w:type="pct"/>
            <w:tcBorders>
              <w:bottom w:val="single" w:sz="4" w:space="0" w:color="auto"/>
            </w:tcBorders>
            <w:noWrap/>
            <w:tcMar>
              <w:top w:w="0" w:type="dxa"/>
              <w:left w:w="108" w:type="dxa"/>
              <w:bottom w:w="0" w:type="dxa"/>
              <w:right w:w="108" w:type="dxa"/>
            </w:tcMar>
            <w:vAlign w:val="bottom"/>
          </w:tcPr>
          <w:p w14:paraId="28D2DAED" w14:textId="6F506008" w:rsidR="00D0239C" w:rsidRPr="007D1FEC" w:rsidRDefault="00D0239C" w:rsidP="001E1F08">
            <w:pPr>
              <w:jc w:val="left"/>
              <w:rPr>
                <w:sz w:val="20"/>
                <w:szCs w:val="20"/>
                <w:highlight w:val="yellow"/>
                <w:lang w:val="en-US"/>
              </w:rPr>
            </w:pPr>
            <w:r>
              <w:rPr>
                <w:sz w:val="20"/>
                <w:szCs w:val="20"/>
              </w:rPr>
              <w:t xml:space="preserve">Development of </w:t>
            </w:r>
            <w:r w:rsidR="001E1F08" w:rsidRPr="001E1F08">
              <w:rPr>
                <w:sz w:val="20"/>
                <w:szCs w:val="20"/>
              </w:rPr>
              <w:t>information technology</w:t>
            </w:r>
            <w:r>
              <w:rPr>
                <w:sz w:val="20"/>
                <w:szCs w:val="20"/>
              </w:rPr>
              <w:t xml:space="preserve"> solutions for the implementation of recommendations </w:t>
            </w:r>
            <w:r w:rsidR="00966A89">
              <w:rPr>
                <w:sz w:val="20"/>
                <w:szCs w:val="20"/>
              </w:rPr>
              <w:t>in</w:t>
            </w:r>
            <w:r>
              <w:rPr>
                <w:sz w:val="20"/>
                <w:szCs w:val="20"/>
              </w:rPr>
              <w:t xml:space="preserve"> the functional review related to enhancing business processes</w:t>
            </w:r>
          </w:p>
        </w:tc>
        <w:tc>
          <w:tcPr>
            <w:tcW w:w="533" w:type="pct"/>
            <w:tcBorders>
              <w:bottom w:val="single" w:sz="4" w:space="0" w:color="auto"/>
            </w:tcBorders>
            <w:noWrap/>
            <w:tcMar>
              <w:top w:w="0" w:type="dxa"/>
              <w:left w:w="108" w:type="dxa"/>
              <w:bottom w:w="0" w:type="dxa"/>
              <w:right w:w="108" w:type="dxa"/>
            </w:tcMar>
            <w:vAlign w:val="bottom"/>
          </w:tcPr>
          <w:p w14:paraId="3C2583F3" w14:textId="798110A2" w:rsidR="00D0239C" w:rsidRPr="00A810C3" w:rsidRDefault="006A0A90" w:rsidP="006A0A90">
            <w:pPr>
              <w:jc w:val="right"/>
              <w:rPr>
                <w:sz w:val="20"/>
                <w:szCs w:val="20"/>
                <w:lang w:val="en-US"/>
              </w:rPr>
            </w:pPr>
            <w:r>
              <w:rPr>
                <w:sz w:val="20"/>
                <w:szCs w:val="20"/>
                <w:lang w:val="en-US"/>
              </w:rPr>
              <w:t>–</w:t>
            </w:r>
          </w:p>
        </w:tc>
        <w:tc>
          <w:tcPr>
            <w:tcW w:w="379" w:type="pct"/>
            <w:tcBorders>
              <w:bottom w:val="single" w:sz="4" w:space="0" w:color="auto"/>
            </w:tcBorders>
            <w:noWrap/>
            <w:tcMar>
              <w:top w:w="0" w:type="dxa"/>
              <w:left w:w="108" w:type="dxa"/>
              <w:bottom w:w="0" w:type="dxa"/>
              <w:right w:w="108" w:type="dxa"/>
            </w:tcMar>
            <w:vAlign w:val="bottom"/>
          </w:tcPr>
          <w:p w14:paraId="0643D08E" w14:textId="67680F42" w:rsidR="00D0239C" w:rsidRPr="00A810C3" w:rsidRDefault="006A0A90" w:rsidP="006A0A90">
            <w:pPr>
              <w:jc w:val="right"/>
              <w:rPr>
                <w:sz w:val="20"/>
                <w:szCs w:val="20"/>
                <w:lang w:val="en-US"/>
              </w:rPr>
            </w:pPr>
            <w:r>
              <w:t>–</w:t>
            </w:r>
          </w:p>
        </w:tc>
        <w:tc>
          <w:tcPr>
            <w:tcW w:w="532" w:type="pct"/>
            <w:tcBorders>
              <w:bottom w:val="single" w:sz="4" w:space="0" w:color="auto"/>
            </w:tcBorders>
            <w:noWrap/>
            <w:tcMar>
              <w:top w:w="0" w:type="dxa"/>
              <w:left w:w="108" w:type="dxa"/>
              <w:bottom w:w="0" w:type="dxa"/>
              <w:right w:w="108" w:type="dxa"/>
            </w:tcMar>
            <w:vAlign w:val="bottom"/>
          </w:tcPr>
          <w:p w14:paraId="72A491CD" w14:textId="6A20E046" w:rsidR="00D0239C" w:rsidRPr="002F3D2F" w:rsidRDefault="00D0239C" w:rsidP="006A0A90">
            <w:pPr>
              <w:jc w:val="right"/>
              <w:rPr>
                <w:sz w:val="20"/>
                <w:szCs w:val="20"/>
                <w:lang w:val="en-US"/>
              </w:rPr>
            </w:pPr>
            <w:r>
              <w:rPr>
                <w:sz w:val="20"/>
                <w:szCs w:val="20"/>
                <w:lang w:val="en-US"/>
              </w:rPr>
              <w:t>50</w:t>
            </w:r>
            <w:r w:rsidR="00C8217E">
              <w:rPr>
                <w:sz w:val="20"/>
                <w:szCs w:val="20"/>
                <w:lang w:val="en-US"/>
              </w:rPr>
              <w:t> </w:t>
            </w:r>
            <w:r>
              <w:rPr>
                <w:sz w:val="20"/>
                <w:szCs w:val="20"/>
                <w:lang w:val="en-US"/>
              </w:rPr>
              <w:t>000</w:t>
            </w:r>
          </w:p>
        </w:tc>
        <w:tc>
          <w:tcPr>
            <w:tcW w:w="532" w:type="pct"/>
            <w:tcBorders>
              <w:bottom w:val="single" w:sz="4" w:space="0" w:color="auto"/>
            </w:tcBorders>
            <w:noWrap/>
            <w:tcMar>
              <w:top w:w="0" w:type="dxa"/>
              <w:left w:w="108" w:type="dxa"/>
              <w:bottom w:w="0" w:type="dxa"/>
              <w:right w:w="108" w:type="dxa"/>
            </w:tcMar>
            <w:vAlign w:val="bottom"/>
          </w:tcPr>
          <w:p w14:paraId="2E7A6AD9" w14:textId="77777777" w:rsidR="00D0239C" w:rsidRPr="002F3D2F" w:rsidRDefault="00D0239C" w:rsidP="006A0A90">
            <w:pPr>
              <w:jc w:val="right"/>
              <w:rPr>
                <w:sz w:val="20"/>
                <w:szCs w:val="20"/>
                <w:lang w:val="en-US"/>
              </w:rPr>
            </w:pPr>
            <w:r>
              <w:rPr>
                <w:sz w:val="20"/>
                <w:szCs w:val="20"/>
              </w:rPr>
              <w:t>50 000</w:t>
            </w:r>
          </w:p>
        </w:tc>
        <w:tc>
          <w:tcPr>
            <w:tcW w:w="735" w:type="pct"/>
            <w:tcBorders>
              <w:bottom w:val="single" w:sz="4" w:space="0" w:color="auto"/>
            </w:tcBorders>
            <w:noWrap/>
            <w:tcMar>
              <w:top w:w="0" w:type="dxa"/>
              <w:left w:w="108" w:type="dxa"/>
              <w:bottom w:w="0" w:type="dxa"/>
              <w:right w:w="108" w:type="dxa"/>
            </w:tcMar>
            <w:vAlign w:val="bottom"/>
          </w:tcPr>
          <w:p w14:paraId="2961C699" w14:textId="38B3DE8B" w:rsidR="00D0239C" w:rsidRPr="002F3D2F" w:rsidRDefault="00D0239C" w:rsidP="006A0A90">
            <w:pPr>
              <w:jc w:val="right"/>
              <w:rPr>
                <w:sz w:val="20"/>
                <w:szCs w:val="20"/>
                <w:lang w:val="en-US"/>
              </w:rPr>
            </w:pPr>
            <w:r>
              <w:rPr>
                <w:sz w:val="20"/>
                <w:szCs w:val="20"/>
              </w:rPr>
              <w:t>6</w:t>
            </w:r>
            <w:r w:rsidR="00C8217E">
              <w:rPr>
                <w:sz w:val="20"/>
                <w:szCs w:val="20"/>
              </w:rPr>
              <w:t> </w:t>
            </w:r>
            <w:r>
              <w:rPr>
                <w:sz w:val="20"/>
                <w:szCs w:val="20"/>
              </w:rPr>
              <w:t>500</w:t>
            </w:r>
          </w:p>
        </w:tc>
        <w:tc>
          <w:tcPr>
            <w:tcW w:w="466" w:type="pct"/>
            <w:tcBorders>
              <w:bottom w:val="single" w:sz="4" w:space="0" w:color="auto"/>
            </w:tcBorders>
            <w:noWrap/>
            <w:tcMar>
              <w:top w:w="0" w:type="dxa"/>
              <w:left w:w="108" w:type="dxa"/>
              <w:bottom w:w="0" w:type="dxa"/>
              <w:right w:w="108" w:type="dxa"/>
            </w:tcMar>
            <w:vAlign w:val="bottom"/>
          </w:tcPr>
          <w:p w14:paraId="270CA52A" w14:textId="1815AAB8" w:rsidR="00D0239C" w:rsidRPr="002F3D2F" w:rsidRDefault="00D0239C" w:rsidP="006A0A90">
            <w:pPr>
              <w:jc w:val="right"/>
              <w:rPr>
                <w:sz w:val="20"/>
                <w:szCs w:val="20"/>
                <w:lang w:val="en-US"/>
              </w:rPr>
            </w:pPr>
            <w:r>
              <w:rPr>
                <w:sz w:val="20"/>
                <w:szCs w:val="20"/>
              </w:rPr>
              <w:t>56</w:t>
            </w:r>
            <w:r w:rsidR="00C8217E">
              <w:rPr>
                <w:sz w:val="20"/>
                <w:szCs w:val="20"/>
              </w:rPr>
              <w:t> </w:t>
            </w:r>
            <w:r>
              <w:rPr>
                <w:sz w:val="20"/>
                <w:szCs w:val="20"/>
              </w:rPr>
              <w:t>500</w:t>
            </w:r>
          </w:p>
        </w:tc>
      </w:tr>
      <w:tr w:rsidR="001B53C7" w:rsidRPr="00A810C3" w14:paraId="35E93338" w14:textId="77777777" w:rsidTr="00DA0C94">
        <w:trPr>
          <w:trHeight w:val="290"/>
        </w:trPr>
        <w:tc>
          <w:tcPr>
            <w:tcW w:w="228" w:type="pct"/>
            <w:tcBorders>
              <w:top w:val="single" w:sz="4" w:space="0" w:color="auto"/>
              <w:bottom w:val="single" w:sz="8" w:space="0" w:color="auto"/>
            </w:tcBorders>
          </w:tcPr>
          <w:p w14:paraId="5EA3F865" w14:textId="77777777" w:rsidR="00D0239C" w:rsidRPr="007D1FEC" w:rsidRDefault="00D0239C" w:rsidP="00DA0C94">
            <w:pPr>
              <w:jc w:val="right"/>
              <w:rPr>
                <w:sz w:val="20"/>
                <w:szCs w:val="20"/>
                <w:lang w:val="en-US"/>
              </w:rPr>
            </w:pPr>
          </w:p>
        </w:tc>
        <w:tc>
          <w:tcPr>
            <w:tcW w:w="1595" w:type="pct"/>
            <w:tcBorders>
              <w:top w:val="single" w:sz="4" w:space="0" w:color="auto"/>
              <w:bottom w:val="single" w:sz="8" w:space="0" w:color="auto"/>
            </w:tcBorders>
            <w:noWrap/>
            <w:tcMar>
              <w:top w:w="0" w:type="dxa"/>
              <w:left w:w="108" w:type="dxa"/>
              <w:bottom w:w="0" w:type="dxa"/>
              <w:right w:w="108" w:type="dxa"/>
            </w:tcMar>
            <w:vAlign w:val="bottom"/>
          </w:tcPr>
          <w:p w14:paraId="537D2AB5" w14:textId="77777777" w:rsidR="00D0239C" w:rsidRPr="003305F8" w:rsidRDefault="00D0239C" w:rsidP="00890663">
            <w:pPr>
              <w:tabs>
                <w:tab w:val="clear" w:pos="567"/>
                <w:tab w:val="left" w:pos="230"/>
              </w:tabs>
              <w:jc w:val="left"/>
              <w:rPr>
                <w:sz w:val="20"/>
                <w:szCs w:val="20"/>
              </w:rPr>
            </w:pPr>
            <w:r>
              <w:rPr>
                <w:b/>
                <w:bCs/>
                <w:sz w:val="20"/>
                <w:szCs w:val="20"/>
                <w:lang w:val="en-US"/>
              </w:rPr>
              <w:tab/>
              <w:t>T</w:t>
            </w:r>
            <w:r w:rsidRPr="001F3ED5">
              <w:rPr>
                <w:b/>
                <w:bCs/>
                <w:sz w:val="20"/>
                <w:szCs w:val="20"/>
                <w:lang w:val="en-US"/>
              </w:rPr>
              <w:t>otal</w:t>
            </w:r>
          </w:p>
        </w:tc>
        <w:tc>
          <w:tcPr>
            <w:tcW w:w="1444" w:type="pct"/>
            <w:gridSpan w:val="3"/>
            <w:tcBorders>
              <w:top w:val="single" w:sz="4" w:space="0" w:color="auto"/>
              <w:bottom w:val="single" w:sz="8" w:space="0" w:color="auto"/>
            </w:tcBorders>
            <w:vAlign w:val="bottom"/>
          </w:tcPr>
          <w:p w14:paraId="03DC50CD" w14:textId="77777777" w:rsidR="00D0239C" w:rsidRDefault="00D0239C" w:rsidP="006A0A90">
            <w:pPr>
              <w:tabs>
                <w:tab w:val="clear" w:pos="1134"/>
              </w:tabs>
              <w:ind w:right="143"/>
              <w:jc w:val="right"/>
              <w:rPr>
                <w:b/>
                <w:bCs/>
                <w:sz w:val="20"/>
                <w:szCs w:val="20"/>
                <w:lang w:val="en-US"/>
              </w:rPr>
            </w:pPr>
          </w:p>
        </w:tc>
        <w:tc>
          <w:tcPr>
            <w:tcW w:w="532" w:type="pct"/>
            <w:tcBorders>
              <w:top w:val="single" w:sz="4" w:space="0" w:color="auto"/>
              <w:bottom w:val="single" w:sz="8" w:space="0" w:color="auto"/>
            </w:tcBorders>
            <w:noWrap/>
            <w:tcMar>
              <w:top w:w="0" w:type="dxa"/>
              <w:left w:w="108" w:type="dxa"/>
              <w:bottom w:w="0" w:type="dxa"/>
              <w:right w:w="108" w:type="dxa"/>
            </w:tcMar>
            <w:vAlign w:val="bottom"/>
          </w:tcPr>
          <w:p w14:paraId="3614834B" w14:textId="3D297965" w:rsidR="00D0239C" w:rsidRPr="002F3D2F" w:rsidRDefault="00D0239C" w:rsidP="006A0A90">
            <w:pPr>
              <w:jc w:val="right"/>
              <w:rPr>
                <w:sz w:val="20"/>
                <w:szCs w:val="20"/>
              </w:rPr>
            </w:pPr>
            <w:r>
              <w:rPr>
                <w:b/>
                <w:bCs/>
                <w:sz w:val="20"/>
                <w:szCs w:val="20"/>
              </w:rPr>
              <w:t>338</w:t>
            </w:r>
            <w:r w:rsidR="00C8217E">
              <w:rPr>
                <w:b/>
                <w:bCs/>
                <w:sz w:val="20"/>
                <w:szCs w:val="20"/>
              </w:rPr>
              <w:t> </w:t>
            </w:r>
            <w:r>
              <w:rPr>
                <w:b/>
                <w:bCs/>
                <w:sz w:val="20"/>
                <w:szCs w:val="20"/>
              </w:rPr>
              <w:t>000</w:t>
            </w:r>
          </w:p>
        </w:tc>
        <w:tc>
          <w:tcPr>
            <w:tcW w:w="735" w:type="pct"/>
            <w:tcBorders>
              <w:top w:val="single" w:sz="4" w:space="0" w:color="auto"/>
              <w:bottom w:val="single" w:sz="8" w:space="0" w:color="auto"/>
            </w:tcBorders>
            <w:noWrap/>
            <w:tcMar>
              <w:top w:w="0" w:type="dxa"/>
              <w:left w:w="108" w:type="dxa"/>
              <w:bottom w:w="0" w:type="dxa"/>
              <w:right w:w="108" w:type="dxa"/>
            </w:tcMar>
            <w:vAlign w:val="bottom"/>
          </w:tcPr>
          <w:p w14:paraId="4BFD9E46" w14:textId="67A06E59" w:rsidR="00D0239C" w:rsidRPr="007D6553" w:rsidRDefault="00D0239C" w:rsidP="006A0A90">
            <w:pPr>
              <w:jc w:val="right"/>
              <w:rPr>
                <w:b/>
                <w:bCs/>
                <w:sz w:val="20"/>
                <w:szCs w:val="20"/>
              </w:rPr>
            </w:pPr>
            <w:r>
              <w:rPr>
                <w:b/>
                <w:bCs/>
                <w:sz w:val="20"/>
                <w:szCs w:val="20"/>
              </w:rPr>
              <w:t>43</w:t>
            </w:r>
            <w:r w:rsidR="00C8217E">
              <w:rPr>
                <w:b/>
                <w:bCs/>
                <w:sz w:val="20"/>
                <w:szCs w:val="20"/>
              </w:rPr>
              <w:t> </w:t>
            </w:r>
            <w:r>
              <w:rPr>
                <w:b/>
                <w:bCs/>
                <w:sz w:val="20"/>
                <w:szCs w:val="20"/>
              </w:rPr>
              <w:t>940</w:t>
            </w:r>
          </w:p>
        </w:tc>
        <w:tc>
          <w:tcPr>
            <w:tcW w:w="466" w:type="pct"/>
            <w:tcBorders>
              <w:top w:val="single" w:sz="4" w:space="0" w:color="auto"/>
              <w:bottom w:val="single" w:sz="8" w:space="0" w:color="auto"/>
            </w:tcBorders>
            <w:noWrap/>
            <w:tcMar>
              <w:top w:w="0" w:type="dxa"/>
              <w:left w:w="108" w:type="dxa"/>
              <w:bottom w:w="0" w:type="dxa"/>
              <w:right w:w="108" w:type="dxa"/>
            </w:tcMar>
            <w:vAlign w:val="bottom"/>
          </w:tcPr>
          <w:p w14:paraId="5BADCEF3" w14:textId="3F87ADE1" w:rsidR="00D0239C" w:rsidRPr="007D6553" w:rsidRDefault="00D0239C" w:rsidP="006A0A90">
            <w:pPr>
              <w:ind w:right="-22"/>
              <w:jc w:val="right"/>
              <w:rPr>
                <w:b/>
                <w:bCs/>
                <w:sz w:val="20"/>
                <w:szCs w:val="20"/>
              </w:rPr>
            </w:pPr>
            <w:r>
              <w:rPr>
                <w:b/>
                <w:bCs/>
                <w:sz w:val="20"/>
                <w:szCs w:val="20"/>
              </w:rPr>
              <w:t>381</w:t>
            </w:r>
            <w:r w:rsidR="00C8217E">
              <w:rPr>
                <w:b/>
                <w:bCs/>
                <w:sz w:val="20"/>
                <w:szCs w:val="20"/>
              </w:rPr>
              <w:t> </w:t>
            </w:r>
            <w:r>
              <w:rPr>
                <w:b/>
                <w:bCs/>
                <w:sz w:val="20"/>
                <w:szCs w:val="20"/>
              </w:rPr>
              <w:t>940</w:t>
            </w:r>
          </w:p>
        </w:tc>
      </w:tr>
    </w:tbl>
    <w:p w14:paraId="4E5EB73F" w14:textId="77777777" w:rsidR="00D0239C" w:rsidRPr="00684A7C" w:rsidRDefault="00D0239C" w:rsidP="00D0239C">
      <w:pPr>
        <w:spacing w:before="120"/>
        <w:ind w:firstLine="567"/>
        <w:rPr>
          <w:sz w:val="18"/>
          <w:szCs w:val="18"/>
        </w:rPr>
      </w:pPr>
      <w:r w:rsidRPr="00D10F38">
        <w:rPr>
          <w:i/>
          <w:iCs/>
          <w:sz w:val="18"/>
          <w:szCs w:val="18"/>
        </w:rPr>
        <w:t>Abbreviation</w:t>
      </w:r>
      <w:r>
        <w:rPr>
          <w:i/>
          <w:iCs/>
          <w:sz w:val="18"/>
          <w:szCs w:val="18"/>
        </w:rPr>
        <w:t>s</w:t>
      </w:r>
      <w:r w:rsidRPr="00D10F38">
        <w:rPr>
          <w:sz w:val="18"/>
          <w:szCs w:val="18"/>
        </w:rPr>
        <w:t xml:space="preserve">: </w:t>
      </w:r>
      <w:r>
        <w:rPr>
          <w:sz w:val="18"/>
          <w:szCs w:val="18"/>
        </w:rPr>
        <w:t xml:space="preserve">PSC, programme support costs; </w:t>
      </w:r>
      <w:r w:rsidRPr="00D10F38">
        <w:rPr>
          <w:sz w:val="18"/>
          <w:szCs w:val="18"/>
        </w:rPr>
        <w:t xml:space="preserve">OP, operative paragraph of the </w:t>
      </w:r>
      <w:r>
        <w:rPr>
          <w:sz w:val="18"/>
          <w:szCs w:val="18"/>
        </w:rPr>
        <w:t xml:space="preserve">recommendation or </w:t>
      </w:r>
      <w:r w:rsidRPr="00D10F38">
        <w:rPr>
          <w:sz w:val="18"/>
          <w:szCs w:val="18"/>
        </w:rPr>
        <w:t>draft decision.</w:t>
      </w:r>
    </w:p>
    <w:p w14:paraId="22A8C5CE" w14:textId="0D85A24B" w:rsidR="00D0239C" w:rsidRDefault="00D0239C" w:rsidP="00DA0C94">
      <w:pPr>
        <w:tabs>
          <w:tab w:val="left" w:pos="851"/>
        </w:tabs>
        <w:ind w:firstLine="567"/>
        <w:rPr>
          <w:sz w:val="18"/>
          <w:szCs w:val="18"/>
          <w:lang w:val="en-US"/>
        </w:rPr>
      </w:pPr>
      <w:r w:rsidRPr="00684A7C">
        <w:rPr>
          <w:i/>
          <w:iCs/>
          <w:sz w:val="18"/>
          <w:szCs w:val="18"/>
          <w:vertAlign w:val="superscript"/>
        </w:rPr>
        <w:t>a</w:t>
      </w:r>
      <w:r w:rsidRPr="00684A7C">
        <w:rPr>
          <w:sz w:val="18"/>
          <w:szCs w:val="18"/>
        </w:rPr>
        <w:tab/>
      </w:r>
      <w:r w:rsidR="003471DF" w:rsidRPr="00AC273E">
        <w:rPr>
          <w:sz w:val="18"/>
          <w:szCs w:val="18"/>
          <w:lang w:val="en-US"/>
        </w:rPr>
        <w:t>Consultants</w:t>
      </w:r>
      <w:r w:rsidR="003471DF">
        <w:rPr>
          <w:sz w:val="18"/>
          <w:szCs w:val="18"/>
          <w:lang w:val="en-US"/>
        </w:rPr>
        <w:t>, partners and additional staff</w:t>
      </w:r>
      <w:r w:rsidRPr="00034B2A">
        <w:rPr>
          <w:sz w:val="18"/>
          <w:szCs w:val="18"/>
          <w:lang w:val="en-US"/>
        </w:rPr>
        <w:t>.</w:t>
      </w:r>
    </w:p>
    <w:p w14:paraId="30F66821" w14:textId="784A94F4" w:rsidR="00244EFC" w:rsidRDefault="00D0239C" w:rsidP="00DA0C94">
      <w:pPr>
        <w:pStyle w:val="FootnoteText"/>
        <w:ind w:left="567"/>
      </w:pPr>
      <w:r w:rsidRPr="00DA0C94">
        <w:rPr>
          <w:i/>
          <w:iCs/>
        </w:rPr>
        <w:t>Note</w:t>
      </w:r>
      <w:r w:rsidRPr="007D7F56">
        <w:t xml:space="preserve">: the </w:t>
      </w:r>
      <w:r>
        <w:t xml:space="preserve">full </w:t>
      </w:r>
      <w:r w:rsidRPr="007D7F56">
        <w:t xml:space="preserve">implementation of the recommendations </w:t>
      </w:r>
      <w:r>
        <w:t xml:space="preserve">from the functional review </w:t>
      </w:r>
      <w:r w:rsidRPr="007D7F56">
        <w:t xml:space="preserve">would require additional posts, but those details will be provided to </w:t>
      </w:r>
      <w:r w:rsidR="00797E93">
        <w:t>the Conference of the Parties</w:t>
      </w:r>
      <w:r w:rsidRPr="007D7F56">
        <w:t xml:space="preserve"> as part of the budget proposal</w:t>
      </w:r>
      <w:r w:rsidR="00CC3C6B" w:rsidRPr="00CC3C6B">
        <w:t xml:space="preserve"> </w:t>
      </w:r>
      <w:r w:rsidR="00CC3C6B">
        <w:t>for consideration at its seventeenth meeting</w:t>
      </w:r>
      <w:r w:rsidR="00797E93">
        <w:t>.</w:t>
      </w:r>
    </w:p>
    <w:p w14:paraId="71250DCD" w14:textId="2D41CCA2" w:rsidR="00244EFC" w:rsidRPr="00DD0CE4" w:rsidRDefault="00BD430E" w:rsidP="00A111D1">
      <w:pPr>
        <w:pStyle w:val="Para1"/>
        <w:numPr>
          <w:ilvl w:val="0"/>
          <w:numId w:val="0"/>
        </w:numPr>
        <w:ind w:left="567"/>
        <w:jc w:val="center"/>
      </w:pPr>
      <w:r>
        <w:t>__________</w:t>
      </w:r>
    </w:p>
    <w:sectPr w:rsidR="00244EFC" w:rsidRPr="00DD0CE4" w:rsidSect="00DA0C94">
      <w:pgSz w:w="12240" w:h="15840"/>
      <w:pgMar w:top="1134" w:right="1440" w:bottom="1134"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56373" w14:textId="77777777" w:rsidR="00C63368" w:rsidRPr="00DD0CE4" w:rsidRDefault="00C63368" w:rsidP="00CF1848">
      <w:r w:rsidRPr="00DD0CE4">
        <w:separator/>
      </w:r>
    </w:p>
  </w:endnote>
  <w:endnote w:type="continuationSeparator" w:id="0">
    <w:p w14:paraId="0B38D5CA" w14:textId="77777777" w:rsidR="00C63368" w:rsidRPr="00DD0CE4" w:rsidRDefault="00C63368" w:rsidP="00CF1848">
      <w:r w:rsidRPr="00DD0C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B83765E" w14:textId="77777777" w:rsidR="00D75CA6" w:rsidRPr="00DD0CE4" w:rsidRDefault="00D75CA6" w:rsidP="00DA0C94">
            <w:pPr>
              <w:pStyle w:val="CBDFooter"/>
              <w:jc w:val="left"/>
            </w:pPr>
            <w:r w:rsidRPr="00DD0CE4">
              <w:fldChar w:fldCharType="begin"/>
            </w:r>
            <w:r w:rsidRPr="00DD0CE4">
              <w:instrText xml:space="preserve"> PAGE </w:instrText>
            </w:r>
            <w:r w:rsidRPr="00DD0CE4">
              <w:fldChar w:fldCharType="separate"/>
            </w:r>
            <w:r w:rsidRPr="00DD0CE4">
              <w:rPr>
                <w:noProof/>
              </w:rPr>
              <w:t>2</w:t>
            </w:r>
            <w:r w:rsidRPr="00DD0CE4">
              <w:fldChar w:fldCharType="end"/>
            </w:r>
            <w:r w:rsidRPr="00DD0CE4">
              <w:t>/</w:t>
            </w:r>
            <w:r w:rsidRPr="00DD0CE4">
              <w:fldChar w:fldCharType="begin"/>
            </w:r>
            <w:r w:rsidRPr="00DD0CE4">
              <w:instrText xml:space="preserve"> NUMPAGES  </w:instrText>
            </w:r>
            <w:r w:rsidRPr="00DD0CE4">
              <w:fldChar w:fldCharType="separate"/>
            </w:r>
            <w:r w:rsidRPr="00DD0CE4">
              <w:rPr>
                <w:noProof/>
              </w:rPr>
              <w:t>2</w:t>
            </w:r>
            <w:r w:rsidRPr="00DD0CE4">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6946B9A" w14:textId="77777777" w:rsidR="00D75CA6" w:rsidRPr="00DD0CE4" w:rsidRDefault="00D75CA6" w:rsidP="00DA0C94">
        <w:pPr>
          <w:pStyle w:val="CBDFooter"/>
          <w:jc w:val="right"/>
        </w:pPr>
        <w:r w:rsidRPr="00DD0CE4">
          <w:fldChar w:fldCharType="begin"/>
        </w:r>
        <w:r w:rsidRPr="00DD0CE4">
          <w:instrText xml:space="preserve"> PAGE </w:instrText>
        </w:r>
        <w:r w:rsidRPr="00DD0CE4">
          <w:fldChar w:fldCharType="separate"/>
        </w:r>
        <w:r w:rsidRPr="00DD0CE4">
          <w:t>2</w:t>
        </w:r>
        <w:r w:rsidRPr="00DD0CE4">
          <w:fldChar w:fldCharType="end"/>
        </w:r>
        <w:r w:rsidRPr="00DD0CE4">
          <w:t>/</w:t>
        </w:r>
        <w:r w:rsidRPr="00DD0CE4">
          <w:fldChar w:fldCharType="begin"/>
        </w:r>
        <w:r w:rsidRPr="00DD0CE4">
          <w:instrText xml:space="preserve"> NUMPAGES  </w:instrText>
        </w:r>
        <w:r w:rsidRPr="00DD0CE4">
          <w:fldChar w:fldCharType="separate"/>
        </w:r>
        <w:r w:rsidRPr="00DD0CE4">
          <w:t>3</w:t>
        </w:r>
        <w:r w:rsidRPr="00DD0CE4">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2730F" w14:textId="77777777" w:rsidR="00C63368" w:rsidRPr="00DD0CE4" w:rsidRDefault="00C63368" w:rsidP="00CF1848">
      <w:r w:rsidRPr="00DD0CE4">
        <w:separator/>
      </w:r>
    </w:p>
  </w:footnote>
  <w:footnote w:type="continuationSeparator" w:id="0">
    <w:p w14:paraId="4A5CB662" w14:textId="77777777" w:rsidR="00C63368" w:rsidRPr="00DD0CE4" w:rsidRDefault="00C63368" w:rsidP="00CF1848">
      <w:r w:rsidRPr="00DD0CE4">
        <w:continuationSeparator/>
      </w:r>
    </w:p>
  </w:footnote>
  <w:footnote w:id="1">
    <w:p w14:paraId="68A47947" w14:textId="0DE208E3" w:rsidR="008A1499" w:rsidRPr="00A64D03" w:rsidRDefault="008A1499">
      <w:pPr>
        <w:pStyle w:val="FootnoteText"/>
      </w:pPr>
      <w:r w:rsidRPr="00A64D03">
        <w:rPr>
          <w:rStyle w:val="FootnoteReference"/>
        </w:rPr>
        <w:t>*</w:t>
      </w:r>
      <w:r w:rsidRPr="00A64D03">
        <w:t xml:space="preserve"> </w:t>
      </w:r>
      <w:hyperlink r:id="rId1" w:history="1">
        <w:r w:rsidR="008520D1" w:rsidRPr="00DA0C94">
          <w:rPr>
            <w:rStyle w:val="Hyperlink"/>
          </w:rPr>
          <w:t>CBD</w:t>
        </w:r>
        <w:r w:rsidR="009C0695" w:rsidRPr="00A64D03">
          <w:rPr>
            <w:rStyle w:val="Hyperlink"/>
          </w:rPr>
          <w:t>/</w:t>
        </w:r>
        <w:r w:rsidR="009C0695" w:rsidRPr="00DA0C94">
          <w:rPr>
            <w:rStyle w:val="Hyperlink"/>
          </w:rPr>
          <w:t>SBI</w:t>
        </w:r>
        <w:r w:rsidR="009C0695" w:rsidRPr="00A64D03">
          <w:rPr>
            <w:rStyle w:val="Hyperlink"/>
          </w:rPr>
          <w:t>/</w:t>
        </w:r>
        <w:r w:rsidR="00544410" w:rsidRPr="00A64D03">
          <w:rPr>
            <w:rStyle w:val="Hyperlink"/>
          </w:rPr>
          <w:t>6/1</w:t>
        </w:r>
      </w:hyperlink>
      <w:r w:rsidR="000E0C85" w:rsidRPr="00A64D03">
        <w:t>.</w:t>
      </w:r>
    </w:p>
  </w:footnote>
  <w:footnote w:id="2">
    <w:p w14:paraId="01783E8D" w14:textId="21DE2485" w:rsidR="00DA3BBE" w:rsidRPr="00DA0C94" w:rsidRDefault="00DA3BBE">
      <w:pPr>
        <w:pStyle w:val="FootnoteText"/>
      </w:pPr>
      <w:r w:rsidRPr="00A64D03">
        <w:rPr>
          <w:rStyle w:val="FootnoteReference"/>
        </w:rPr>
        <w:footnoteRef/>
      </w:r>
      <w:r w:rsidRPr="00A64D03">
        <w:t xml:space="preserve"> The Management Consulting Team is a group of internal </w:t>
      </w:r>
      <w:r w:rsidRPr="00DA0C94">
        <w:t>UNDP</w:t>
      </w:r>
      <w:r w:rsidRPr="00A64D03">
        <w:t xml:space="preserve"> management practitioners based in New York </w:t>
      </w:r>
      <w:r w:rsidR="00927FEF">
        <w:t xml:space="preserve">that is </w:t>
      </w:r>
      <w:r w:rsidRPr="00A64D03">
        <w:t>speciali</w:t>
      </w:r>
      <w:r w:rsidR="006B19E2" w:rsidRPr="00A64D03">
        <w:t>z</w:t>
      </w:r>
      <w:r w:rsidR="00927FEF">
        <w:t>ed</w:t>
      </w:r>
      <w:r w:rsidRPr="00A64D03">
        <w:t xml:space="preserve"> in improving strategic and operational performance by providing advisory services and analytics for business transformation and change management.</w:t>
      </w:r>
    </w:p>
  </w:footnote>
  <w:footnote w:id="3">
    <w:p w14:paraId="544F9951" w14:textId="358A2E77" w:rsidR="00503D21" w:rsidRPr="00A64D03" w:rsidRDefault="00503D21" w:rsidP="00503D21">
      <w:pPr>
        <w:pStyle w:val="CBDFootnoteText"/>
      </w:pPr>
      <w:r w:rsidRPr="00A64D03">
        <w:rPr>
          <w:rStyle w:val="FootnoteReference"/>
        </w:rPr>
        <w:footnoteRef/>
      </w:r>
      <w:r w:rsidRPr="00A64D03">
        <w:t xml:space="preserve"> As provided i</w:t>
      </w:r>
      <w:r w:rsidRPr="00DA0C94">
        <w:t>n A</w:t>
      </w:r>
      <w:r w:rsidRPr="00A64D03">
        <w:t>rticle 24 of the Convention</w:t>
      </w:r>
      <w:r w:rsidR="0025688B" w:rsidRPr="0025688B">
        <w:t xml:space="preserve"> </w:t>
      </w:r>
      <w:r w:rsidR="0025688B" w:rsidRPr="00A85B01">
        <w:t>on Biological Diversity</w:t>
      </w:r>
      <w:r w:rsidRPr="00A64D03">
        <w:t>.</w:t>
      </w:r>
    </w:p>
  </w:footnote>
  <w:footnote w:id="4">
    <w:p w14:paraId="764FB9C7" w14:textId="2C901837" w:rsidR="002A66FA" w:rsidRPr="00DA0C94" w:rsidRDefault="002A66FA">
      <w:pPr>
        <w:pStyle w:val="FootnoteText"/>
      </w:pPr>
      <w:r w:rsidRPr="00A64D03">
        <w:rPr>
          <w:rStyle w:val="FootnoteReference"/>
        </w:rPr>
        <w:footnoteRef/>
      </w:r>
      <w:r w:rsidRPr="00A64D03">
        <w:t xml:space="preserve"> </w:t>
      </w:r>
      <w:r w:rsidR="009D0CA1" w:rsidRPr="00A64D03">
        <w:t xml:space="preserve">In view of the deadline for </w:t>
      </w:r>
      <w:r w:rsidR="00DE1BC0">
        <w:t>issuance</w:t>
      </w:r>
      <w:r w:rsidR="007372BB">
        <w:t xml:space="preserve"> of</w:t>
      </w:r>
      <w:r w:rsidR="00DE1BC0" w:rsidRPr="00A64D03">
        <w:t xml:space="preserve"> </w:t>
      </w:r>
      <w:r w:rsidR="009D0CA1" w:rsidRPr="00A64D03">
        <w:t>working</w:t>
      </w:r>
      <w:r w:rsidR="009D0CA1" w:rsidRPr="00DD0CE4">
        <w:t xml:space="preserve"> documents for the present meeting</w:t>
      </w:r>
      <w:r w:rsidR="0001579C">
        <w:t>,</w:t>
      </w:r>
      <w:r w:rsidR="009D0CA1" w:rsidRPr="00DD0CE4">
        <w:t xml:space="preserve"> </w:t>
      </w:r>
      <w:r w:rsidR="009D0CA1" w:rsidRPr="00DA0C94">
        <w:t>t</w:t>
      </w:r>
      <w:r w:rsidR="003724F7" w:rsidRPr="00DA0C94">
        <w:t>h</w:t>
      </w:r>
      <w:r w:rsidR="009D0CA1" w:rsidRPr="00DA0C94">
        <w:t>e staff of the Secretariat</w:t>
      </w:r>
      <w:r w:rsidR="00BF2123">
        <w:t>,</w:t>
      </w:r>
      <w:r w:rsidR="00392C2E" w:rsidRPr="00DA0C94">
        <w:t xml:space="preserve"> </w:t>
      </w:r>
      <w:r w:rsidR="00BF2123">
        <w:t xml:space="preserve">who </w:t>
      </w:r>
      <w:r w:rsidR="00715183">
        <w:t>was</w:t>
      </w:r>
      <w:r w:rsidR="00BF2123">
        <w:t xml:space="preserve"> </w:t>
      </w:r>
      <w:r w:rsidR="00BF2123" w:rsidRPr="009132F6">
        <w:t>fully engaged in the analysis of functions and business processes of the Secretariat</w:t>
      </w:r>
      <w:r w:rsidR="00BF2123">
        <w:t>,</w:t>
      </w:r>
      <w:r w:rsidR="00BF2123" w:rsidRPr="00BF2123">
        <w:t xml:space="preserve"> </w:t>
      </w:r>
      <w:r w:rsidR="00392C2E" w:rsidRPr="00DA0C94">
        <w:t>had only limited opportunities</w:t>
      </w:r>
      <w:r w:rsidR="002C6D3A" w:rsidRPr="00DA0C94">
        <w:t xml:space="preserve"> to provide inputs</w:t>
      </w:r>
      <w:r w:rsidR="00392C2E" w:rsidRPr="00DA0C94">
        <w:t xml:space="preserve"> </w:t>
      </w:r>
      <w:r w:rsidR="002C6D3A" w:rsidRPr="00DA0C94">
        <w:t>to</w:t>
      </w:r>
      <w:r w:rsidR="00392C2E" w:rsidRPr="00DA0C94">
        <w:t xml:space="preserve"> finaliz</w:t>
      </w:r>
      <w:r w:rsidR="00BF2123" w:rsidRPr="00DA0C94">
        <w:t>e</w:t>
      </w:r>
      <w:r w:rsidR="00392C2E" w:rsidRPr="00DA0C94">
        <w:t xml:space="preserve"> </w:t>
      </w:r>
      <w:r w:rsidR="00DF0D4F" w:rsidRPr="00DA0C94">
        <w:t>th</w:t>
      </w:r>
      <w:r w:rsidR="003F42CE">
        <w:t>e</w:t>
      </w:r>
      <w:r w:rsidR="00DF0D4F" w:rsidRPr="00DA0C94">
        <w:t xml:space="preserve"> full report in December 2025</w:t>
      </w:r>
      <w:r w:rsidR="00BF2123">
        <w:t>.</w:t>
      </w:r>
      <w:r w:rsidR="00E65D8C" w:rsidRPr="00DA0C94">
        <w:t xml:space="preserve"> </w:t>
      </w:r>
      <w:r w:rsidR="00BF2123">
        <w:t>An i</w:t>
      </w:r>
      <w:r w:rsidR="00F6005C" w:rsidRPr="00DA0C94">
        <w:t xml:space="preserve">nternal </w:t>
      </w:r>
      <w:r w:rsidR="009F4D8D">
        <w:t>review</w:t>
      </w:r>
      <w:r w:rsidR="009F4D8D" w:rsidRPr="00DA0C94">
        <w:t xml:space="preserve"> </w:t>
      </w:r>
      <w:r w:rsidR="009F4D8D">
        <w:t>by</w:t>
      </w:r>
      <w:r w:rsidR="00204834" w:rsidRPr="00DA0C94">
        <w:t xml:space="preserve"> the Secretariat will </w:t>
      </w:r>
      <w:r w:rsidR="006378E3">
        <w:t xml:space="preserve">therefore </w:t>
      </w:r>
      <w:r w:rsidR="00204834" w:rsidRPr="00DA0C94">
        <w:t>continue in January</w:t>
      </w:r>
      <w:r w:rsidR="00BF2123">
        <w:t> 2026</w:t>
      </w:r>
      <w:r w:rsidR="00204834" w:rsidRPr="00DA0C94">
        <w:t xml:space="preserve"> to </w:t>
      </w:r>
      <w:r w:rsidR="002C6D3A" w:rsidRPr="00DA0C94">
        <w:t>r</w:t>
      </w:r>
      <w:r w:rsidR="00204834" w:rsidRPr="00DA0C94">
        <w:t xml:space="preserve">eview and reflect on the </w:t>
      </w:r>
      <w:r w:rsidR="007C0876" w:rsidRPr="00DA0C94">
        <w:t xml:space="preserve">recommendations contained in the final report submitted by the </w:t>
      </w:r>
      <w:r w:rsidR="002D7768" w:rsidRPr="00DD0CE4">
        <w:t>Management Consulting Team</w:t>
      </w:r>
      <w:r w:rsidR="00996C8B">
        <w:t>.</w:t>
      </w:r>
    </w:p>
  </w:footnote>
  <w:footnote w:id="5">
    <w:p w14:paraId="0644F1F0" w14:textId="3ADE8004" w:rsidR="005D6D15" w:rsidRPr="00DA0C94" w:rsidRDefault="005D6D15">
      <w:pPr>
        <w:pStyle w:val="FootnoteText"/>
        <w:rPr>
          <w:lang w:val="en-US"/>
        </w:rPr>
      </w:pPr>
      <w:r>
        <w:rPr>
          <w:rStyle w:val="FootnoteReference"/>
        </w:rPr>
        <w:footnoteRef/>
      </w:r>
      <w:r>
        <w:t xml:space="preserve"> </w:t>
      </w:r>
      <w:r w:rsidRPr="005D6D15">
        <w:t>The estimated extrabudgetary resource requirements for the activities outlined in the draft recommendation are shown in annex</w:t>
      </w:r>
      <w:r>
        <w:t> II</w:t>
      </w:r>
      <w:r w:rsidRPr="005D6D15">
        <w:t xml:space="preserve"> to the present document.</w:t>
      </w:r>
    </w:p>
  </w:footnote>
  <w:footnote w:id="6">
    <w:p w14:paraId="27008EFD" w14:textId="4CAE8040" w:rsidR="00812C00" w:rsidRPr="00DA0C94" w:rsidRDefault="00812C00">
      <w:pPr>
        <w:pStyle w:val="FootnoteText"/>
        <w:rPr>
          <w:lang w:val="en-US"/>
        </w:rPr>
      </w:pPr>
      <w:r>
        <w:rPr>
          <w:rStyle w:val="FootnoteReference"/>
        </w:rPr>
        <w:footnoteRef/>
      </w:r>
      <w:r>
        <w:t xml:space="preserve"> </w:t>
      </w:r>
      <w:r w:rsidRPr="00812C00">
        <w:t xml:space="preserve">United Nations, </w:t>
      </w:r>
      <w:r w:rsidRPr="00DA0C94">
        <w:rPr>
          <w:i/>
          <w:iCs/>
        </w:rPr>
        <w:t>Treaty Series</w:t>
      </w:r>
      <w:r w:rsidRPr="00812C00">
        <w:t>, vol. 1760, No. 30619.</w:t>
      </w:r>
    </w:p>
  </w:footnote>
  <w:footnote w:id="7">
    <w:p w14:paraId="086F4B5A" w14:textId="27C10F94" w:rsidR="000405C5" w:rsidRPr="00DA0C94" w:rsidRDefault="000405C5">
      <w:pPr>
        <w:pStyle w:val="FootnoteText"/>
        <w:rPr>
          <w:lang w:val="en-US"/>
        </w:rPr>
      </w:pPr>
      <w:r>
        <w:rPr>
          <w:rStyle w:val="FootnoteReference"/>
        </w:rPr>
        <w:footnoteRef/>
      </w:r>
      <w:r>
        <w:t xml:space="preserve"> </w:t>
      </w:r>
      <w:r w:rsidR="000E3562">
        <w:t xml:space="preserve">See </w:t>
      </w:r>
      <w:r w:rsidRPr="00DA0C94">
        <w:t>CBD</w:t>
      </w:r>
      <w:r w:rsidRPr="00253CBE">
        <w:t>/</w:t>
      </w:r>
      <w:r w:rsidRPr="00DA0C94">
        <w:t>COP</w:t>
      </w:r>
      <w:r w:rsidRPr="00253CBE">
        <w:t>/17/xx.</w:t>
      </w:r>
    </w:p>
  </w:footnote>
  <w:footnote w:id="8">
    <w:p w14:paraId="3BF4BB52" w14:textId="7121A520" w:rsidR="00A5770F" w:rsidRPr="00DA0C94" w:rsidRDefault="00A5770F">
      <w:pPr>
        <w:pStyle w:val="FootnoteText"/>
        <w:rPr>
          <w:lang w:val="en-US"/>
        </w:rPr>
      </w:pPr>
      <w:r>
        <w:rPr>
          <w:rStyle w:val="FootnoteReference"/>
        </w:rPr>
        <w:footnoteRef/>
      </w:r>
      <w:r>
        <w:t xml:space="preserve"> </w:t>
      </w:r>
      <w:r w:rsidRPr="00A5770F">
        <w:t xml:space="preserve">United Nations, </w:t>
      </w:r>
      <w:r w:rsidRPr="00DA0C94">
        <w:rPr>
          <w:i/>
          <w:iCs/>
        </w:rPr>
        <w:t>Treaty Series</w:t>
      </w:r>
      <w:r w:rsidRPr="00A5770F">
        <w:t>, vol. 2226, No. 30619.</w:t>
      </w:r>
    </w:p>
  </w:footnote>
  <w:footnote w:id="9">
    <w:p w14:paraId="0E439E67" w14:textId="0B2B7135" w:rsidR="000960AA" w:rsidRPr="00DA0C94" w:rsidRDefault="000960AA">
      <w:pPr>
        <w:pStyle w:val="FootnoteText"/>
        <w:rPr>
          <w:lang w:val="en-US"/>
        </w:rPr>
      </w:pPr>
      <w:r>
        <w:rPr>
          <w:rStyle w:val="FootnoteReference"/>
        </w:rPr>
        <w:footnoteRef/>
      </w:r>
      <w:r>
        <w:t xml:space="preserve"> Ibid.</w:t>
      </w:r>
      <w:r w:rsidRPr="000960AA">
        <w:t>, vol. 3008,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595D9AC" w14:textId="3650C394" w:rsidR="00534681" w:rsidRPr="00DD0CE4" w:rsidRDefault="000F316D" w:rsidP="007C4951">
        <w:pPr>
          <w:pStyle w:val="Header"/>
          <w:spacing w:after="240"/>
          <w:rPr>
            <w:szCs w:val="20"/>
          </w:rPr>
        </w:pPr>
        <w:r w:rsidRPr="00DD0CE4">
          <w:rPr>
            <w:szCs w:val="20"/>
          </w:rPr>
          <w:t>CBD/SBI/6/10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737D97A" w14:textId="042784CA" w:rsidR="009505C9" w:rsidRPr="00DD0CE4" w:rsidRDefault="000F316D" w:rsidP="007C4951">
        <w:pPr>
          <w:pStyle w:val="Header"/>
          <w:spacing w:after="240"/>
          <w:jc w:val="right"/>
        </w:pPr>
        <w:r w:rsidRPr="00DD0CE4">
          <w:t>CBD/SBI/6/10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45844D8"/>
    <w:multiLevelType w:val="hybridMultilevel"/>
    <w:tmpl w:val="301C3246"/>
    <w:lvl w:ilvl="0" w:tplc="7C960264">
      <w:start w:val="2"/>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566570E"/>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0895646F"/>
    <w:multiLevelType w:val="hybridMultilevel"/>
    <w:tmpl w:val="E7B229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09000F">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C0C4CF7"/>
    <w:multiLevelType w:val="multilevel"/>
    <w:tmpl w:val="B5F6517A"/>
    <w:lvl w:ilvl="0">
      <w:start w:val="5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C8617B4"/>
    <w:multiLevelType w:val="multilevel"/>
    <w:tmpl w:val="F306BC9C"/>
    <w:lvl w:ilvl="0">
      <w:start w:val="1"/>
      <w:numFmt w:val="decimal"/>
      <w:lvlText w:val="%1."/>
      <w:lvlJc w:val="left"/>
      <w:pPr>
        <w:ind w:left="1134" w:firstLine="0"/>
      </w:pPr>
      <w:rPr>
        <w:rFonts w:ascii="Times New Roman" w:hAnsi="Times New Roman" w:cs="Times New Roman" w:hint="default"/>
        <w:b w:val="0"/>
        <w:bCs w:val="0"/>
        <w:i w:val="0"/>
        <w:iCs w:val="0"/>
        <w:color w:val="auto"/>
        <w:sz w:val="22"/>
      </w:rPr>
    </w:lvl>
    <w:lvl w:ilvl="1">
      <w:start w:val="1"/>
      <w:numFmt w:val="decimal"/>
      <w:lvlText w:val="%2."/>
      <w:lvlJc w:val="left"/>
      <w:pPr>
        <w:ind w:left="2061" w:hanging="360"/>
      </w:pPr>
    </w:lvl>
    <w:lvl w:ilvl="2">
      <w:start w:val="1"/>
      <w:numFmt w:val="lowerLetter"/>
      <w:lvlText w:val="%3."/>
      <w:lvlJc w:val="left"/>
      <w:pPr>
        <w:ind w:left="2628" w:hanging="360"/>
      </w:pPr>
    </w:lvl>
    <w:lvl w:ilvl="3">
      <w:start w:val="1"/>
      <w:numFmt w:val="decimal"/>
      <w:lvlText w:val="%4."/>
      <w:lvlJc w:val="left"/>
      <w:pPr>
        <w:ind w:left="3195" w:hanging="360"/>
      </w:p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20" w15:restartNumberingAfterBreak="0">
    <w:nsid w:val="0FA0170D"/>
    <w:multiLevelType w:val="multilevel"/>
    <w:tmpl w:val="222A08B4"/>
    <w:numStyleLink w:val="ListCBD"/>
  </w:abstractNum>
  <w:abstractNum w:abstractNumId="21" w15:restartNumberingAfterBreak="0">
    <w:nsid w:val="0FD05074"/>
    <w:multiLevelType w:val="multilevel"/>
    <w:tmpl w:val="C8028674"/>
    <w:styleLink w:val="CurrentList3"/>
    <w:lvl w:ilvl="0">
      <w:start w:val="7"/>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3D91998"/>
    <w:multiLevelType w:val="multilevel"/>
    <w:tmpl w:val="B4AE2E08"/>
    <w:lvl w:ilvl="0">
      <w:start w:val="7"/>
      <w:numFmt w:val="decimal"/>
      <w:lvlText w:val="%1."/>
      <w:lvlJc w:val="left"/>
      <w:pPr>
        <w:ind w:left="720" w:hanging="360"/>
      </w:pPr>
      <w:rPr>
        <w:rFonts w:hint="default"/>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575660A"/>
    <w:multiLevelType w:val="hybridMultilevel"/>
    <w:tmpl w:val="3376C760"/>
    <w:lvl w:ilvl="0" w:tplc="FFFFFFFF">
      <w:start w:val="1"/>
      <w:numFmt w:val="decimal"/>
      <w:lvlText w:val="%1."/>
      <w:lvlJc w:val="left"/>
      <w:pPr>
        <w:ind w:left="720" w:hanging="360"/>
      </w:pPr>
    </w:lvl>
    <w:lvl w:ilvl="1" w:tplc="04130011">
      <w:start w:val="1"/>
      <w:numFmt w:val="decimal"/>
      <w:lvlText w:val="%2)"/>
      <w:lvlJc w:val="left"/>
      <w:pPr>
        <w:ind w:left="5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6" w15:restartNumberingAfterBreak="0">
    <w:nsid w:val="160189FC"/>
    <w:multiLevelType w:val="hybridMultilevel"/>
    <w:tmpl w:val="1DCA1AAC"/>
    <w:lvl w:ilvl="0" w:tplc="93BC2F14">
      <w:start w:val="1"/>
      <w:numFmt w:val="lowerLetter"/>
      <w:lvlText w:val="(%1)"/>
      <w:lvlJc w:val="left"/>
      <w:pPr>
        <w:ind w:left="630" w:hanging="360"/>
      </w:pPr>
    </w:lvl>
    <w:lvl w:ilvl="1" w:tplc="7F6E0878">
      <w:start w:val="1"/>
      <w:numFmt w:val="lowerLetter"/>
      <w:lvlText w:val="%2."/>
      <w:lvlJc w:val="left"/>
      <w:pPr>
        <w:ind w:left="2160" w:hanging="360"/>
      </w:pPr>
    </w:lvl>
    <w:lvl w:ilvl="2" w:tplc="5E14A06E">
      <w:start w:val="1"/>
      <w:numFmt w:val="lowerRoman"/>
      <w:lvlText w:val="%3."/>
      <w:lvlJc w:val="right"/>
      <w:pPr>
        <w:ind w:left="2880" w:hanging="180"/>
      </w:pPr>
    </w:lvl>
    <w:lvl w:ilvl="3" w:tplc="3F2AAFEA">
      <w:start w:val="1"/>
      <w:numFmt w:val="decimal"/>
      <w:lvlText w:val="%4."/>
      <w:lvlJc w:val="left"/>
      <w:pPr>
        <w:ind w:left="3600" w:hanging="360"/>
      </w:pPr>
    </w:lvl>
    <w:lvl w:ilvl="4" w:tplc="3174ABFE">
      <w:start w:val="1"/>
      <w:numFmt w:val="lowerLetter"/>
      <w:lvlText w:val="%5."/>
      <w:lvlJc w:val="left"/>
      <w:pPr>
        <w:ind w:left="4320" w:hanging="360"/>
      </w:pPr>
    </w:lvl>
    <w:lvl w:ilvl="5" w:tplc="A9EC7236">
      <w:start w:val="1"/>
      <w:numFmt w:val="lowerRoman"/>
      <w:lvlText w:val="%6."/>
      <w:lvlJc w:val="right"/>
      <w:pPr>
        <w:ind w:left="5040" w:hanging="180"/>
      </w:pPr>
    </w:lvl>
    <w:lvl w:ilvl="6" w:tplc="1794D370">
      <w:start w:val="1"/>
      <w:numFmt w:val="decimal"/>
      <w:lvlText w:val="%7."/>
      <w:lvlJc w:val="left"/>
      <w:pPr>
        <w:ind w:left="5760" w:hanging="360"/>
      </w:pPr>
    </w:lvl>
    <w:lvl w:ilvl="7" w:tplc="00E4923C">
      <w:start w:val="1"/>
      <w:numFmt w:val="lowerLetter"/>
      <w:lvlText w:val="%8."/>
      <w:lvlJc w:val="left"/>
      <w:pPr>
        <w:ind w:left="6480" w:hanging="360"/>
      </w:pPr>
    </w:lvl>
    <w:lvl w:ilvl="8" w:tplc="AB02DD6C">
      <w:start w:val="1"/>
      <w:numFmt w:val="lowerRoman"/>
      <w:lvlText w:val="%9."/>
      <w:lvlJc w:val="right"/>
      <w:pPr>
        <w:ind w:left="7200" w:hanging="180"/>
      </w:pPr>
    </w:lvl>
  </w:abstractNum>
  <w:abstractNum w:abstractNumId="27" w15:restartNumberingAfterBreak="0">
    <w:nsid w:val="1970A6C0"/>
    <w:multiLevelType w:val="hybridMultilevel"/>
    <w:tmpl w:val="E0B65FB8"/>
    <w:lvl w:ilvl="0" w:tplc="AFD650D8">
      <w:start w:val="1"/>
      <w:numFmt w:val="decimal"/>
      <w:lvlText w:val="%1."/>
      <w:lvlJc w:val="left"/>
      <w:pPr>
        <w:ind w:left="720" w:hanging="360"/>
      </w:pPr>
    </w:lvl>
    <w:lvl w:ilvl="1" w:tplc="C1E4D5C2">
      <w:start w:val="1"/>
      <w:numFmt w:val="lowerLetter"/>
      <w:lvlText w:val="%2."/>
      <w:lvlJc w:val="left"/>
      <w:pPr>
        <w:ind w:left="720" w:hanging="360"/>
      </w:pPr>
    </w:lvl>
    <w:lvl w:ilvl="2" w:tplc="2E0A8804">
      <w:start w:val="1"/>
      <w:numFmt w:val="lowerRoman"/>
      <w:lvlText w:val="%3."/>
      <w:lvlJc w:val="right"/>
      <w:pPr>
        <w:ind w:left="2160" w:hanging="180"/>
      </w:pPr>
    </w:lvl>
    <w:lvl w:ilvl="3" w:tplc="95A0BC22">
      <w:start w:val="1"/>
      <w:numFmt w:val="decimal"/>
      <w:lvlText w:val="%4."/>
      <w:lvlJc w:val="left"/>
      <w:pPr>
        <w:ind w:left="2880" w:hanging="360"/>
      </w:pPr>
    </w:lvl>
    <w:lvl w:ilvl="4" w:tplc="F09EA59C">
      <w:start w:val="1"/>
      <w:numFmt w:val="lowerLetter"/>
      <w:lvlText w:val="%5."/>
      <w:lvlJc w:val="left"/>
      <w:pPr>
        <w:ind w:left="3600" w:hanging="360"/>
      </w:pPr>
    </w:lvl>
    <w:lvl w:ilvl="5" w:tplc="BD5E5C48">
      <w:start w:val="1"/>
      <w:numFmt w:val="lowerRoman"/>
      <w:lvlText w:val="%6."/>
      <w:lvlJc w:val="right"/>
      <w:pPr>
        <w:ind w:left="4320" w:hanging="180"/>
      </w:pPr>
    </w:lvl>
    <w:lvl w:ilvl="6" w:tplc="B6740DE4">
      <w:start w:val="1"/>
      <w:numFmt w:val="decimal"/>
      <w:lvlText w:val="%7."/>
      <w:lvlJc w:val="left"/>
      <w:pPr>
        <w:ind w:left="5040" w:hanging="360"/>
      </w:pPr>
    </w:lvl>
    <w:lvl w:ilvl="7" w:tplc="490006DC">
      <w:start w:val="1"/>
      <w:numFmt w:val="lowerLetter"/>
      <w:lvlText w:val="%8."/>
      <w:lvlJc w:val="left"/>
      <w:pPr>
        <w:ind w:left="5760" w:hanging="360"/>
      </w:pPr>
    </w:lvl>
    <w:lvl w:ilvl="8" w:tplc="7206E76C">
      <w:start w:val="1"/>
      <w:numFmt w:val="lowerRoman"/>
      <w:lvlText w:val="%9."/>
      <w:lvlJc w:val="right"/>
      <w:pPr>
        <w:ind w:left="6480" w:hanging="180"/>
      </w:pPr>
    </w:lvl>
  </w:abstractNum>
  <w:abstractNum w:abstractNumId="2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1" w15:restartNumberingAfterBreak="0">
    <w:nsid w:val="217D7DDB"/>
    <w:multiLevelType w:val="hybridMultilevel"/>
    <w:tmpl w:val="799268EC"/>
    <w:lvl w:ilvl="0" w:tplc="FFFFFFFF">
      <w:start w:val="1"/>
      <w:numFmt w:val="upperLetter"/>
      <w:lvlText w:val="%1."/>
      <w:lvlJc w:val="left"/>
      <w:pPr>
        <w:ind w:left="720" w:hanging="360"/>
      </w:pPr>
      <w:rPr>
        <w:rFonts w:eastAsia="SimSu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3"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E5356EC"/>
    <w:multiLevelType w:val="multilevel"/>
    <w:tmpl w:val="07D269C8"/>
    <w:numStyleLink w:val="CBDHeadings"/>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5023DB7"/>
    <w:multiLevelType w:val="multilevel"/>
    <w:tmpl w:val="C9181BC2"/>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98E2FF3"/>
    <w:multiLevelType w:val="multilevel"/>
    <w:tmpl w:val="222A08B4"/>
    <w:numStyleLink w:val="ListCBD"/>
  </w:abstractNum>
  <w:abstractNum w:abstractNumId="39" w15:restartNumberingAfterBreak="0">
    <w:nsid w:val="3B9C14EE"/>
    <w:multiLevelType w:val="multilevel"/>
    <w:tmpl w:val="512EA18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47EF52C9"/>
    <w:multiLevelType w:val="multilevel"/>
    <w:tmpl w:val="72906C9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8CD2BAD"/>
    <w:multiLevelType w:val="multilevel"/>
    <w:tmpl w:val="222A08B4"/>
    <w:styleLink w:val="CurrentList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6" w15:restartNumberingAfterBreak="0">
    <w:nsid w:val="49D361BF"/>
    <w:multiLevelType w:val="multilevel"/>
    <w:tmpl w:val="54F6B468"/>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8" w15:restartNumberingAfterBreak="0">
    <w:nsid w:val="4E880595"/>
    <w:multiLevelType w:val="multilevel"/>
    <w:tmpl w:val="222A08B4"/>
    <w:numStyleLink w:val="ListCBD"/>
  </w:abstractNum>
  <w:abstractNum w:abstractNumId="49" w15:restartNumberingAfterBreak="0">
    <w:nsid w:val="51DD4CA4"/>
    <w:multiLevelType w:val="hybridMultilevel"/>
    <w:tmpl w:val="D67CE1B4"/>
    <w:lvl w:ilvl="0" w:tplc="A392A86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524E3FC6"/>
    <w:multiLevelType w:val="multilevel"/>
    <w:tmpl w:val="EB42D896"/>
    <w:styleLink w:val="CurrentList1"/>
    <w:lvl w:ilvl="0">
      <w:start w:val="1"/>
      <w:numFmt w:val="none"/>
      <w:lvlText w:val="A."/>
      <w:lvlJc w:val="left"/>
      <w:pPr>
        <w:ind w:left="720" w:hanging="360"/>
      </w:pPr>
      <w:rPr>
        <w:rFonts w:eastAsia="SimSu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52A66A9D"/>
    <w:multiLevelType w:val="multilevel"/>
    <w:tmpl w:val="222A08B4"/>
    <w:numStyleLink w:val="ListCBD"/>
  </w:abstractNum>
  <w:abstractNum w:abstractNumId="5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5" w15:restartNumberingAfterBreak="0">
    <w:nsid w:val="5BAB7D99"/>
    <w:multiLevelType w:val="multilevel"/>
    <w:tmpl w:val="3EE8D2B0"/>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D943BEE"/>
    <w:multiLevelType w:val="multilevel"/>
    <w:tmpl w:val="222A08B4"/>
    <w:numStyleLink w:val="ListCBD"/>
  </w:abstractNum>
  <w:abstractNum w:abstractNumId="57" w15:restartNumberingAfterBreak="0">
    <w:nsid w:val="5F00584F"/>
    <w:multiLevelType w:val="multilevel"/>
    <w:tmpl w:val="1C089FC6"/>
    <w:lvl w:ilvl="0">
      <w:start w:val="1"/>
      <w:numFmt w:val="decimal"/>
      <w:lvlText w:val="%1)"/>
      <w:lvlJc w:val="left"/>
      <w:pPr>
        <w:ind w:left="720" w:hanging="360"/>
      </w:pPr>
      <w:rPr>
        <w:rFonts w:hint="default"/>
        <w:b/>
      </w:rPr>
    </w:lvl>
    <w:lvl w:ilvl="1">
      <w:start w:val="1"/>
      <w:numFmt w:val="decimal"/>
      <w:lvlText w:val="%1.%2."/>
      <w:lvlJc w:val="left"/>
      <w:pPr>
        <w:ind w:left="1152" w:hanging="432"/>
      </w:pPr>
    </w:lvl>
    <w:lvl w:ilvl="2">
      <w:start w:val="1"/>
      <w:numFmt w:val="bullet"/>
      <w:lvlText w:val=""/>
      <w:lvlJc w:val="left"/>
      <w:pPr>
        <w:ind w:left="1440" w:hanging="360"/>
      </w:pPr>
      <w:rPr>
        <w:rFonts w:ascii="Symbol" w:hAnsi="Symbol" w:hint="default"/>
      </w:r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8" w15:restartNumberingAfterBreak="0">
    <w:nsid w:val="60D3424C"/>
    <w:multiLevelType w:val="hybridMultilevel"/>
    <w:tmpl w:val="476E9C9E"/>
    <w:lvl w:ilvl="0" w:tplc="8DE035D2">
      <w:start w:val="2"/>
      <w:numFmt w:val="upperLetter"/>
      <w:lvlText w:val="%1."/>
      <w:lvlJc w:val="left"/>
      <w:pPr>
        <w:ind w:left="927" w:hanging="360"/>
      </w:pPr>
      <w:rPr>
        <w:rFonts w:eastAsia="SimSun"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9" w15:restartNumberingAfterBreak="0">
    <w:nsid w:val="61C86F5D"/>
    <w:multiLevelType w:val="hybridMultilevel"/>
    <w:tmpl w:val="49A6CC88"/>
    <w:lvl w:ilvl="0" w:tplc="3A88C790">
      <w:start w:val="1"/>
      <w:numFmt w:val="decimal"/>
      <w:suff w:val="space"/>
      <w:lvlText w:val="%1."/>
      <w:lvlJc w:val="left"/>
      <w:pPr>
        <w:ind w:left="0" w:firstLine="0"/>
      </w:pPr>
      <w:rPr>
        <w:rFonts w:hint="default"/>
        <w:b w:val="0"/>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55F2B16"/>
    <w:multiLevelType w:val="hybridMultilevel"/>
    <w:tmpl w:val="4A481B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7E7447A"/>
    <w:multiLevelType w:val="hybridMultilevel"/>
    <w:tmpl w:val="1F6CDEE0"/>
    <w:lvl w:ilvl="0" w:tplc="BAEEE7FA">
      <w:start w:val="5"/>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68B70991"/>
    <w:multiLevelType w:val="multilevel"/>
    <w:tmpl w:val="222A08B4"/>
    <w:numStyleLink w:val="ListCBD"/>
  </w:abstractNum>
  <w:abstractNum w:abstractNumId="63" w15:restartNumberingAfterBreak="0">
    <w:nsid w:val="6B7E1BFB"/>
    <w:multiLevelType w:val="hybridMultilevel"/>
    <w:tmpl w:val="BD76D4A4"/>
    <w:lvl w:ilvl="0" w:tplc="ECF65C12">
      <w:start w:val="1"/>
      <w:numFmt w:val="none"/>
      <w:lvlText w:val="A."/>
      <w:lvlJc w:val="left"/>
      <w:pPr>
        <w:ind w:left="720" w:hanging="360"/>
      </w:pPr>
      <w:rPr>
        <w:rFonts w:eastAsia="SimSu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6B810358"/>
    <w:multiLevelType w:val="multilevel"/>
    <w:tmpl w:val="222A08B4"/>
    <w:numStyleLink w:val="ListCBD"/>
  </w:abstractNum>
  <w:abstractNum w:abstractNumId="6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6D830ECC"/>
    <w:multiLevelType w:val="multilevel"/>
    <w:tmpl w:val="1E8C4846"/>
    <w:lvl w:ilvl="0">
      <w:start w:val="8"/>
      <w:numFmt w:val="decimal"/>
      <w:lvlText w:val="%1."/>
      <w:lvlJc w:val="left"/>
      <w:pPr>
        <w:ind w:left="1135"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7" w15:restartNumberingAfterBreak="0">
    <w:nsid w:val="6DC26BCC"/>
    <w:multiLevelType w:val="hybridMultilevel"/>
    <w:tmpl w:val="F08CB0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6FF31508"/>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1" w15:restartNumberingAfterBreak="0">
    <w:nsid w:val="71CC7DFA"/>
    <w:multiLevelType w:val="hybridMultilevel"/>
    <w:tmpl w:val="799268EC"/>
    <w:lvl w:ilvl="0" w:tplc="FFFFFFFF">
      <w:start w:val="1"/>
      <w:numFmt w:val="upperLetter"/>
      <w:lvlText w:val="%1."/>
      <w:lvlJc w:val="left"/>
      <w:pPr>
        <w:ind w:left="720" w:hanging="360"/>
      </w:pPr>
      <w:rPr>
        <w:rFonts w:eastAsia="SimSu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3" w15:restartNumberingAfterBreak="0">
    <w:nsid w:val="755932C1"/>
    <w:multiLevelType w:val="multilevel"/>
    <w:tmpl w:val="F6E0A706"/>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F37485F"/>
    <w:multiLevelType w:val="hybridMultilevel"/>
    <w:tmpl w:val="799268EC"/>
    <w:lvl w:ilvl="0" w:tplc="FFFFFFFF">
      <w:start w:val="1"/>
      <w:numFmt w:val="upperLetter"/>
      <w:lvlText w:val="%1."/>
      <w:lvlJc w:val="left"/>
      <w:pPr>
        <w:ind w:left="720" w:hanging="360"/>
      </w:pPr>
      <w:rPr>
        <w:rFonts w:eastAsia="SimSu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30828777">
    <w:abstractNumId w:val="47"/>
  </w:num>
  <w:num w:numId="2" w16cid:durableId="1858829">
    <w:abstractNumId w:val="44"/>
  </w:num>
  <w:num w:numId="3" w16cid:durableId="1333221471">
    <w:abstractNumId w:val="68"/>
  </w:num>
  <w:num w:numId="4" w16cid:durableId="1072390599">
    <w:abstractNumId w:val="70"/>
  </w:num>
  <w:num w:numId="5" w16cid:durableId="960385107">
    <w:abstractNumId w:val="45"/>
  </w:num>
  <w:num w:numId="6" w16cid:durableId="893932166">
    <w:abstractNumId w:val="65"/>
  </w:num>
  <w:num w:numId="7" w16cid:durableId="323945383">
    <w:abstractNumId w:val="56"/>
  </w:num>
  <w:num w:numId="8" w16cid:durableId="145890857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20692704">
    <w:abstractNumId w:val="73"/>
  </w:num>
  <w:num w:numId="10" w16cid:durableId="1477644036">
    <w:abstractNumId w:val="49"/>
  </w:num>
  <w:num w:numId="11" w16cid:durableId="830831889">
    <w:abstractNumId w:val="23"/>
  </w:num>
  <w:num w:numId="12" w16cid:durableId="262496430">
    <w:abstractNumId w:val="39"/>
  </w:num>
  <w:num w:numId="13" w16cid:durableId="619729085">
    <w:abstractNumId w:val="42"/>
  </w:num>
  <w:num w:numId="14" w16cid:durableId="368921083">
    <w:abstractNumId w:val="37"/>
  </w:num>
  <w:num w:numId="15" w16cid:durableId="833111785">
    <w:abstractNumId w:val="55"/>
  </w:num>
  <w:num w:numId="16" w16cid:durableId="1733502971">
    <w:abstractNumId w:val="61"/>
  </w:num>
  <w:num w:numId="17" w16cid:durableId="1191189216">
    <w:abstractNumId w:val="56"/>
  </w:num>
  <w:num w:numId="18" w16cid:durableId="1049106219">
    <w:abstractNumId w:val="46"/>
  </w:num>
  <w:num w:numId="19" w16cid:durableId="661586988">
    <w:abstractNumId w:val="18"/>
  </w:num>
  <w:num w:numId="20" w16cid:durableId="2127696419">
    <w:abstractNumId w:val="56"/>
  </w:num>
  <w:num w:numId="21" w16cid:durableId="1569148637">
    <w:abstractNumId w:val="56"/>
  </w:num>
  <w:num w:numId="22" w16cid:durableId="361977713">
    <w:abstractNumId w:val="56"/>
  </w:num>
  <w:num w:numId="23" w16cid:durableId="1123646816">
    <w:abstractNumId w:val="56"/>
  </w:num>
  <w:num w:numId="24" w16cid:durableId="198057395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2325561">
    <w:abstractNumId w:val="56"/>
  </w:num>
  <w:num w:numId="26" w16cid:durableId="62705670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58944689">
    <w:abstractNumId w:val="56"/>
  </w:num>
  <w:num w:numId="28" w16cid:durableId="1345130704">
    <w:abstractNumId w:val="15"/>
  </w:num>
  <w:num w:numId="29" w16cid:durableId="1571184829">
    <w:abstractNumId w:val="63"/>
  </w:num>
  <w:num w:numId="30" w16cid:durableId="516382742">
    <w:abstractNumId w:val="74"/>
  </w:num>
  <w:num w:numId="31" w16cid:durableId="136533109">
    <w:abstractNumId w:val="31"/>
  </w:num>
  <w:num w:numId="32" w16cid:durableId="342051323">
    <w:abstractNumId w:val="56"/>
  </w:num>
  <w:num w:numId="33" w16cid:durableId="146403388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5516952">
    <w:abstractNumId w:val="56"/>
  </w:num>
  <w:num w:numId="35" w16cid:durableId="429475339">
    <w:abstractNumId w:val="56"/>
  </w:num>
  <w:num w:numId="36" w16cid:durableId="904098278">
    <w:abstractNumId w:val="71"/>
  </w:num>
  <w:num w:numId="37" w16cid:durableId="1596862609">
    <w:abstractNumId w:val="50"/>
  </w:num>
  <w:num w:numId="38" w16cid:durableId="55905878">
    <w:abstractNumId w:val="56"/>
  </w:num>
  <w:num w:numId="39" w16cid:durableId="1514106687">
    <w:abstractNumId w:val="56"/>
  </w:num>
  <w:num w:numId="40" w16cid:durableId="482891228">
    <w:abstractNumId w:val="56"/>
    <w:lvlOverride w:ilvl="0">
      <w:startOverride w:val="1"/>
      <w:lvl w:ilvl="0">
        <w:start w:val="1"/>
        <w:numFmt w:val="decimal"/>
        <w:pStyle w:val="CBDNormalNumber"/>
        <w:lvlText w:val="%1."/>
        <w:lvlJc w:val="left"/>
        <w:pPr>
          <w:ind w:left="1135" w:firstLine="0"/>
        </w:pPr>
        <w:rPr>
          <w:rFonts w:ascii="Times New Roman" w:hAnsi="Times New Roman" w:cs="Times New Roman" w:hint="default"/>
          <w:b w:val="0"/>
          <w:bCs w:val="0"/>
          <w:i w:val="0"/>
          <w:iCs w:val="0"/>
          <w:color w:val="auto"/>
          <w:sz w:val="22"/>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1" w16cid:durableId="1410928397">
    <w:abstractNumId w:val="56"/>
  </w:num>
  <w:num w:numId="42" w16cid:durableId="1407530071">
    <w:abstractNumId w:val="56"/>
  </w:num>
  <w:num w:numId="43" w16cid:durableId="1376734249">
    <w:abstractNumId w:val="56"/>
  </w:num>
  <w:num w:numId="44" w16cid:durableId="2138137987">
    <w:abstractNumId w:val="56"/>
  </w:num>
  <w:num w:numId="45" w16cid:durableId="423575821">
    <w:abstractNumId w:val="56"/>
  </w:num>
  <w:num w:numId="46" w16cid:durableId="1628781601">
    <w:abstractNumId w:val="66"/>
  </w:num>
  <w:num w:numId="47" w16cid:durableId="1110005843">
    <w:abstractNumId w:val="43"/>
  </w:num>
  <w:num w:numId="48" w16cid:durableId="1015158183">
    <w:abstractNumId w:val="21"/>
  </w:num>
  <w:num w:numId="49" w16cid:durableId="1800226119">
    <w:abstractNumId w:val="64"/>
  </w:num>
  <w:num w:numId="50" w16cid:durableId="845825944">
    <w:abstractNumId w:val="58"/>
  </w:num>
  <w:num w:numId="51" w16cid:durableId="1280532702">
    <w:abstractNumId w:val="60"/>
  </w:num>
  <w:num w:numId="52" w16cid:durableId="965622096">
    <w:abstractNumId w:val="17"/>
  </w:num>
  <w:num w:numId="53" w16cid:durableId="451438123">
    <w:abstractNumId w:val="69"/>
  </w:num>
  <w:num w:numId="54" w16cid:durableId="1825926808">
    <w:abstractNumId w:val="16"/>
  </w:num>
  <w:num w:numId="55" w16cid:durableId="349376718">
    <w:abstractNumId w:val="67"/>
  </w:num>
  <w:num w:numId="56" w16cid:durableId="1721712405">
    <w:abstractNumId w:val="57"/>
  </w:num>
  <w:num w:numId="57" w16cid:durableId="1056122040">
    <w:abstractNumId w:val="26"/>
  </w:num>
  <w:num w:numId="58" w16cid:durableId="297801721">
    <w:abstractNumId w:val="27"/>
  </w:num>
  <w:num w:numId="59" w16cid:durableId="1229652058">
    <w:abstractNumId w:val="24"/>
  </w:num>
  <w:num w:numId="60" w16cid:durableId="220950355">
    <w:abstractNumId w:val="59"/>
  </w:num>
  <w:num w:numId="61" w16cid:durableId="313415918">
    <w:abstractNumId w:val="19"/>
  </w:num>
  <w:num w:numId="62" w16cid:durableId="560672902">
    <w:abstractNumId w:val="14"/>
  </w:num>
  <w:num w:numId="63" w16cid:durableId="1933662228">
    <w:abstractNumId w:val="36"/>
  </w:num>
  <w:num w:numId="64" w16cid:durableId="1991909117">
    <w:abstractNumId w:val="11"/>
  </w:num>
  <w:num w:numId="65" w16cid:durableId="1138956019">
    <w:abstractNumId w:val="28"/>
  </w:num>
  <w:num w:numId="66" w16cid:durableId="607395260">
    <w:abstractNumId w:val="9"/>
  </w:num>
  <w:num w:numId="67" w16cid:durableId="98110136">
    <w:abstractNumId w:val="7"/>
  </w:num>
  <w:num w:numId="68" w16cid:durableId="920676582">
    <w:abstractNumId w:val="6"/>
  </w:num>
  <w:num w:numId="69" w16cid:durableId="447286378">
    <w:abstractNumId w:val="5"/>
  </w:num>
  <w:num w:numId="70" w16cid:durableId="1532258362">
    <w:abstractNumId w:val="4"/>
  </w:num>
  <w:num w:numId="71" w16cid:durableId="1587106058">
    <w:abstractNumId w:val="8"/>
  </w:num>
  <w:num w:numId="72" w16cid:durableId="1646355732">
    <w:abstractNumId w:val="3"/>
  </w:num>
  <w:num w:numId="73" w16cid:durableId="2006930253">
    <w:abstractNumId w:val="2"/>
  </w:num>
  <w:num w:numId="74" w16cid:durableId="1811677887">
    <w:abstractNumId w:val="1"/>
  </w:num>
  <w:num w:numId="75" w16cid:durableId="537353487">
    <w:abstractNumId w:val="0"/>
  </w:num>
  <w:num w:numId="76" w16cid:durableId="2069499237">
    <w:abstractNumId w:val="62"/>
  </w:num>
  <w:num w:numId="77" w16cid:durableId="158270868">
    <w:abstractNumId w:val="72"/>
  </w:num>
  <w:num w:numId="78" w16cid:durableId="159275565">
    <w:abstractNumId w:val="30"/>
  </w:num>
  <w:num w:numId="79" w16cid:durableId="271714945">
    <w:abstractNumId w:val="32"/>
  </w:num>
  <w:num w:numId="80" w16cid:durableId="1638680439">
    <w:abstractNumId w:val="62"/>
    <w:lvlOverride w:ilvl="0">
      <w:startOverride w:val="1"/>
    </w:lvlOverride>
  </w:num>
  <w:num w:numId="81" w16cid:durableId="1865050652">
    <w:abstractNumId w:val="51"/>
  </w:num>
  <w:num w:numId="82" w16cid:durableId="152986975">
    <w:abstractNumId w:val="41"/>
  </w:num>
  <w:num w:numId="83" w16cid:durableId="1295136099">
    <w:abstractNumId w:val="54"/>
  </w:num>
  <w:num w:numId="84" w16cid:durableId="80179172">
    <w:abstractNumId w:val="53"/>
  </w:num>
  <w:num w:numId="85" w16cid:durableId="206798872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771076976">
    <w:abstractNumId w:val="20"/>
  </w:num>
  <w:num w:numId="87" w16cid:durableId="939752621">
    <w:abstractNumId w:val="48"/>
  </w:num>
  <w:num w:numId="88" w16cid:durableId="915044361">
    <w:abstractNumId w:val="38"/>
  </w:num>
  <w:num w:numId="89" w16cid:durableId="855196379">
    <w:abstractNumId w:val="25"/>
  </w:num>
  <w:num w:numId="90" w16cid:durableId="146685333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801917413">
    <w:abstractNumId w:val="29"/>
  </w:num>
  <w:num w:numId="92" w16cid:durableId="708722651">
    <w:abstractNumId w:val="10"/>
  </w:num>
  <w:num w:numId="93" w16cid:durableId="213641244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96523128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48112374">
    <w:abstractNumId w:val="12"/>
  </w:num>
  <w:num w:numId="96" w16cid:durableId="1607615596">
    <w:abstractNumId w:val="33"/>
  </w:num>
  <w:num w:numId="97" w16cid:durableId="643118139">
    <w:abstractNumId w:val="33"/>
    <w:lvlOverride w:ilvl="0">
      <w:startOverride w:val="1"/>
    </w:lvlOverride>
  </w:num>
  <w:num w:numId="98" w16cid:durableId="820851909">
    <w:abstractNumId w:val="33"/>
    <w:lvlOverride w:ilvl="0">
      <w:startOverride w:val="1"/>
    </w:lvlOverride>
  </w:num>
  <w:num w:numId="99" w16cid:durableId="709648587">
    <w:abstractNumId w:val="33"/>
    <w:lvlOverride w:ilvl="0">
      <w:startOverride w:val="1"/>
    </w:lvlOverride>
  </w:num>
  <w:num w:numId="100" w16cid:durableId="1353799543">
    <w:abstractNumId w:val="35"/>
  </w:num>
  <w:num w:numId="101" w16cid:durableId="1570270110">
    <w:abstractNumId w:val="52"/>
  </w:num>
  <w:num w:numId="102" w16cid:durableId="2125995167">
    <w:abstractNumId w:val="40"/>
  </w:num>
  <w:num w:numId="103" w16cid:durableId="1627851340">
    <w:abstractNumId w:val="34"/>
  </w:num>
  <w:num w:numId="104" w16cid:durableId="1945532808">
    <w:abstractNumId w:val="22"/>
  </w:num>
  <w:num w:numId="105" w16cid:durableId="684478527">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60276445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70321362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906494965">
    <w:abstractNumId w:val="13"/>
  </w:num>
  <w:num w:numId="109"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102530898">
    <w:abstractNumId w:val="56"/>
  </w:num>
  <w:num w:numId="112" w16cid:durableId="1455096526">
    <w:abstractNumId w:val="56"/>
  </w:num>
  <w:num w:numId="113" w16cid:durableId="1776361112">
    <w:abstractNumId w:val="56"/>
  </w:num>
  <w:num w:numId="114" w16cid:durableId="415246966">
    <w:abstractNumId w:val="56"/>
  </w:num>
  <w:num w:numId="115" w16cid:durableId="1583493697">
    <w:abstractNumId w:val="56"/>
  </w:num>
  <w:num w:numId="116" w16cid:durableId="1468821548">
    <w:abstractNumId w:val="56"/>
  </w:num>
  <w:num w:numId="117" w16cid:durableId="741440786">
    <w:abstractNumId w:val="56"/>
  </w:num>
  <w:num w:numId="118" w16cid:durableId="896598378">
    <w:abstractNumId w:val="56"/>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527"/>
    <w:rsid w:val="00001585"/>
    <w:rsid w:val="00002876"/>
    <w:rsid w:val="00003B96"/>
    <w:rsid w:val="000040B5"/>
    <w:rsid w:val="00004A1C"/>
    <w:rsid w:val="00006BC2"/>
    <w:rsid w:val="000074B8"/>
    <w:rsid w:val="00007BE2"/>
    <w:rsid w:val="00011123"/>
    <w:rsid w:val="000118B2"/>
    <w:rsid w:val="0001579C"/>
    <w:rsid w:val="00020252"/>
    <w:rsid w:val="000216F5"/>
    <w:rsid w:val="000224D3"/>
    <w:rsid w:val="0002338C"/>
    <w:rsid w:val="00023B4A"/>
    <w:rsid w:val="00023C0B"/>
    <w:rsid w:val="00024378"/>
    <w:rsid w:val="00027547"/>
    <w:rsid w:val="000330B6"/>
    <w:rsid w:val="00033FB5"/>
    <w:rsid w:val="000352E7"/>
    <w:rsid w:val="00036C9E"/>
    <w:rsid w:val="00037107"/>
    <w:rsid w:val="0003713D"/>
    <w:rsid w:val="000405C5"/>
    <w:rsid w:val="000439AC"/>
    <w:rsid w:val="00044738"/>
    <w:rsid w:val="00044CFE"/>
    <w:rsid w:val="00044F43"/>
    <w:rsid w:val="00046D43"/>
    <w:rsid w:val="000477DF"/>
    <w:rsid w:val="00051F1B"/>
    <w:rsid w:val="000522CC"/>
    <w:rsid w:val="00052BDE"/>
    <w:rsid w:val="000535BF"/>
    <w:rsid w:val="00053EDD"/>
    <w:rsid w:val="000550C6"/>
    <w:rsid w:val="00055DC2"/>
    <w:rsid w:val="00056E08"/>
    <w:rsid w:val="000616B7"/>
    <w:rsid w:val="000616CE"/>
    <w:rsid w:val="00061A9C"/>
    <w:rsid w:val="000641B1"/>
    <w:rsid w:val="000649FC"/>
    <w:rsid w:val="00065041"/>
    <w:rsid w:val="00065640"/>
    <w:rsid w:val="00071355"/>
    <w:rsid w:val="0007171B"/>
    <w:rsid w:val="00072CC4"/>
    <w:rsid w:val="00073068"/>
    <w:rsid w:val="00074222"/>
    <w:rsid w:val="00074DB0"/>
    <w:rsid w:val="00075575"/>
    <w:rsid w:val="000757B6"/>
    <w:rsid w:val="000767A8"/>
    <w:rsid w:val="00076927"/>
    <w:rsid w:val="00076DB4"/>
    <w:rsid w:val="000770F7"/>
    <w:rsid w:val="00077F9E"/>
    <w:rsid w:val="00077FD3"/>
    <w:rsid w:val="00080E74"/>
    <w:rsid w:val="00081379"/>
    <w:rsid w:val="00081A18"/>
    <w:rsid w:val="00081CE4"/>
    <w:rsid w:val="000823E8"/>
    <w:rsid w:val="0008693E"/>
    <w:rsid w:val="00086DFE"/>
    <w:rsid w:val="00087BE0"/>
    <w:rsid w:val="00090D33"/>
    <w:rsid w:val="00090FA2"/>
    <w:rsid w:val="00092323"/>
    <w:rsid w:val="00092732"/>
    <w:rsid w:val="0009392F"/>
    <w:rsid w:val="00094AD5"/>
    <w:rsid w:val="000951EF"/>
    <w:rsid w:val="000952BF"/>
    <w:rsid w:val="00095D0B"/>
    <w:rsid w:val="00095D49"/>
    <w:rsid w:val="000960AA"/>
    <w:rsid w:val="00097E92"/>
    <w:rsid w:val="000A033E"/>
    <w:rsid w:val="000A0550"/>
    <w:rsid w:val="000A105A"/>
    <w:rsid w:val="000A26E3"/>
    <w:rsid w:val="000A431C"/>
    <w:rsid w:val="000A45C5"/>
    <w:rsid w:val="000A5A53"/>
    <w:rsid w:val="000A63F3"/>
    <w:rsid w:val="000B09C3"/>
    <w:rsid w:val="000B0BAB"/>
    <w:rsid w:val="000B3862"/>
    <w:rsid w:val="000B3C3C"/>
    <w:rsid w:val="000B5E4E"/>
    <w:rsid w:val="000B606A"/>
    <w:rsid w:val="000B60CC"/>
    <w:rsid w:val="000B670B"/>
    <w:rsid w:val="000B6BF1"/>
    <w:rsid w:val="000B7E75"/>
    <w:rsid w:val="000C0DEE"/>
    <w:rsid w:val="000C2024"/>
    <w:rsid w:val="000C20B5"/>
    <w:rsid w:val="000C34CB"/>
    <w:rsid w:val="000C6CFA"/>
    <w:rsid w:val="000C7C77"/>
    <w:rsid w:val="000D0F68"/>
    <w:rsid w:val="000D1D82"/>
    <w:rsid w:val="000D2A15"/>
    <w:rsid w:val="000D4216"/>
    <w:rsid w:val="000D4E55"/>
    <w:rsid w:val="000D634E"/>
    <w:rsid w:val="000D790F"/>
    <w:rsid w:val="000D7A6C"/>
    <w:rsid w:val="000D7E5B"/>
    <w:rsid w:val="000D7F9D"/>
    <w:rsid w:val="000E0C85"/>
    <w:rsid w:val="000E0FBE"/>
    <w:rsid w:val="000E1AAC"/>
    <w:rsid w:val="000E1E28"/>
    <w:rsid w:val="000E3336"/>
    <w:rsid w:val="000E3562"/>
    <w:rsid w:val="000E673A"/>
    <w:rsid w:val="000E686F"/>
    <w:rsid w:val="000F07D8"/>
    <w:rsid w:val="000F21C2"/>
    <w:rsid w:val="000F316D"/>
    <w:rsid w:val="000F419F"/>
    <w:rsid w:val="000F45C1"/>
    <w:rsid w:val="000F4BD4"/>
    <w:rsid w:val="000F6945"/>
    <w:rsid w:val="000F71B3"/>
    <w:rsid w:val="000F7429"/>
    <w:rsid w:val="000F74F5"/>
    <w:rsid w:val="000F78FC"/>
    <w:rsid w:val="000F7E5A"/>
    <w:rsid w:val="00100BED"/>
    <w:rsid w:val="00100FD3"/>
    <w:rsid w:val="00101EC9"/>
    <w:rsid w:val="00102928"/>
    <w:rsid w:val="00104372"/>
    <w:rsid w:val="00105372"/>
    <w:rsid w:val="001054A6"/>
    <w:rsid w:val="00105592"/>
    <w:rsid w:val="001056C0"/>
    <w:rsid w:val="001078A1"/>
    <w:rsid w:val="001103FB"/>
    <w:rsid w:val="00111671"/>
    <w:rsid w:val="00112B99"/>
    <w:rsid w:val="0011373F"/>
    <w:rsid w:val="00114631"/>
    <w:rsid w:val="00114C76"/>
    <w:rsid w:val="001151F3"/>
    <w:rsid w:val="00115BB1"/>
    <w:rsid w:val="00115E74"/>
    <w:rsid w:val="001167A9"/>
    <w:rsid w:val="00120CE9"/>
    <w:rsid w:val="00120FA5"/>
    <w:rsid w:val="00123CF0"/>
    <w:rsid w:val="00125A2D"/>
    <w:rsid w:val="00127B69"/>
    <w:rsid w:val="0013031A"/>
    <w:rsid w:val="001312AD"/>
    <w:rsid w:val="00131331"/>
    <w:rsid w:val="00131E7A"/>
    <w:rsid w:val="00133208"/>
    <w:rsid w:val="00133643"/>
    <w:rsid w:val="001342BE"/>
    <w:rsid w:val="00134710"/>
    <w:rsid w:val="00134846"/>
    <w:rsid w:val="00134A5B"/>
    <w:rsid w:val="00137C2B"/>
    <w:rsid w:val="0014077F"/>
    <w:rsid w:val="00141716"/>
    <w:rsid w:val="00141888"/>
    <w:rsid w:val="00142780"/>
    <w:rsid w:val="00142825"/>
    <w:rsid w:val="00142DFB"/>
    <w:rsid w:val="001431D6"/>
    <w:rsid w:val="00143D9E"/>
    <w:rsid w:val="0014464C"/>
    <w:rsid w:val="00145F6C"/>
    <w:rsid w:val="00146442"/>
    <w:rsid w:val="00146454"/>
    <w:rsid w:val="001514A3"/>
    <w:rsid w:val="00152123"/>
    <w:rsid w:val="00156252"/>
    <w:rsid w:val="00156A9A"/>
    <w:rsid w:val="0015715D"/>
    <w:rsid w:val="00161C74"/>
    <w:rsid w:val="00162516"/>
    <w:rsid w:val="00162593"/>
    <w:rsid w:val="00162645"/>
    <w:rsid w:val="001635A2"/>
    <w:rsid w:val="00163EA8"/>
    <w:rsid w:val="00164771"/>
    <w:rsid w:val="00164F60"/>
    <w:rsid w:val="00165B31"/>
    <w:rsid w:val="0017265E"/>
    <w:rsid w:val="001727AD"/>
    <w:rsid w:val="00172AF6"/>
    <w:rsid w:val="00174252"/>
    <w:rsid w:val="00175828"/>
    <w:rsid w:val="00175A27"/>
    <w:rsid w:val="00175ED6"/>
    <w:rsid w:val="00176A9F"/>
    <w:rsid w:val="00176CEE"/>
    <w:rsid w:val="00176D9B"/>
    <w:rsid w:val="00177443"/>
    <w:rsid w:val="001776F7"/>
    <w:rsid w:val="00177AFC"/>
    <w:rsid w:val="00177FD3"/>
    <w:rsid w:val="001805B5"/>
    <w:rsid w:val="001805D9"/>
    <w:rsid w:val="00180F6E"/>
    <w:rsid w:val="00180FF9"/>
    <w:rsid w:val="00183A2C"/>
    <w:rsid w:val="00184CDC"/>
    <w:rsid w:val="00184E10"/>
    <w:rsid w:val="00185EB3"/>
    <w:rsid w:val="00185F2B"/>
    <w:rsid w:val="001860A3"/>
    <w:rsid w:val="00186DD8"/>
    <w:rsid w:val="001872CE"/>
    <w:rsid w:val="001904A0"/>
    <w:rsid w:val="00192CE3"/>
    <w:rsid w:val="00193892"/>
    <w:rsid w:val="00193FAF"/>
    <w:rsid w:val="00196749"/>
    <w:rsid w:val="001A0802"/>
    <w:rsid w:val="001A0B9B"/>
    <w:rsid w:val="001A0D18"/>
    <w:rsid w:val="001A136D"/>
    <w:rsid w:val="001A18E1"/>
    <w:rsid w:val="001A22E2"/>
    <w:rsid w:val="001A35EC"/>
    <w:rsid w:val="001A4B37"/>
    <w:rsid w:val="001A4EBA"/>
    <w:rsid w:val="001A51DE"/>
    <w:rsid w:val="001A5203"/>
    <w:rsid w:val="001A6000"/>
    <w:rsid w:val="001A7DC7"/>
    <w:rsid w:val="001B0E95"/>
    <w:rsid w:val="001B0F4A"/>
    <w:rsid w:val="001B132F"/>
    <w:rsid w:val="001B13FE"/>
    <w:rsid w:val="001B4999"/>
    <w:rsid w:val="001B53C7"/>
    <w:rsid w:val="001B59B9"/>
    <w:rsid w:val="001B5B4F"/>
    <w:rsid w:val="001B5E61"/>
    <w:rsid w:val="001B5F4A"/>
    <w:rsid w:val="001B6FC7"/>
    <w:rsid w:val="001B71DD"/>
    <w:rsid w:val="001C1AB4"/>
    <w:rsid w:val="001C24A6"/>
    <w:rsid w:val="001C3E34"/>
    <w:rsid w:val="001C4E94"/>
    <w:rsid w:val="001C5068"/>
    <w:rsid w:val="001C6D3B"/>
    <w:rsid w:val="001D0174"/>
    <w:rsid w:val="001D0AEF"/>
    <w:rsid w:val="001D0DB4"/>
    <w:rsid w:val="001D2D30"/>
    <w:rsid w:val="001E0F70"/>
    <w:rsid w:val="001E1847"/>
    <w:rsid w:val="001E1F08"/>
    <w:rsid w:val="001E325B"/>
    <w:rsid w:val="001E3A6E"/>
    <w:rsid w:val="001E43D3"/>
    <w:rsid w:val="001E516A"/>
    <w:rsid w:val="001E519C"/>
    <w:rsid w:val="001E5505"/>
    <w:rsid w:val="001E554A"/>
    <w:rsid w:val="001E55DB"/>
    <w:rsid w:val="001E5CC6"/>
    <w:rsid w:val="001E5EF5"/>
    <w:rsid w:val="001E671D"/>
    <w:rsid w:val="001E6E36"/>
    <w:rsid w:val="001E6E51"/>
    <w:rsid w:val="001E78DC"/>
    <w:rsid w:val="001F03AA"/>
    <w:rsid w:val="001F28B4"/>
    <w:rsid w:val="001F2A6F"/>
    <w:rsid w:val="001F4C39"/>
    <w:rsid w:val="001F5B8C"/>
    <w:rsid w:val="001F6692"/>
    <w:rsid w:val="001F7E35"/>
    <w:rsid w:val="00201275"/>
    <w:rsid w:val="00202F9A"/>
    <w:rsid w:val="002042CD"/>
    <w:rsid w:val="002045C7"/>
    <w:rsid w:val="00204834"/>
    <w:rsid w:val="0020526F"/>
    <w:rsid w:val="0020735E"/>
    <w:rsid w:val="00207DD6"/>
    <w:rsid w:val="002101F3"/>
    <w:rsid w:val="0021063C"/>
    <w:rsid w:val="00212589"/>
    <w:rsid w:val="002145D4"/>
    <w:rsid w:val="00214961"/>
    <w:rsid w:val="0021496C"/>
    <w:rsid w:val="00214FBE"/>
    <w:rsid w:val="00216859"/>
    <w:rsid w:val="00220EFD"/>
    <w:rsid w:val="0022111F"/>
    <w:rsid w:val="00221316"/>
    <w:rsid w:val="00221A3C"/>
    <w:rsid w:val="00221A70"/>
    <w:rsid w:val="00222CAB"/>
    <w:rsid w:val="002236B5"/>
    <w:rsid w:val="00223D8E"/>
    <w:rsid w:val="00223F3A"/>
    <w:rsid w:val="00224652"/>
    <w:rsid w:val="00225527"/>
    <w:rsid w:val="00230410"/>
    <w:rsid w:val="00231F89"/>
    <w:rsid w:val="00233D66"/>
    <w:rsid w:val="00234DE9"/>
    <w:rsid w:val="00235634"/>
    <w:rsid w:val="002356DE"/>
    <w:rsid w:val="00236B68"/>
    <w:rsid w:val="002372CA"/>
    <w:rsid w:val="0023789E"/>
    <w:rsid w:val="0024003E"/>
    <w:rsid w:val="00240089"/>
    <w:rsid w:val="0024022A"/>
    <w:rsid w:val="00243480"/>
    <w:rsid w:val="00244809"/>
    <w:rsid w:val="00244A1B"/>
    <w:rsid w:val="00244EFC"/>
    <w:rsid w:val="002477C7"/>
    <w:rsid w:val="002477D5"/>
    <w:rsid w:val="00251186"/>
    <w:rsid w:val="002512E8"/>
    <w:rsid w:val="00251E7F"/>
    <w:rsid w:val="0025236B"/>
    <w:rsid w:val="002537E9"/>
    <w:rsid w:val="00253CBE"/>
    <w:rsid w:val="00254774"/>
    <w:rsid w:val="002548BF"/>
    <w:rsid w:val="00254E30"/>
    <w:rsid w:val="002562E9"/>
    <w:rsid w:val="0025688B"/>
    <w:rsid w:val="00256A24"/>
    <w:rsid w:val="00257B68"/>
    <w:rsid w:val="002606A2"/>
    <w:rsid w:val="0026178E"/>
    <w:rsid w:val="002619EF"/>
    <w:rsid w:val="00261F77"/>
    <w:rsid w:val="00262521"/>
    <w:rsid w:val="00263302"/>
    <w:rsid w:val="00264058"/>
    <w:rsid w:val="00264362"/>
    <w:rsid w:val="0026545B"/>
    <w:rsid w:val="002654CD"/>
    <w:rsid w:val="002655F1"/>
    <w:rsid w:val="00266E4E"/>
    <w:rsid w:val="00267A74"/>
    <w:rsid w:val="00267CA5"/>
    <w:rsid w:val="00270659"/>
    <w:rsid w:val="00270FAE"/>
    <w:rsid w:val="0027365A"/>
    <w:rsid w:val="00273EBF"/>
    <w:rsid w:val="00274172"/>
    <w:rsid w:val="00276218"/>
    <w:rsid w:val="00277C36"/>
    <w:rsid w:val="00277CA7"/>
    <w:rsid w:val="00280813"/>
    <w:rsid w:val="0028194B"/>
    <w:rsid w:val="00282734"/>
    <w:rsid w:val="00282E33"/>
    <w:rsid w:val="002830A0"/>
    <w:rsid w:val="0028542C"/>
    <w:rsid w:val="00286076"/>
    <w:rsid w:val="0028752E"/>
    <w:rsid w:val="00290CF5"/>
    <w:rsid w:val="00290F5D"/>
    <w:rsid w:val="002914D3"/>
    <w:rsid w:val="00291AFB"/>
    <w:rsid w:val="00292352"/>
    <w:rsid w:val="002949AC"/>
    <w:rsid w:val="00294BDD"/>
    <w:rsid w:val="00295443"/>
    <w:rsid w:val="00295494"/>
    <w:rsid w:val="00296AC5"/>
    <w:rsid w:val="00296FF2"/>
    <w:rsid w:val="002A05EC"/>
    <w:rsid w:val="002A0873"/>
    <w:rsid w:val="002A0F2F"/>
    <w:rsid w:val="002A1B35"/>
    <w:rsid w:val="002A2132"/>
    <w:rsid w:val="002A3130"/>
    <w:rsid w:val="002A325B"/>
    <w:rsid w:val="002A3373"/>
    <w:rsid w:val="002A4FE0"/>
    <w:rsid w:val="002A5A03"/>
    <w:rsid w:val="002A667B"/>
    <w:rsid w:val="002A66FA"/>
    <w:rsid w:val="002A7633"/>
    <w:rsid w:val="002A7747"/>
    <w:rsid w:val="002B05C3"/>
    <w:rsid w:val="002B2C57"/>
    <w:rsid w:val="002B39C6"/>
    <w:rsid w:val="002B41AE"/>
    <w:rsid w:val="002B4293"/>
    <w:rsid w:val="002B4A29"/>
    <w:rsid w:val="002B5A14"/>
    <w:rsid w:val="002B7C87"/>
    <w:rsid w:val="002C05C5"/>
    <w:rsid w:val="002C1181"/>
    <w:rsid w:val="002C25FE"/>
    <w:rsid w:val="002C452E"/>
    <w:rsid w:val="002C5578"/>
    <w:rsid w:val="002C6244"/>
    <w:rsid w:val="002C6B9C"/>
    <w:rsid w:val="002C6D3A"/>
    <w:rsid w:val="002C7D3F"/>
    <w:rsid w:val="002D0585"/>
    <w:rsid w:val="002D2EAD"/>
    <w:rsid w:val="002D300E"/>
    <w:rsid w:val="002D33BE"/>
    <w:rsid w:val="002D54CE"/>
    <w:rsid w:val="002D6955"/>
    <w:rsid w:val="002D72BA"/>
    <w:rsid w:val="002D7768"/>
    <w:rsid w:val="002E0A6A"/>
    <w:rsid w:val="002E0BF2"/>
    <w:rsid w:val="002E270A"/>
    <w:rsid w:val="002E2CE3"/>
    <w:rsid w:val="002E6BE1"/>
    <w:rsid w:val="002E6DB6"/>
    <w:rsid w:val="002F064C"/>
    <w:rsid w:val="002F0D9C"/>
    <w:rsid w:val="002F0FAC"/>
    <w:rsid w:val="002F16F1"/>
    <w:rsid w:val="002F2CE5"/>
    <w:rsid w:val="002F3A5B"/>
    <w:rsid w:val="002F3B7A"/>
    <w:rsid w:val="002F3B7E"/>
    <w:rsid w:val="002F3D38"/>
    <w:rsid w:val="002F5BE0"/>
    <w:rsid w:val="002F738B"/>
    <w:rsid w:val="002F744E"/>
    <w:rsid w:val="002F7619"/>
    <w:rsid w:val="002F7FD6"/>
    <w:rsid w:val="00300319"/>
    <w:rsid w:val="003008FE"/>
    <w:rsid w:val="00300B51"/>
    <w:rsid w:val="0030169D"/>
    <w:rsid w:val="00303506"/>
    <w:rsid w:val="00303901"/>
    <w:rsid w:val="00303CFE"/>
    <w:rsid w:val="003060EB"/>
    <w:rsid w:val="0030686B"/>
    <w:rsid w:val="00307D3F"/>
    <w:rsid w:val="00307F77"/>
    <w:rsid w:val="003105AE"/>
    <w:rsid w:val="00311EF3"/>
    <w:rsid w:val="003138C2"/>
    <w:rsid w:val="003153EB"/>
    <w:rsid w:val="003157B3"/>
    <w:rsid w:val="003165CD"/>
    <w:rsid w:val="00321985"/>
    <w:rsid w:val="00322BE3"/>
    <w:rsid w:val="003236BF"/>
    <w:rsid w:val="00323C19"/>
    <w:rsid w:val="00324F2E"/>
    <w:rsid w:val="00324FA2"/>
    <w:rsid w:val="003275AC"/>
    <w:rsid w:val="00327CAB"/>
    <w:rsid w:val="003349CB"/>
    <w:rsid w:val="00335367"/>
    <w:rsid w:val="00337997"/>
    <w:rsid w:val="00340BCD"/>
    <w:rsid w:val="003410F9"/>
    <w:rsid w:val="00344004"/>
    <w:rsid w:val="003440BE"/>
    <w:rsid w:val="003456A1"/>
    <w:rsid w:val="00345B67"/>
    <w:rsid w:val="003471DF"/>
    <w:rsid w:val="00347C7D"/>
    <w:rsid w:val="00350B27"/>
    <w:rsid w:val="00351205"/>
    <w:rsid w:val="003528D9"/>
    <w:rsid w:val="00352BD0"/>
    <w:rsid w:val="00354E26"/>
    <w:rsid w:val="00356B8F"/>
    <w:rsid w:val="00360580"/>
    <w:rsid w:val="003605F6"/>
    <w:rsid w:val="00360E24"/>
    <w:rsid w:val="00361A0A"/>
    <w:rsid w:val="00361ABE"/>
    <w:rsid w:val="00367E96"/>
    <w:rsid w:val="00372257"/>
    <w:rsid w:val="003724F7"/>
    <w:rsid w:val="00372865"/>
    <w:rsid w:val="00372C41"/>
    <w:rsid w:val="00372F74"/>
    <w:rsid w:val="00374ACD"/>
    <w:rsid w:val="00374CA8"/>
    <w:rsid w:val="00375956"/>
    <w:rsid w:val="00375E7D"/>
    <w:rsid w:val="0037600D"/>
    <w:rsid w:val="00376B41"/>
    <w:rsid w:val="003801F4"/>
    <w:rsid w:val="003808F6"/>
    <w:rsid w:val="0038090B"/>
    <w:rsid w:val="00381D6C"/>
    <w:rsid w:val="00383DA2"/>
    <w:rsid w:val="00384804"/>
    <w:rsid w:val="00384B6C"/>
    <w:rsid w:val="00385F7D"/>
    <w:rsid w:val="00386398"/>
    <w:rsid w:val="00387CD3"/>
    <w:rsid w:val="00390712"/>
    <w:rsid w:val="0039084E"/>
    <w:rsid w:val="003916D6"/>
    <w:rsid w:val="0039283A"/>
    <w:rsid w:val="00392C2E"/>
    <w:rsid w:val="003938B0"/>
    <w:rsid w:val="00393DB4"/>
    <w:rsid w:val="00393FE0"/>
    <w:rsid w:val="003956ED"/>
    <w:rsid w:val="003A035E"/>
    <w:rsid w:val="003A03FC"/>
    <w:rsid w:val="003A205F"/>
    <w:rsid w:val="003A2D12"/>
    <w:rsid w:val="003A3B8E"/>
    <w:rsid w:val="003A51B5"/>
    <w:rsid w:val="003A5264"/>
    <w:rsid w:val="003A62BE"/>
    <w:rsid w:val="003A6673"/>
    <w:rsid w:val="003A68A1"/>
    <w:rsid w:val="003A70C8"/>
    <w:rsid w:val="003A7975"/>
    <w:rsid w:val="003A7A04"/>
    <w:rsid w:val="003A7C16"/>
    <w:rsid w:val="003B0FBF"/>
    <w:rsid w:val="003B24BE"/>
    <w:rsid w:val="003B26DE"/>
    <w:rsid w:val="003B3A84"/>
    <w:rsid w:val="003B3FB9"/>
    <w:rsid w:val="003B6BF5"/>
    <w:rsid w:val="003B6C98"/>
    <w:rsid w:val="003C0D85"/>
    <w:rsid w:val="003C199D"/>
    <w:rsid w:val="003C20F1"/>
    <w:rsid w:val="003C29E8"/>
    <w:rsid w:val="003C2FA8"/>
    <w:rsid w:val="003C3703"/>
    <w:rsid w:val="003C3C01"/>
    <w:rsid w:val="003C3C8A"/>
    <w:rsid w:val="003C5211"/>
    <w:rsid w:val="003C57DA"/>
    <w:rsid w:val="003C6E5B"/>
    <w:rsid w:val="003C6FCC"/>
    <w:rsid w:val="003C76FF"/>
    <w:rsid w:val="003D15AA"/>
    <w:rsid w:val="003D1901"/>
    <w:rsid w:val="003D19B1"/>
    <w:rsid w:val="003D3E7C"/>
    <w:rsid w:val="003D6287"/>
    <w:rsid w:val="003D6BDF"/>
    <w:rsid w:val="003D7993"/>
    <w:rsid w:val="003E2088"/>
    <w:rsid w:val="003E41C7"/>
    <w:rsid w:val="003E6098"/>
    <w:rsid w:val="003F03A7"/>
    <w:rsid w:val="003F05DF"/>
    <w:rsid w:val="003F11E1"/>
    <w:rsid w:val="003F1548"/>
    <w:rsid w:val="003F1B3F"/>
    <w:rsid w:val="003F33C4"/>
    <w:rsid w:val="003F3A42"/>
    <w:rsid w:val="003F414D"/>
    <w:rsid w:val="003F421A"/>
    <w:rsid w:val="003F42CE"/>
    <w:rsid w:val="003F5857"/>
    <w:rsid w:val="003F61E6"/>
    <w:rsid w:val="003F70BC"/>
    <w:rsid w:val="003F7224"/>
    <w:rsid w:val="00400294"/>
    <w:rsid w:val="00402C53"/>
    <w:rsid w:val="0040369A"/>
    <w:rsid w:val="004042F2"/>
    <w:rsid w:val="00404742"/>
    <w:rsid w:val="00404E12"/>
    <w:rsid w:val="00406755"/>
    <w:rsid w:val="004067B1"/>
    <w:rsid w:val="00407073"/>
    <w:rsid w:val="004072B0"/>
    <w:rsid w:val="0041037C"/>
    <w:rsid w:val="00410BA0"/>
    <w:rsid w:val="0041233B"/>
    <w:rsid w:val="00413EF4"/>
    <w:rsid w:val="00414DD5"/>
    <w:rsid w:val="004155DE"/>
    <w:rsid w:val="00415FEF"/>
    <w:rsid w:val="004176F2"/>
    <w:rsid w:val="004205C5"/>
    <w:rsid w:val="004224F5"/>
    <w:rsid w:val="00422696"/>
    <w:rsid w:val="004232C5"/>
    <w:rsid w:val="0042331A"/>
    <w:rsid w:val="00424164"/>
    <w:rsid w:val="00425A83"/>
    <w:rsid w:val="004262EE"/>
    <w:rsid w:val="00426676"/>
    <w:rsid w:val="00427D21"/>
    <w:rsid w:val="00431319"/>
    <w:rsid w:val="00431352"/>
    <w:rsid w:val="00431B37"/>
    <w:rsid w:val="0043211D"/>
    <w:rsid w:val="0043240B"/>
    <w:rsid w:val="00433F7C"/>
    <w:rsid w:val="0043481B"/>
    <w:rsid w:val="00435C0E"/>
    <w:rsid w:val="0043605E"/>
    <w:rsid w:val="00436565"/>
    <w:rsid w:val="00436686"/>
    <w:rsid w:val="00437572"/>
    <w:rsid w:val="00440673"/>
    <w:rsid w:val="0044159A"/>
    <w:rsid w:val="00442F16"/>
    <w:rsid w:val="00443D76"/>
    <w:rsid w:val="00444722"/>
    <w:rsid w:val="00445C48"/>
    <w:rsid w:val="00445E35"/>
    <w:rsid w:val="00446E53"/>
    <w:rsid w:val="00447F4A"/>
    <w:rsid w:val="00450360"/>
    <w:rsid w:val="0045089A"/>
    <w:rsid w:val="0045134E"/>
    <w:rsid w:val="0045212A"/>
    <w:rsid w:val="004521BE"/>
    <w:rsid w:val="00453683"/>
    <w:rsid w:val="00454116"/>
    <w:rsid w:val="00454B5A"/>
    <w:rsid w:val="004558F7"/>
    <w:rsid w:val="00455AF2"/>
    <w:rsid w:val="00455F53"/>
    <w:rsid w:val="00456018"/>
    <w:rsid w:val="00456F67"/>
    <w:rsid w:val="00457847"/>
    <w:rsid w:val="004604DB"/>
    <w:rsid w:val="00462887"/>
    <w:rsid w:val="00464396"/>
    <w:rsid w:val="004644C2"/>
    <w:rsid w:val="0046468E"/>
    <w:rsid w:val="004648A4"/>
    <w:rsid w:val="0046596E"/>
    <w:rsid w:val="004666EC"/>
    <w:rsid w:val="00467073"/>
    <w:rsid w:val="00467F9C"/>
    <w:rsid w:val="004727AF"/>
    <w:rsid w:val="004732C9"/>
    <w:rsid w:val="00474A91"/>
    <w:rsid w:val="00474A95"/>
    <w:rsid w:val="00475141"/>
    <w:rsid w:val="00476359"/>
    <w:rsid w:val="00477A43"/>
    <w:rsid w:val="00480454"/>
    <w:rsid w:val="00480793"/>
    <w:rsid w:val="00480844"/>
    <w:rsid w:val="00480C2B"/>
    <w:rsid w:val="0048119E"/>
    <w:rsid w:val="004819CF"/>
    <w:rsid w:val="00481E53"/>
    <w:rsid w:val="00482CB5"/>
    <w:rsid w:val="00483081"/>
    <w:rsid w:val="0048345C"/>
    <w:rsid w:val="00483AD1"/>
    <w:rsid w:val="00484B4C"/>
    <w:rsid w:val="00486E05"/>
    <w:rsid w:val="00487192"/>
    <w:rsid w:val="004908FA"/>
    <w:rsid w:val="00491E10"/>
    <w:rsid w:val="00492531"/>
    <w:rsid w:val="00492F77"/>
    <w:rsid w:val="004938B6"/>
    <w:rsid w:val="004939AF"/>
    <w:rsid w:val="004940A7"/>
    <w:rsid w:val="004949B2"/>
    <w:rsid w:val="00494EFD"/>
    <w:rsid w:val="00497BEA"/>
    <w:rsid w:val="004A11B0"/>
    <w:rsid w:val="004A1559"/>
    <w:rsid w:val="004A294B"/>
    <w:rsid w:val="004A2AB1"/>
    <w:rsid w:val="004A4196"/>
    <w:rsid w:val="004A4422"/>
    <w:rsid w:val="004A627B"/>
    <w:rsid w:val="004A6F87"/>
    <w:rsid w:val="004A760E"/>
    <w:rsid w:val="004B2ADE"/>
    <w:rsid w:val="004B3559"/>
    <w:rsid w:val="004B49DB"/>
    <w:rsid w:val="004B4E6F"/>
    <w:rsid w:val="004C08C4"/>
    <w:rsid w:val="004C21E8"/>
    <w:rsid w:val="004C26AC"/>
    <w:rsid w:val="004C2F47"/>
    <w:rsid w:val="004C33E1"/>
    <w:rsid w:val="004C4E4B"/>
    <w:rsid w:val="004C52F0"/>
    <w:rsid w:val="004C5C67"/>
    <w:rsid w:val="004D0A87"/>
    <w:rsid w:val="004D277B"/>
    <w:rsid w:val="004D3368"/>
    <w:rsid w:val="004D5C07"/>
    <w:rsid w:val="004D716E"/>
    <w:rsid w:val="004D79DD"/>
    <w:rsid w:val="004E108E"/>
    <w:rsid w:val="004E3752"/>
    <w:rsid w:val="004E494E"/>
    <w:rsid w:val="004E5184"/>
    <w:rsid w:val="004E6330"/>
    <w:rsid w:val="004E731C"/>
    <w:rsid w:val="004E77DF"/>
    <w:rsid w:val="004F1E6B"/>
    <w:rsid w:val="004F2022"/>
    <w:rsid w:val="004F22F1"/>
    <w:rsid w:val="004F2A83"/>
    <w:rsid w:val="004F3563"/>
    <w:rsid w:val="004F3A38"/>
    <w:rsid w:val="004F79C1"/>
    <w:rsid w:val="004F7CC0"/>
    <w:rsid w:val="00501DB4"/>
    <w:rsid w:val="005022C1"/>
    <w:rsid w:val="005023CD"/>
    <w:rsid w:val="00503089"/>
    <w:rsid w:val="00503D21"/>
    <w:rsid w:val="00504295"/>
    <w:rsid w:val="0050498D"/>
    <w:rsid w:val="005071B8"/>
    <w:rsid w:val="00507D33"/>
    <w:rsid w:val="00507DC7"/>
    <w:rsid w:val="0051006C"/>
    <w:rsid w:val="005100C5"/>
    <w:rsid w:val="00512403"/>
    <w:rsid w:val="005129A3"/>
    <w:rsid w:val="00513FF1"/>
    <w:rsid w:val="0051496B"/>
    <w:rsid w:val="005150A0"/>
    <w:rsid w:val="00515C67"/>
    <w:rsid w:val="00516929"/>
    <w:rsid w:val="00520CC8"/>
    <w:rsid w:val="00522D2E"/>
    <w:rsid w:val="00523052"/>
    <w:rsid w:val="00523321"/>
    <w:rsid w:val="0052614C"/>
    <w:rsid w:val="00526268"/>
    <w:rsid w:val="005268BA"/>
    <w:rsid w:val="005269BD"/>
    <w:rsid w:val="00526D9A"/>
    <w:rsid w:val="00527576"/>
    <w:rsid w:val="00531E5C"/>
    <w:rsid w:val="00533B39"/>
    <w:rsid w:val="00534054"/>
    <w:rsid w:val="00534681"/>
    <w:rsid w:val="00534852"/>
    <w:rsid w:val="005348A9"/>
    <w:rsid w:val="005351C1"/>
    <w:rsid w:val="0053537B"/>
    <w:rsid w:val="0053640A"/>
    <w:rsid w:val="005368D3"/>
    <w:rsid w:val="00540052"/>
    <w:rsid w:val="005419A0"/>
    <w:rsid w:val="00541F69"/>
    <w:rsid w:val="00543446"/>
    <w:rsid w:val="0054377E"/>
    <w:rsid w:val="00544329"/>
    <w:rsid w:val="00544410"/>
    <w:rsid w:val="00545157"/>
    <w:rsid w:val="00550B9D"/>
    <w:rsid w:val="0055100A"/>
    <w:rsid w:val="00552638"/>
    <w:rsid w:val="00554FED"/>
    <w:rsid w:val="0056068E"/>
    <w:rsid w:val="00563442"/>
    <w:rsid w:val="0056348E"/>
    <w:rsid w:val="005635AC"/>
    <w:rsid w:val="0056484C"/>
    <w:rsid w:val="005649F9"/>
    <w:rsid w:val="00564C69"/>
    <w:rsid w:val="00565496"/>
    <w:rsid w:val="00565B42"/>
    <w:rsid w:val="00565BD4"/>
    <w:rsid w:val="00566DF3"/>
    <w:rsid w:val="00567A76"/>
    <w:rsid w:val="00567C20"/>
    <w:rsid w:val="00567DD9"/>
    <w:rsid w:val="005706E0"/>
    <w:rsid w:val="00571A4E"/>
    <w:rsid w:val="00572EC4"/>
    <w:rsid w:val="00573BF8"/>
    <w:rsid w:val="0057622C"/>
    <w:rsid w:val="00576980"/>
    <w:rsid w:val="00576DB3"/>
    <w:rsid w:val="00580EA7"/>
    <w:rsid w:val="0058253B"/>
    <w:rsid w:val="0058272E"/>
    <w:rsid w:val="0058599A"/>
    <w:rsid w:val="00585DAB"/>
    <w:rsid w:val="00587490"/>
    <w:rsid w:val="0058783C"/>
    <w:rsid w:val="00590729"/>
    <w:rsid w:val="00590913"/>
    <w:rsid w:val="00591054"/>
    <w:rsid w:val="00591799"/>
    <w:rsid w:val="00592609"/>
    <w:rsid w:val="00593506"/>
    <w:rsid w:val="00593D05"/>
    <w:rsid w:val="00594A55"/>
    <w:rsid w:val="00594ECC"/>
    <w:rsid w:val="00595334"/>
    <w:rsid w:val="0059634E"/>
    <w:rsid w:val="005A0B2B"/>
    <w:rsid w:val="005A35AB"/>
    <w:rsid w:val="005A470E"/>
    <w:rsid w:val="005A4BFA"/>
    <w:rsid w:val="005A4DC7"/>
    <w:rsid w:val="005A4E30"/>
    <w:rsid w:val="005A5890"/>
    <w:rsid w:val="005A67E5"/>
    <w:rsid w:val="005A6BE5"/>
    <w:rsid w:val="005B13DC"/>
    <w:rsid w:val="005B278D"/>
    <w:rsid w:val="005B33EC"/>
    <w:rsid w:val="005B35E2"/>
    <w:rsid w:val="005B3E4B"/>
    <w:rsid w:val="005B414B"/>
    <w:rsid w:val="005C0158"/>
    <w:rsid w:val="005C10F2"/>
    <w:rsid w:val="005C4643"/>
    <w:rsid w:val="005C49B6"/>
    <w:rsid w:val="005C4CE6"/>
    <w:rsid w:val="005C5A1A"/>
    <w:rsid w:val="005C5E90"/>
    <w:rsid w:val="005C5FF8"/>
    <w:rsid w:val="005C68CF"/>
    <w:rsid w:val="005D1AEC"/>
    <w:rsid w:val="005D2893"/>
    <w:rsid w:val="005D3824"/>
    <w:rsid w:val="005D39D5"/>
    <w:rsid w:val="005D3D3E"/>
    <w:rsid w:val="005D6238"/>
    <w:rsid w:val="005D6D15"/>
    <w:rsid w:val="005E1193"/>
    <w:rsid w:val="005E384D"/>
    <w:rsid w:val="005E3B73"/>
    <w:rsid w:val="005E3E24"/>
    <w:rsid w:val="005E437A"/>
    <w:rsid w:val="005E4E99"/>
    <w:rsid w:val="005E659D"/>
    <w:rsid w:val="005E6A27"/>
    <w:rsid w:val="005F17C4"/>
    <w:rsid w:val="005F2933"/>
    <w:rsid w:val="005F2C50"/>
    <w:rsid w:val="005F31F9"/>
    <w:rsid w:val="005F621E"/>
    <w:rsid w:val="005F700C"/>
    <w:rsid w:val="005F7C70"/>
    <w:rsid w:val="006003B8"/>
    <w:rsid w:val="00600557"/>
    <w:rsid w:val="00602709"/>
    <w:rsid w:val="00603C4D"/>
    <w:rsid w:val="006046E3"/>
    <w:rsid w:val="00606726"/>
    <w:rsid w:val="00610E9F"/>
    <w:rsid w:val="00611401"/>
    <w:rsid w:val="00611CF8"/>
    <w:rsid w:val="006122BA"/>
    <w:rsid w:val="00613194"/>
    <w:rsid w:val="00613689"/>
    <w:rsid w:val="00614FEB"/>
    <w:rsid w:val="00615248"/>
    <w:rsid w:val="00615EAF"/>
    <w:rsid w:val="00616485"/>
    <w:rsid w:val="00617AF4"/>
    <w:rsid w:val="00617F9C"/>
    <w:rsid w:val="00620BD0"/>
    <w:rsid w:val="00620CF1"/>
    <w:rsid w:val="00620F8B"/>
    <w:rsid w:val="006215F0"/>
    <w:rsid w:val="00621ADD"/>
    <w:rsid w:val="00622E66"/>
    <w:rsid w:val="00623834"/>
    <w:rsid w:val="006247AC"/>
    <w:rsid w:val="00625A92"/>
    <w:rsid w:val="00631A10"/>
    <w:rsid w:val="00632AC6"/>
    <w:rsid w:val="00634C1D"/>
    <w:rsid w:val="006359B3"/>
    <w:rsid w:val="00636632"/>
    <w:rsid w:val="006378E3"/>
    <w:rsid w:val="00637F98"/>
    <w:rsid w:val="00641683"/>
    <w:rsid w:val="00643111"/>
    <w:rsid w:val="00643987"/>
    <w:rsid w:val="00646CAD"/>
    <w:rsid w:val="00646E6D"/>
    <w:rsid w:val="00647121"/>
    <w:rsid w:val="006478BF"/>
    <w:rsid w:val="00650948"/>
    <w:rsid w:val="00650F34"/>
    <w:rsid w:val="0065193F"/>
    <w:rsid w:val="00653458"/>
    <w:rsid w:val="00655406"/>
    <w:rsid w:val="006554B6"/>
    <w:rsid w:val="006565F3"/>
    <w:rsid w:val="00660B19"/>
    <w:rsid w:val="00662518"/>
    <w:rsid w:val="00662B31"/>
    <w:rsid w:val="006631E6"/>
    <w:rsid w:val="00664D58"/>
    <w:rsid w:val="00665F22"/>
    <w:rsid w:val="00667664"/>
    <w:rsid w:val="00667825"/>
    <w:rsid w:val="00670C4F"/>
    <w:rsid w:val="006717A3"/>
    <w:rsid w:val="00671AD2"/>
    <w:rsid w:val="0067281E"/>
    <w:rsid w:val="00672AD5"/>
    <w:rsid w:val="00673A55"/>
    <w:rsid w:val="00673DFB"/>
    <w:rsid w:val="00673ECE"/>
    <w:rsid w:val="00676497"/>
    <w:rsid w:val="00676DC9"/>
    <w:rsid w:val="006806B3"/>
    <w:rsid w:val="00681334"/>
    <w:rsid w:val="0068166B"/>
    <w:rsid w:val="00683735"/>
    <w:rsid w:val="00683852"/>
    <w:rsid w:val="00683909"/>
    <w:rsid w:val="00683BA8"/>
    <w:rsid w:val="006844CB"/>
    <w:rsid w:val="00684E0C"/>
    <w:rsid w:val="00686CCB"/>
    <w:rsid w:val="00686F46"/>
    <w:rsid w:val="006921EB"/>
    <w:rsid w:val="00692E1A"/>
    <w:rsid w:val="00697422"/>
    <w:rsid w:val="00697525"/>
    <w:rsid w:val="0069759D"/>
    <w:rsid w:val="006979D3"/>
    <w:rsid w:val="006A0A90"/>
    <w:rsid w:val="006A0F96"/>
    <w:rsid w:val="006A105E"/>
    <w:rsid w:val="006A11B0"/>
    <w:rsid w:val="006A1364"/>
    <w:rsid w:val="006A1FF7"/>
    <w:rsid w:val="006A452B"/>
    <w:rsid w:val="006A5D7E"/>
    <w:rsid w:val="006A64D6"/>
    <w:rsid w:val="006A68F2"/>
    <w:rsid w:val="006A6B44"/>
    <w:rsid w:val="006A73C1"/>
    <w:rsid w:val="006A746D"/>
    <w:rsid w:val="006B19E2"/>
    <w:rsid w:val="006B1FC7"/>
    <w:rsid w:val="006B2290"/>
    <w:rsid w:val="006B2781"/>
    <w:rsid w:val="006B2979"/>
    <w:rsid w:val="006B2FF4"/>
    <w:rsid w:val="006B4026"/>
    <w:rsid w:val="006B7977"/>
    <w:rsid w:val="006C0BD2"/>
    <w:rsid w:val="006C143B"/>
    <w:rsid w:val="006C2289"/>
    <w:rsid w:val="006C531F"/>
    <w:rsid w:val="006C56DC"/>
    <w:rsid w:val="006C6B65"/>
    <w:rsid w:val="006C6FA0"/>
    <w:rsid w:val="006C7472"/>
    <w:rsid w:val="006C7E6E"/>
    <w:rsid w:val="006D01AB"/>
    <w:rsid w:val="006D19AC"/>
    <w:rsid w:val="006D210A"/>
    <w:rsid w:val="006D25E5"/>
    <w:rsid w:val="006D2FA6"/>
    <w:rsid w:val="006D5C57"/>
    <w:rsid w:val="006D605D"/>
    <w:rsid w:val="006D6A61"/>
    <w:rsid w:val="006D7CA0"/>
    <w:rsid w:val="006E4107"/>
    <w:rsid w:val="006E4434"/>
    <w:rsid w:val="006E671B"/>
    <w:rsid w:val="006E6EE2"/>
    <w:rsid w:val="006E71F9"/>
    <w:rsid w:val="006F0021"/>
    <w:rsid w:val="006F198F"/>
    <w:rsid w:val="006F1ED3"/>
    <w:rsid w:val="006F233B"/>
    <w:rsid w:val="006F317A"/>
    <w:rsid w:val="006F42A1"/>
    <w:rsid w:val="006F5720"/>
    <w:rsid w:val="006F779E"/>
    <w:rsid w:val="006F7DDE"/>
    <w:rsid w:val="00700F41"/>
    <w:rsid w:val="00702940"/>
    <w:rsid w:val="007045C7"/>
    <w:rsid w:val="00704A61"/>
    <w:rsid w:val="00704B53"/>
    <w:rsid w:val="00705C2D"/>
    <w:rsid w:val="00707064"/>
    <w:rsid w:val="00707460"/>
    <w:rsid w:val="00710468"/>
    <w:rsid w:val="007129A9"/>
    <w:rsid w:val="00712D86"/>
    <w:rsid w:val="00713740"/>
    <w:rsid w:val="007145DA"/>
    <w:rsid w:val="00714995"/>
    <w:rsid w:val="00715183"/>
    <w:rsid w:val="00717D88"/>
    <w:rsid w:val="00721B4C"/>
    <w:rsid w:val="007238D3"/>
    <w:rsid w:val="00724595"/>
    <w:rsid w:val="00724CE4"/>
    <w:rsid w:val="007262CF"/>
    <w:rsid w:val="00726A43"/>
    <w:rsid w:val="0073013D"/>
    <w:rsid w:val="00730E9B"/>
    <w:rsid w:val="007311D8"/>
    <w:rsid w:val="00733AC2"/>
    <w:rsid w:val="00735933"/>
    <w:rsid w:val="0073629E"/>
    <w:rsid w:val="007367C3"/>
    <w:rsid w:val="00736C03"/>
    <w:rsid w:val="007372BB"/>
    <w:rsid w:val="00737BF1"/>
    <w:rsid w:val="00740713"/>
    <w:rsid w:val="00741574"/>
    <w:rsid w:val="007435D4"/>
    <w:rsid w:val="007477B3"/>
    <w:rsid w:val="00747AA6"/>
    <w:rsid w:val="00751085"/>
    <w:rsid w:val="00751E7A"/>
    <w:rsid w:val="0075249B"/>
    <w:rsid w:val="00753048"/>
    <w:rsid w:val="0075344A"/>
    <w:rsid w:val="00754C48"/>
    <w:rsid w:val="00754FFF"/>
    <w:rsid w:val="00755038"/>
    <w:rsid w:val="00755B71"/>
    <w:rsid w:val="00755E91"/>
    <w:rsid w:val="007570C9"/>
    <w:rsid w:val="0075779D"/>
    <w:rsid w:val="00761595"/>
    <w:rsid w:val="007649BD"/>
    <w:rsid w:val="00764ECC"/>
    <w:rsid w:val="00765F13"/>
    <w:rsid w:val="00766902"/>
    <w:rsid w:val="00766DF9"/>
    <w:rsid w:val="00767006"/>
    <w:rsid w:val="0076731E"/>
    <w:rsid w:val="00767793"/>
    <w:rsid w:val="00767A0D"/>
    <w:rsid w:val="007702A8"/>
    <w:rsid w:val="0077040C"/>
    <w:rsid w:val="007707A9"/>
    <w:rsid w:val="00770C0A"/>
    <w:rsid w:val="00772321"/>
    <w:rsid w:val="00772632"/>
    <w:rsid w:val="00772FA5"/>
    <w:rsid w:val="00773315"/>
    <w:rsid w:val="00773FD2"/>
    <w:rsid w:val="00774237"/>
    <w:rsid w:val="00774AF7"/>
    <w:rsid w:val="00774B80"/>
    <w:rsid w:val="00774D33"/>
    <w:rsid w:val="0077603E"/>
    <w:rsid w:val="007767AD"/>
    <w:rsid w:val="007818B9"/>
    <w:rsid w:val="00781FAB"/>
    <w:rsid w:val="007826A0"/>
    <w:rsid w:val="00782A35"/>
    <w:rsid w:val="00782C80"/>
    <w:rsid w:val="0078388F"/>
    <w:rsid w:val="00783D60"/>
    <w:rsid w:val="00783E6C"/>
    <w:rsid w:val="007842BB"/>
    <w:rsid w:val="0078441E"/>
    <w:rsid w:val="00784C39"/>
    <w:rsid w:val="00786056"/>
    <w:rsid w:val="007862AE"/>
    <w:rsid w:val="0078631A"/>
    <w:rsid w:val="00786450"/>
    <w:rsid w:val="007869F3"/>
    <w:rsid w:val="0078768C"/>
    <w:rsid w:val="007902F2"/>
    <w:rsid w:val="00790E1B"/>
    <w:rsid w:val="00790EF8"/>
    <w:rsid w:val="007915F4"/>
    <w:rsid w:val="00791E29"/>
    <w:rsid w:val="007926F1"/>
    <w:rsid w:val="007930A8"/>
    <w:rsid w:val="0079358C"/>
    <w:rsid w:val="00793B3A"/>
    <w:rsid w:val="007942D3"/>
    <w:rsid w:val="0079485B"/>
    <w:rsid w:val="00794F9A"/>
    <w:rsid w:val="007954E8"/>
    <w:rsid w:val="007957C0"/>
    <w:rsid w:val="007970CE"/>
    <w:rsid w:val="007979E9"/>
    <w:rsid w:val="00797E93"/>
    <w:rsid w:val="007A136F"/>
    <w:rsid w:val="007A3B5B"/>
    <w:rsid w:val="007A3BBF"/>
    <w:rsid w:val="007A5CC2"/>
    <w:rsid w:val="007A63E7"/>
    <w:rsid w:val="007A75B3"/>
    <w:rsid w:val="007B02D2"/>
    <w:rsid w:val="007B17AA"/>
    <w:rsid w:val="007B2099"/>
    <w:rsid w:val="007B4796"/>
    <w:rsid w:val="007B4ED8"/>
    <w:rsid w:val="007B5F8A"/>
    <w:rsid w:val="007B6349"/>
    <w:rsid w:val="007B6C09"/>
    <w:rsid w:val="007B72AE"/>
    <w:rsid w:val="007B72FB"/>
    <w:rsid w:val="007B7367"/>
    <w:rsid w:val="007B7741"/>
    <w:rsid w:val="007B7756"/>
    <w:rsid w:val="007C0876"/>
    <w:rsid w:val="007C1931"/>
    <w:rsid w:val="007C29BF"/>
    <w:rsid w:val="007C2F30"/>
    <w:rsid w:val="007C3767"/>
    <w:rsid w:val="007C4951"/>
    <w:rsid w:val="007C74D5"/>
    <w:rsid w:val="007C78E4"/>
    <w:rsid w:val="007C7EE3"/>
    <w:rsid w:val="007D031B"/>
    <w:rsid w:val="007D1563"/>
    <w:rsid w:val="007D16FA"/>
    <w:rsid w:val="007D36FF"/>
    <w:rsid w:val="007D4B9C"/>
    <w:rsid w:val="007D6BA3"/>
    <w:rsid w:val="007D6C80"/>
    <w:rsid w:val="007E09DA"/>
    <w:rsid w:val="007E0F8A"/>
    <w:rsid w:val="007E1AD4"/>
    <w:rsid w:val="007E23BA"/>
    <w:rsid w:val="007E2734"/>
    <w:rsid w:val="007E4705"/>
    <w:rsid w:val="007E5553"/>
    <w:rsid w:val="007E5F23"/>
    <w:rsid w:val="007E7875"/>
    <w:rsid w:val="007E7C4A"/>
    <w:rsid w:val="007F27A0"/>
    <w:rsid w:val="007F4520"/>
    <w:rsid w:val="007F4A82"/>
    <w:rsid w:val="007F50BE"/>
    <w:rsid w:val="007F5BAA"/>
    <w:rsid w:val="007F5F25"/>
    <w:rsid w:val="007F718D"/>
    <w:rsid w:val="00801FAD"/>
    <w:rsid w:val="00805CD3"/>
    <w:rsid w:val="00805EBB"/>
    <w:rsid w:val="008068D7"/>
    <w:rsid w:val="00807E89"/>
    <w:rsid w:val="00812C00"/>
    <w:rsid w:val="00813079"/>
    <w:rsid w:val="00813EEA"/>
    <w:rsid w:val="00814F09"/>
    <w:rsid w:val="00816456"/>
    <w:rsid w:val="008166C8"/>
    <w:rsid w:val="00816CA2"/>
    <w:rsid w:val="008175B5"/>
    <w:rsid w:val="008178B6"/>
    <w:rsid w:val="0082067D"/>
    <w:rsid w:val="00820BBC"/>
    <w:rsid w:val="00820D6D"/>
    <w:rsid w:val="00821BCD"/>
    <w:rsid w:val="00822430"/>
    <w:rsid w:val="008234F8"/>
    <w:rsid w:val="00823919"/>
    <w:rsid w:val="00827348"/>
    <w:rsid w:val="00827846"/>
    <w:rsid w:val="00830D9F"/>
    <w:rsid w:val="00832378"/>
    <w:rsid w:val="00832E89"/>
    <w:rsid w:val="00833AA7"/>
    <w:rsid w:val="0084036E"/>
    <w:rsid w:val="00840DF4"/>
    <w:rsid w:val="0084108D"/>
    <w:rsid w:val="008418EE"/>
    <w:rsid w:val="008423AF"/>
    <w:rsid w:val="008465DD"/>
    <w:rsid w:val="008469FF"/>
    <w:rsid w:val="00852075"/>
    <w:rsid w:val="008520D1"/>
    <w:rsid w:val="008533C2"/>
    <w:rsid w:val="0085798D"/>
    <w:rsid w:val="00860340"/>
    <w:rsid w:val="00860C4E"/>
    <w:rsid w:val="008619CF"/>
    <w:rsid w:val="0086395B"/>
    <w:rsid w:val="00863DEF"/>
    <w:rsid w:val="00865169"/>
    <w:rsid w:val="0086586E"/>
    <w:rsid w:val="00865B74"/>
    <w:rsid w:val="0086604E"/>
    <w:rsid w:val="00866063"/>
    <w:rsid w:val="0086686C"/>
    <w:rsid w:val="00867099"/>
    <w:rsid w:val="008709C1"/>
    <w:rsid w:val="008711B4"/>
    <w:rsid w:val="008715B0"/>
    <w:rsid w:val="00871CB5"/>
    <w:rsid w:val="00871D3C"/>
    <w:rsid w:val="0087273E"/>
    <w:rsid w:val="00874019"/>
    <w:rsid w:val="00874D56"/>
    <w:rsid w:val="00876259"/>
    <w:rsid w:val="00876894"/>
    <w:rsid w:val="00877C4C"/>
    <w:rsid w:val="00882048"/>
    <w:rsid w:val="008837A5"/>
    <w:rsid w:val="0088415B"/>
    <w:rsid w:val="00885C6C"/>
    <w:rsid w:val="00886485"/>
    <w:rsid w:val="0088661A"/>
    <w:rsid w:val="008869DF"/>
    <w:rsid w:val="008879C9"/>
    <w:rsid w:val="00890B90"/>
    <w:rsid w:val="008916D3"/>
    <w:rsid w:val="00892351"/>
    <w:rsid w:val="00894582"/>
    <w:rsid w:val="00894FF3"/>
    <w:rsid w:val="00895018"/>
    <w:rsid w:val="00895404"/>
    <w:rsid w:val="008974F0"/>
    <w:rsid w:val="008978C5"/>
    <w:rsid w:val="008A1499"/>
    <w:rsid w:val="008A14E4"/>
    <w:rsid w:val="008A324F"/>
    <w:rsid w:val="008A3F47"/>
    <w:rsid w:val="008A4875"/>
    <w:rsid w:val="008A4F7A"/>
    <w:rsid w:val="008B009D"/>
    <w:rsid w:val="008B012A"/>
    <w:rsid w:val="008B0743"/>
    <w:rsid w:val="008B1280"/>
    <w:rsid w:val="008B1D5D"/>
    <w:rsid w:val="008B2055"/>
    <w:rsid w:val="008B2B24"/>
    <w:rsid w:val="008B2B8A"/>
    <w:rsid w:val="008B3605"/>
    <w:rsid w:val="008B3B75"/>
    <w:rsid w:val="008B51AC"/>
    <w:rsid w:val="008B6057"/>
    <w:rsid w:val="008B69C1"/>
    <w:rsid w:val="008B7B44"/>
    <w:rsid w:val="008B7E4C"/>
    <w:rsid w:val="008C252B"/>
    <w:rsid w:val="008C2973"/>
    <w:rsid w:val="008C439C"/>
    <w:rsid w:val="008C7381"/>
    <w:rsid w:val="008C74D4"/>
    <w:rsid w:val="008C7692"/>
    <w:rsid w:val="008D08B2"/>
    <w:rsid w:val="008D27EB"/>
    <w:rsid w:val="008D2D4C"/>
    <w:rsid w:val="008D46BF"/>
    <w:rsid w:val="008D5402"/>
    <w:rsid w:val="008D5641"/>
    <w:rsid w:val="008D5B01"/>
    <w:rsid w:val="008D625C"/>
    <w:rsid w:val="008D7517"/>
    <w:rsid w:val="008E16B4"/>
    <w:rsid w:val="008E32EA"/>
    <w:rsid w:val="008E3612"/>
    <w:rsid w:val="008E38F9"/>
    <w:rsid w:val="008E5933"/>
    <w:rsid w:val="008E5CF7"/>
    <w:rsid w:val="008E7F31"/>
    <w:rsid w:val="008F0E8A"/>
    <w:rsid w:val="008F1B83"/>
    <w:rsid w:val="008F2383"/>
    <w:rsid w:val="008F60D2"/>
    <w:rsid w:val="008F6CB9"/>
    <w:rsid w:val="008F7271"/>
    <w:rsid w:val="008F7D70"/>
    <w:rsid w:val="00901079"/>
    <w:rsid w:val="00901639"/>
    <w:rsid w:val="009019AE"/>
    <w:rsid w:val="00901C24"/>
    <w:rsid w:val="00901FE2"/>
    <w:rsid w:val="009024BF"/>
    <w:rsid w:val="00902B16"/>
    <w:rsid w:val="00904BBB"/>
    <w:rsid w:val="00904EEE"/>
    <w:rsid w:val="009051C4"/>
    <w:rsid w:val="009052DD"/>
    <w:rsid w:val="0090609B"/>
    <w:rsid w:val="00906E17"/>
    <w:rsid w:val="00907D74"/>
    <w:rsid w:val="00907F8D"/>
    <w:rsid w:val="00911AA6"/>
    <w:rsid w:val="00912DF4"/>
    <w:rsid w:val="0091475D"/>
    <w:rsid w:val="00914A92"/>
    <w:rsid w:val="00915921"/>
    <w:rsid w:val="0091733C"/>
    <w:rsid w:val="009177F1"/>
    <w:rsid w:val="00917BB1"/>
    <w:rsid w:val="00920AB8"/>
    <w:rsid w:val="009210D8"/>
    <w:rsid w:val="00921268"/>
    <w:rsid w:val="00923C0F"/>
    <w:rsid w:val="00924AFF"/>
    <w:rsid w:val="00924C27"/>
    <w:rsid w:val="00924D5E"/>
    <w:rsid w:val="0092524D"/>
    <w:rsid w:val="00925456"/>
    <w:rsid w:val="00926E24"/>
    <w:rsid w:val="00927FEF"/>
    <w:rsid w:val="00930BA1"/>
    <w:rsid w:val="009315A6"/>
    <w:rsid w:val="0093169E"/>
    <w:rsid w:val="00932977"/>
    <w:rsid w:val="00933579"/>
    <w:rsid w:val="00934E0D"/>
    <w:rsid w:val="00935C76"/>
    <w:rsid w:val="00936E27"/>
    <w:rsid w:val="00937B34"/>
    <w:rsid w:val="0094204D"/>
    <w:rsid w:val="00943275"/>
    <w:rsid w:val="009437B6"/>
    <w:rsid w:val="009441BF"/>
    <w:rsid w:val="009448A3"/>
    <w:rsid w:val="00945314"/>
    <w:rsid w:val="00945335"/>
    <w:rsid w:val="009455ED"/>
    <w:rsid w:val="00945689"/>
    <w:rsid w:val="00947910"/>
    <w:rsid w:val="00947CA7"/>
    <w:rsid w:val="009505C9"/>
    <w:rsid w:val="00950752"/>
    <w:rsid w:val="00950ABE"/>
    <w:rsid w:val="00950E0D"/>
    <w:rsid w:val="009514C5"/>
    <w:rsid w:val="00952EBE"/>
    <w:rsid w:val="00953F37"/>
    <w:rsid w:val="00953FD8"/>
    <w:rsid w:val="009547A4"/>
    <w:rsid w:val="00954CC4"/>
    <w:rsid w:val="00954DE1"/>
    <w:rsid w:val="00955108"/>
    <w:rsid w:val="00955725"/>
    <w:rsid w:val="00955D11"/>
    <w:rsid w:val="009565CC"/>
    <w:rsid w:val="009566BD"/>
    <w:rsid w:val="00957203"/>
    <w:rsid w:val="009611B7"/>
    <w:rsid w:val="009614F8"/>
    <w:rsid w:val="009618B7"/>
    <w:rsid w:val="00963886"/>
    <w:rsid w:val="0096551E"/>
    <w:rsid w:val="009663F9"/>
    <w:rsid w:val="00966424"/>
    <w:rsid w:val="009664CE"/>
    <w:rsid w:val="00966A89"/>
    <w:rsid w:val="009720C7"/>
    <w:rsid w:val="00973E63"/>
    <w:rsid w:val="009753A8"/>
    <w:rsid w:val="009768A0"/>
    <w:rsid w:val="009768B0"/>
    <w:rsid w:val="00977E3D"/>
    <w:rsid w:val="00980101"/>
    <w:rsid w:val="00983A70"/>
    <w:rsid w:val="009846DC"/>
    <w:rsid w:val="0098558E"/>
    <w:rsid w:val="00985F57"/>
    <w:rsid w:val="009872AA"/>
    <w:rsid w:val="00990380"/>
    <w:rsid w:val="0099138C"/>
    <w:rsid w:val="00992723"/>
    <w:rsid w:val="00992F5B"/>
    <w:rsid w:val="009930AC"/>
    <w:rsid w:val="00993861"/>
    <w:rsid w:val="009938B3"/>
    <w:rsid w:val="009939A4"/>
    <w:rsid w:val="00994ABD"/>
    <w:rsid w:val="0099554A"/>
    <w:rsid w:val="00995638"/>
    <w:rsid w:val="009965D4"/>
    <w:rsid w:val="00996AD8"/>
    <w:rsid w:val="00996C8B"/>
    <w:rsid w:val="00996F4F"/>
    <w:rsid w:val="009A117E"/>
    <w:rsid w:val="009A230F"/>
    <w:rsid w:val="009A377C"/>
    <w:rsid w:val="009A390F"/>
    <w:rsid w:val="009A483A"/>
    <w:rsid w:val="009A4E6C"/>
    <w:rsid w:val="009A576A"/>
    <w:rsid w:val="009B0274"/>
    <w:rsid w:val="009B0F06"/>
    <w:rsid w:val="009B14D5"/>
    <w:rsid w:val="009B2527"/>
    <w:rsid w:val="009B5FE4"/>
    <w:rsid w:val="009B60F7"/>
    <w:rsid w:val="009B67DC"/>
    <w:rsid w:val="009C0695"/>
    <w:rsid w:val="009C0769"/>
    <w:rsid w:val="009C1ECE"/>
    <w:rsid w:val="009C2DE6"/>
    <w:rsid w:val="009C387E"/>
    <w:rsid w:val="009C38AF"/>
    <w:rsid w:val="009C3D77"/>
    <w:rsid w:val="009C62A7"/>
    <w:rsid w:val="009C6839"/>
    <w:rsid w:val="009C6D43"/>
    <w:rsid w:val="009C7C0D"/>
    <w:rsid w:val="009D0252"/>
    <w:rsid w:val="009D0C49"/>
    <w:rsid w:val="009D0CA1"/>
    <w:rsid w:val="009D1364"/>
    <w:rsid w:val="009D1864"/>
    <w:rsid w:val="009D1B8D"/>
    <w:rsid w:val="009D234E"/>
    <w:rsid w:val="009D32FA"/>
    <w:rsid w:val="009D35CE"/>
    <w:rsid w:val="009D3BEC"/>
    <w:rsid w:val="009D3F7A"/>
    <w:rsid w:val="009D57B1"/>
    <w:rsid w:val="009D5A8C"/>
    <w:rsid w:val="009E38BE"/>
    <w:rsid w:val="009E3FBE"/>
    <w:rsid w:val="009E40E3"/>
    <w:rsid w:val="009E4EAE"/>
    <w:rsid w:val="009E5572"/>
    <w:rsid w:val="009E55D6"/>
    <w:rsid w:val="009E5725"/>
    <w:rsid w:val="009E5992"/>
    <w:rsid w:val="009E59A7"/>
    <w:rsid w:val="009E6DC7"/>
    <w:rsid w:val="009F0D68"/>
    <w:rsid w:val="009F1201"/>
    <w:rsid w:val="009F1576"/>
    <w:rsid w:val="009F286F"/>
    <w:rsid w:val="009F448B"/>
    <w:rsid w:val="009F466E"/>
    <w:rsid w:val="009F47C8"/>
    <w:rsid w:val="009F4D39"/>
    <w:rsid w:val="009F4D8D"/>
    <w:rsid w:val="009F5E99"/>
    <w:rsid w:val="009F5F72"/>
    <w:rsid w:val="009F6401"/>
    <w:rsid w:val="009F6B05"/>
    <w:rsid w:val="009F7311"/>
    <w:rsid w:val="009F74B2"/>
    <w:rsid w:val="00A00F88"/>
    <w:rsid w:val="00A01ADF"/>
    <w:rsid w:val="00A03818"/>
    <w:rsid w:val="00A04963"/>
    <w:rsid w:val="00A06560"/>
    <w:rsid w:val="00A06583"/>
    <w:rsid w:val="00A06BD6"/>
    <w:rsid w:val="00A07224"/>
    <w:rsid w:val="00A07C17"/>
    <w:rsid w:val="00A07EC9"/>
    <w:rsid w:val="00A10129"/>
    <w:rsid w:val="00A111D1"/>
    <w:rsid w:val="00A127CB"/>
    <w:rsid w:val="00A12B16"/>
    <w:rsid w:val="00A12FA2"/>
    <w:rsid w:val="00A13071"/>
    <w:rsid w:val="00A130A8"/>
    <w:rsid w:val="00A132B5"/>
    <w:rsid w:val="00A138AA"/>
    <w:rsid w:val="00A14688"/>
    <w:rsid w:val="00A14F4E"/>
    <w:rsid w:val="00A15490"/>
    <w:rsid w:val="00A1781D"/>
    <w:rsid w:val="00A22252"/>
    <w:rsid w:val="00A228D9"/>
    <w:rsid w:val="00A25DF3"/>
    <w:rsid w:val="00A26DAD"/>
    <w:rsid w:val="00A27DD8"/>
    <w:rsid w:val="00A316BF"/>
    <w:rsid w:val="00A33BCC"/>
    <w:rsid w:val="00A33E19"/>
    <w:rsid w:val="00A34187"/>
    <w:rsid w:val="00A34F85"/>
    <w:rsid w:val="00A36E1F"/>
    <w:rsid w:val="00A37729"/>
    <w:rsid w:val="00A3781A"/>
    <w:rsid w:val="00A421C9"/>
    <w:rsid w:val="00A42250"/>
    <w:rsid w:val="00A42AE8"/>
    <w:rsid w:val="00A43234"/>
    <w:rsid w:val="00A441BC"/>
    <w:rsid w:val="00A44849"/>
    <w:rsid w:val="00A44AD1"/>
    <w:rsid w:val="00A4500A"/>
    <w:rsid w:val="00A46B4F"/>
    <w:rsid w:val="00A500ED"/>
    <w:rsid w:val="00A50810"/>
    <w:rsid w:val="00A50987"/>
    <w:rsid w:val="00A52174"/>
    <w:rsid w:val="00A528B3"/>
    <w:rsid w:val="00A52F75"/>
    <w:rsid w:val="00A53F01"/>
    <w:rsid w:val="00A54625"/>
    <w:rsid w:val="00A574CF"/>
    <w:rsid w:val="00A5755A"/>
    <w:rsid w:val="00A5770F"/>
    <w:rsid w:val="00A60445"/>
    <w:rsid w:val="00A615ED"/>
    <w:rsid w:val="00A61B6A"/>
    <w:rsid w:val="00A61E14"/>
    <w:rsid w:val="00A62551"/>
    <w:rsid w:val="00A64304"/>
    <w:rsid w:val="00A64D03"/>
    <w:rsid w:val="00A65E8E"/>
    <w:rsid w:val="00A66E63"/>
    <w:rsid w:val="00A702D1"/>
    <w:rsid w:val="00A70939"/>
    <w:rsid w:val="00A7214C"/>
    <w:rsid w:val="00A73945"/>
    <w:rsid w:val="00A754DA"/>
    <w:rsid w:val="00A75670"/>
    <w:rsid w:val="00A76017"/>
    <w:rsid w:val="00A77F33"/>
    <w:rsid w:val="00A80304"/>
    <w:rsid w:val="00A81174"/>
    <w:rsid w:val="00A82AFC"/>
    <w:rsid w:val="00A82F18"/>
    <w:rsid w:val="00A83A45"/>
    <w:rsid w:val="00A84D82"/>
    <w:rsid w:val="00A8570F"/>
    <w:rsid w:val="00A86435"/>
    <w:rsid w:val="00A86F80"/>
    <w:rsid w:val="00A87B6D"/>
    <w:rsid w:val="00A87ED2"/>
    <w:rsid w:val="00A913EE"/>
    <w:rsid w:val="00A92ABA"/>
    <w:rsid w:val="00A93562"/>
    <w:rsid w:val="00A93F44"/>
    <w:rsid w:val="00A9697B"/>
    <w:rsid w:val="00A97CAA"/>
    <w:rsid w:val="00AA01B1"/>
    <w:rsid w:val="00AA1546"/>
    <w:rsid w:val="00AA25E1"/>
    <w:rsid w:val="00AA5A0A"/>
    <w:rsid w:val="00AA5DCE"/>
    <w:rsid w:val="00AA6F92"/>
    <w:rsid w:val="00AA71F6"/>
    <w:rsid w:val="00AB034E"/>
    <w:rsid w:val="00AB2F50"/>
    <w:rsid w:val="00AB3777"/>
    <w:rsid w:val="00AB3DCD"/>
    <w:rsid w:val="00AB5412"/>
    <w:rsid w:val="00AB5FB3"/>
    <w:rsid w:val="00AB6934"/>
    <w:rsid w:val="00AB6A26"/>
    <w:rsid w:val="00AB6AA2"/>
    <w:rsid w:val="00AB6C48"/>
    <w:rsid w:val="00AC39DD"/>
    <w:rsid w:val="00AC3E67"/>
    <w:rsid w:val="00AC6E5E"/>
    <w:rsid w:val="00AC7173"/>
    <w:rsid w:val="00AC77F4"/>
    <w:rsid w:val="00AD10AB"/>
    <w:rsid w:val="00AD248C"/>
    <w:rsid w:val="00AD271A"/>
    <w:rsid w:val="00AD2A95"/>
    <w:rsid w:val="00AD39B8"/>
    <w:rsid w:val="00AD4041"/>
    <w:rsid w:val="00AD4E3B"/>
    <w:rsid w:val="00AD4F07"/>
    <w:rsid w:val="00AD59CE"/>
    <w:rsid w:val="00AE03C1"/>
    <w:rsid w:val="00AE0423"/>
    <w:rsid w:val="00AE04FC"/>
    <w:rsid w:val="00AE0DDC"/>
    <w:rsid w:val="00AE2703"/>
    <w:rsid w:val="00AE2B8A"/>
    <w:rsid w:val="00AE2D6A"/>
    <w:rsid w:val="00AE35C4"/>
    <w:rsid w:val="00AE52E0"/>
    <w:rsid w:val="00AE5CFA"/>
    <w:rsid w:val="00AE5D2E"/>
    <w:rsid w:val="00AE5F45"/>
    <w:rsid w:val="00AE793E"/>
    <w:rsid w:val="00AF16C5"/>
    <w:rsid w:val="00AF2029"/>
    <w:rsid w:val="00AF22FE"/>
    <w:rsid w:val="00AF2343"/>
    <w:rsid w:val="00AF296B"/>
    <w:rsid w:val="00AF3455"/>
    <w:rsid w:val="00AF3F86"/>
    <w:rsid w:val="00AF42DE"/>
    <w:rsid w:val="00AF4F89"/>
    <w:rsid w:val="00AF6C69"/>
    <w:rsid w:val="00AF7DFE"/>
    <w:rsid w:val="00B00300"/>
    <w:rsid w:val="00B00DC3"/>
    <w:rsid w:val="00B028E9"/>
    <w:rsid w:val="00B02A3D"/>
    <w:rsid w:val="00B02C4A"/>
    <w:rsid w:val="00B038BD"/>
    <w:rsid w:val="00B047B9"/>
    <w:rsid w:val="00B05B42"/>
    <w:rsid w:val="00B05DFF"/>
    <w:rsid w:val="00B05F71"/>
    <w:rsid w:val="00B06809"/>
    <w:rsid w:val="00B1543C"/>
    <w:rsid w:val="00B160D5"/>
    <w:rsid w:val="00B16608"/>
    <w:rsid w:val="00B17435"/>
    <w:rsid w:val="00B179CD"/>
    <w:rsid w:val="00B20ED4"/>
    <w:rsid w:val="00B259A8"/>
    <w:rsid w:val="00B2694F"/>
    <w:rsid w:val="00B3060B"/>
    <w:rsid w:val="00B3109B"/>
    <w:rsid w:val="00B31566"/>
    <w:rsid w:val="00B3369F"/>
    <w:rsid w:val="00B344D2"/>
    <w:rsid w:val="00B34FA3"/>
    <w:rsid w:val="00B351F9"/>
    <w:rsid w:val="00B356E9"/>
    <w:rsid w:val="00B37643"/>
    <w:rsid w:val="00B40800"/>
    <w:rsid w:val="00B41024"/>
    <w:rsid w:val="00B419B8"/>
    <w:rsid w:val="00B41A97"/>
    <w:rsid w:val="00B41DA8"/>
    <w:rsid w:val="00B430CE"/>
    <w:rsid w:val="00B4383C"/>
    <w:rsid w:val="00B44581"/>
    <w:rsid w:val="00B447FE"/>
    <w:rsid w:val="00B44C25"/>
    <w:rsid w:val="00B457DD"/>
    <w:rsid w:val="00B4722D"/>
    <w:rsid w:val="00B50893"/>
    <w:rsid w:val="00B517EB"/>
    <w:rsid w:val="00B54095"/>
    <w:rsid w:val="00B54224"/>
    <w:rsid w:val="00B54C11"/>
    <w:rsid w:val="00B5516E"/>
    <w:rsid w:val="00B55680"/>
    <w:rsid w:val="00B56789"/>
    <w:rsid w:val="00B60DAE"/>
    <w:rsid w:val="00B624C4"/>
    <w:rsid w:val="00B64221"/>
    <w:rsid w:val="00B647CC"/>
    <w:rsid w:val="00B7010D"/>
    <w:rsid w:val="00B70C10"/>
    <w:rsid w:val="00B73ED1"/>
    <w:rsid w:val="00B73FD1"/>
    <w:rsid w:val="00B7477F"/>
    <w:rsid w:val="00B764B8"/>
    <w:rsid w:val="00B76DBD"/>
    <w:rsid w:val="00B76EDC"/>
    <w:rsid w:val="00B77FA9"/>
    <w:rsid w:val="00B81BB0"/>
    <w:rsid w:val="00B84880"/>
    <w:rsid w:val="00B84B98"/>
    <w:rsid w:val="00B85467"/>
    <w:rsid w:val="00B868B0"/>
    <w:rsid w:val="00B86A27"/>
    <w:rsid w:val="00B90259"/>
    <w:rsid w:val="00B913A4"/>
    <w:rsid w:val="00B91459"/>
    <w:rsid w:val="00B93386"/>
    <w:rsid w:val="00B93AEF"/>
    <w:rsid w:val="00B94A9E"/>
    <w:rsid w:val="00B94E0C"/>
    <w:rsid w:val="00B94E6C"/>
    <w:rsid w:val="00B951B4"/>
    <w:rsid w:val="00B95D45"/>
    <w:rsid w:val="00B96588"/>
    <w:rsid w:val="00B966D5"/>
    <w:rsid w:val="00BA7107"/>
    <w:rsid w:val="00BA78DB"/>
    <w:rsid w:val="00BB0104"/>
    <w:rsid w:val="00BB0165"/>
    <w:rsid w:val="00BB1FFE"/>
    <w:rsid w:val="00BB2D7E"/>
    <w:rsid w:val="00BB2EED"/>
    <w:rsid w:val="00BB35B9"/>
    <w:rsid w:val="00BB4477"/>
    <w:rsid w:val="00BB4606"/>
    <w:rsid w:val="00BB6C5B"/>
    <w:rsid w:val="00BB7348"/>
    <w:rsid w:val="00BB7BF4"/>
    <w:rsid w:val="00BB7D30"/>
    <w:rsid w:val="00BC2B5E"/>
    <w:rsid w:val="00BC3515"/>
    <w:rsid w:val="00BC383D"/>
    <w:rsid w:val="00BC448C"/>
    <w:rsid w:val="00BC4495"/>
    <w:rsid w:val="00BC4692"/>
    <w:rsid w:val="00BC49F2"/>
    <w:rsid w:val="00BD0891"/>
    <w:rsid w:val="00BD24B3"/>
    <w:rsid w:val="00BD3461"/>
    <w:rsid w:val="00BD351D"/>
    <w:rsid w:val="00BD3B84"/>
    <w:rsid w:val="00BD3C06"/>
    <w:rsid w:val="00BD430E"/>
    <w:rsid w:val="00BD491F"/>
    <w:rsid w:val="00BD522E"/>
    <w:rsid w:val="00BD6ECA"/>
    <w:rsid w:val="00BD6F93"/>
    <w:rsid w:val="00BD7635"/>
    <w:rsid w:val="00BE00EF"/>
    <w:rsid w:val="00BE0562"/>
    <w:rsid w:val="00BE09FE"/>
    <w:rsid w:val="00BE0CDF"/>
    <w:rsid w:val="00BE26E0"/>
    <w:rsid w:val="00BE2C54"/>
    <w:rsid w:val="00BE3F67"/>
    <w:rsid w:val="00BE4016"/>
    <w:rsid w:val="00BE6B67"/>
    <w:rsid w:val="00BF0664"/>
    <w:rsid w:val="00BF1B10"/>
    <w:rsid w:val="00BF1F75"/>
    <w:rsid w:val="00BF2123"/>
    <w:rsid w:val="00BF3A9B"/>
    <w:rsid w:val="00BF5787"/>
    <w:rsid w:val="00BF6778"/>
    <w:rsid w:val="00BF70D8"/>
    <w:rsid w:val="00C014E2"/>
    <w:rsid w:val="00C0186A"/>
    <w:rsid w:val="00C03FBC"/>
    <w:rsid w:val="00C04383"/>
    <w:rsid w:val="00C04DCA"/>
    <w:rsid w:val="00C04FB2"/>
    <w:rsid w:val="00C05AE3"/>
    <w:rsid w:val="00C0698B"/>
    <w:rsid w:val="00C072FB"/>
    <w:rsid w:val="00C078C0"/>
    <w:rsid w:val="00C111E5"/>
    <w:rsid w:val="00C135D1"/>
    <w:rsid w:val="00C1424D"/>
    <w:rsid w:val="00C14883"/>
    <w:rsid w:val="00C14FA6"/>
    <w:rsid w:val="00C1586D"/>
    <w:rsid w:val="00C1591A"/>
    <w:rsid w:val="00C207A7"/>
    <w:rsid w:val="00C20D24"/>
    <w:rsid w:val="00C21CB4"/>
    <w:rsid w:val="00C220CB"/>
    <w:rsid w:val="00C22993"/>
    <w:rsid w:val="00C22A4E"/>
    <w:rsid w:val="00C23D2F"/>
    <w:rsid w:val="00C244A2"/>
    <w:rsid w:val="00C260F4"/>
    <w:rsid w:val="00C262C2"/>
    <w:rsid w:val="00C323DD"/>
    <w:rsid w:val="00C32A3F"/>
    <w:rsid w:val="00C32F8F"/>
    <w:rsid w:val="00C338B3"/>
    <w:rsid w:val="00C34E44"/>
    <w:rsid w:val="00C35B8F"/>
    <w:rsid w:val="00C408C3"/>
    <w:rsid w:val="00C430AE"/>
    <w:rsid w:val="00C4348A"/>
    <w:rsid w:val="00C43E5E"/>
    <w:rsid w:val="00C443BD"/>
    <w:rsid w:val="00C448EC"/>
    <w:rsid w:val="00C451C5"/>
    <w:rsid w:val="00C47DC7"/>
    <w:rsid w:val="00C500B5"/>
    <w:rsid w:val="00C52932"/>
    <w:rsid w:val="00C52B4E"/>
    <w:rsid w:val="00C53F5A"/>
    <w:rsid w:val="00C54E22"/>
    <w:rsid w:val="00C57204"/>
    <w:rsid w:val="00C60C20"/>
    <w:rsid w:val="00C61EAA"/>
    <w:rsid w:val="00C61FDD"/>
    <w:rsid w:val="00C62BD4"/>
    <w:rsid w:val="00C63368"/>
    <w:rsid w:val="00C63428"/>
    <w:rsid w:val="00C6342E"/>
    <w:rsid w:val="00C638D6"/>
    <w:rsid w:val="00C63AE5"/>
    <w:rsid w:val="00C63D4D"/>
    <w:rsid w:val="00C647D5"/>
    <w:rsid w:val="00C67732"/>
    <w:rsid w:val="00C7310F"/>
    <w:rsid w:val="00C734AE"/>
    <w:rsid w:val="00C73506"/>
    <w:rsid w:val="00C744C3"/>
    <w:rsid w:val="00C77AB4"/>
    <w:rsid w:val="00C80EC9"/>
    <w:rsid w:val="00C8217E"/>
    <w:rsid w:val="00C82AD0"/>
    <w:rsid w:val="00C84849"/>
    <w:rsid w:val="00C84EB7"/>
    <w:rsid w:val="00C85B5F"/>
    <w:rsid w:val="00C86201"/>
    <w:rsid w:val="00C866AE"/>
    <w:rsid w:val="00C86CC7"/>
    <w:rsid w:val="00C90D69"/>
    <w:rsid w:val="00C9161D"/>
    <w:rsid w:val="00C91DDE"/>
    <w:rsid w:val="00C9268B"/>
    <w:rsid w:val="00C94354"/>
    <w:rsid w:val="00C943E8"/>
    <w:rsid w:val="00C95435"/>
    <w:rsid w:val="00C954B3"/>
    <w:rsid w:val="00C95AE2"/>
    <w:rsid w:val="00C9742A"/>
    <w:rsid w:val="00C97656"/>
    <w:rsid w:val="00C9766E"/>
    <w:rsid w:val="00CA0C1D"/>
    <w:rsid w:val="00CA1865"/>
    <w:rsid w:val="00CA2BEC"/>
    <w:rsid w:val="00CA49BE"/>
    <w:rsid w:val="00CA4FA6"/>
    <w:rsid w:val="00CA581D"/>
    <w:rsid w:val="00CA62BD"/>
    <w:rsid w:val="00CA674C"/>
    <w:rsid w:val="00CA7C38"/>
    <w:rsid w:val="00CB00DB"/>
    <w:rsid w:val="00CB09C7"/>
    <w:rsid w:val="00CB0DB4"/>
    <w:rsid w:val="00CB223F"/>
    <w:rsid w:val="00CB27DC"/>
    <w:rsid w:val="00CB3328"/>
    <w:rsid w:val="00CB385F"/>
    <w:rsid w:val="00CB4474"/>
    <w:rsid w:val="00CB44B5"/>
    <w:rsid w:val="00CB45AC"/>
    <w:rsid w:val="00CB45C6"/>
    <w:rsid w:val="00CB45CF"/>
    <w:rsid w:val="00CC113D"/>
    <w:rsid w:val="00CC2DE4"/>
    <w:rsid w:val="00CC2E22"/>
    <w:rsid w:val="00CC30DE"/>
    <w:rsid w:val="00CC3821"/>
    <w:rsid w:val="00CC3C6B"/>
    <w:rsid w:val="00CC4319"/>
    <w:rsid w:val="00CC4337"/>
    <w:rsid w:val="00CC55E5"/>
    <w:rsid w:val="00CC5950"/>
    <w:rsid w:val="00CC5CA9"/>
    <w:rsid w:val="00CC6718"/>
    <w:rsid w:val="00CC757E"/>
    <w:rsid w:val="00CD07BD"/>
    <w:rsid w:val="00CD19B9"/>
    <w:rsid w:val="00CD2963"/>
    <w:rsid w:val="00CD3BC3"/>
    <w:rsid w:val="00CD641E"/>
    <w:rsid w:val="00CD6747"/>
    <w:rsid w:val="00CD6E49"/>
    <w:rsid w:val="00CE2545"/>
    <w:rsid w:val="00CE2DD3"/>
    <w:rsid w:val="00CE2E94"/>
    <w:rsid w:val="00CE355D"/>
    <w:rsid w:val="00CE3C83"/>
    <w:rsid w:val="00CE5631"/>
    <w:rsid w:val="00CE58A5"/>
    <w:rsid w:val="00CF06C5"/>
    <w:rsid w:val="00CF1848"/>
    <w:rsid w:val="00CF1C94"/>
    <w:rsid w:val="00CF2E2E"/>
    <w:rsid w:val="00CF3502"/>
    <w:rsid w:val="00CF3D42"/>
    <w:rsid w:val="00CF41F0"/>
    <w:rsid w:val="00CF516F"/>
    <w:rsid w:val="00CF753A"/>
    <w:rsid w:val="00CF7DE6"/>
    <w:rsid w:val="00D00299"/>
    <w:rsid w:val="00D00C44"/>
    <w:rsid w:val="00D010F7"/>
    <w:rsid w:val="00D0239C"/>
    <w:rsid w:val="00D0674B"/>
    <w:rsid w:val="00D06D47"/>
    <w:rsid w:val="00D11507"/>
    <w:rsid w:val="00D11560"/>
    <w:rsid w:val="00D11F71"/>
    <w:rsid w:val="00D12044"/>
    <w:rsid w:val="00D12884"/>
    <w:rsid w:val="00D14937"/>
    <w:rsid w:val="00D14CE1"/>
    <w:rsid w:val="00D170D9"/>
    <w:rsid w:val="00D1744C"/>
    <w:rsid w:val="00D17CDE"/>
    <w:rsid w:val="00D17FFA"/>
    <w:rsid w:val="00D204A1"/>
    <w:rsid w:val="00D212A7"/>
    <w:rsid w:val="00D21474"/>
    <w:rsid w:val="00D22B0D"/>
    <w:rsid w:val="00D23188"/>
    <w:rsid w:val="00D242B2"/>
    <w:rsid w:val="00D263EE"/>
    <w:rsid w:val="00D30761"/>
    <w:rsid w:val="00D30A58"/>
    <w:rsid w:val="00D31B99"/>
    <w:rsid w:val="00D33EFC"/>
    <w:rsid w:val="00D375C0"/>
    <w:rsid w:val="00D40DBC"/>
    <w:rsid w:val="00D433D9"/>
    <w:rsid w:val="00D44587"/>
    <w:rsid w:val="00D46C54"/>
    <w:rsid w:val="00D46C86"/>
    <w:rsid w:val="00D47984"/>
    <w:rsid w:val="00D5017A"/>
    <w:rsid w:val="00D52751"/>
    <w:rsid w:val="00D5492F"/>
    <w:rsid w:val="00D55571"/>
    <w:rsid w:val="00D6101D"/>
    <w:rsid w:val="00D61495"/>
    <w:rsid w:val="00D61C85"/>
    <w:rsid w:val="00D6325A"/>
    <w:rsid w:val="00D6388A"/>
    <w:rsid w:val="00D64681"/>
    <w:rsid w:val="00D647E4"/>
    <w:rsid w:val="00D67084"/>
    <w:rsid w:val="00D67956"/>
    <w:rsid w:val="00D67BC5"/>
    <w:rsid w:val="00D70436"/>
    <w:rsid w:val="00D714E2"/>
    <w:rsid w:val="00D7166E"/>
    <w:rsid w:val="00D720F4"/>
    <w:rsid w:val="00D72224"/>
    <w:rsid w:val="00D74527"/>
    <w:rsid w:val="00D74665"/>
    <w:rsid w:val="00D74897"/>
    <w:rsid w:val="00D75CA6"/>
    <w:rsid w:val="00D76A18"/>
    <w:rsid w:val="00D76C2E"/>
    <w:rsid w:val="00D76E86"/>
    <w:rsid w:val="00D77883"/>
    <w:rsid w:val="00D80849"/>
    <w:rsid w:val="00D82264"/>
    <w:rsid w:val="00D82E8F"/>
    <w:rsid w:val="00D844F6"/>
    <w:rsid w:val="00D84CFB"/>
    <w:rsid w:val="00D853BD"/>
    <w:rsid w:val="00D85A05"/>
    <w:rsid w:val="00D85C38"/>
    <w:rsid w:val="00D91281"/>
    <w:rsid w:val="00D919E3"/>
    <w:rsid w:val="00D91A77"/>
    <w:rsid w:val="00D91DC2"/>
    <w:rsid w:val="00D92449"/>
    <w:rsid w:val="00D9256E"/>
    <w:rsid w:val="00D930E7"/>
    <w:rsid w:val="00D949A4"/>
    <w:rsid w:val="00D94A32"/>
    <w:rsid w:val="00D9570F"/>
    <w:rsid w:val="00D97017"/>
    <w:rsid w:val="00D97247"/>
    <w:rsid w:val="00DA0B5E"/>
    <w:rsid w:val="00DA0C94"/>
    <w:rsid w:val="00DA2ABB"/>
    <w:rsid w:val="00DA351A"/>
    <w:rsid w:val="00DA3BBE"/>
    <w:rsid w:val="00DA3C64"/>
    <w:rsid w:val="00DA4232"/>
    <w:rsid w:val="00DA430A"/>
    <w:rsid w:val="00DA5299"/>
    <w:rsid w:val="00DA53D9"/>
    <w:rsid w:val="00DA5E9F"/>
    <w:rsid w:val="00DA5F31"/>
    <w:rsid w:val="00DA66FF"/>
    <w:rsid w:val="00DA6D5E"/>
    <w:rsid w:val="00DA7124"/>
    <w:rsid w:val="00DA774A"/>
    <w:rsid w:val="00DB1201"/>
    <w:rsid w:val="00DB2D78"/>
    <w:rsid w:val="00DB2D8B"/>
    <w:rsid w:val="00DB3159"/>
    <w:rsid w:val="00DB3F26"/>
    <w:rsid w:val="00DB431B"/>
    <w:rsid w:val="00DB4D0E"/>
    <w:rsid w:val="00DB5E0F"/>
    <w:rsid w:val="00DB7011"/>
    <w:rsid w:val="00DC0564"/>
    <w:rsid w:val="00DC0A64"/>
    <w:rsid w:val="00DC0BD6"/>
    <w:rsid w:val="00DC1257"/>
    <w:rsid w:val="00DC1858"/>
    <w:rsid w:val="00DC1F62"/>
    <w:rsid w:val="00DC23A2"/>
    <w:rsid w:val="00DC37A0"/>
    <w:rsid w:val="00DC42AE"/>
    <w:rsid w:val="00DC55AC"/>
    <w:rsid w:val="00DC56EF"/>
    <w:rsid w:val="00DC5A0E"/>
    <w:rsid w:val="00DC5A69"/>
    <w:rsid w:val="00DC6082"/>
    <w:rsid w:val="00DD0CE4"/>
    <w:rsid w:val="00DD118C"/>
    <w:rsid w:val="00DD140E"/>
    <w:rsid w:val="00DD157A"/>
    <w:rsid w:val="00DD18BE"/>
    <w:rsid w:val="00DD2602"/>
    <w:rsid w:val="00DD27D3"/>
    <w:rsid w:val="00DD281F"/>
    <w:rsid w:val="00DD4ACC"/>
    <w:rsid w:val="00DD756D"/>
    <w:rsid w:val="00DD7E56"/>
    <w:rsid w:val="00DE1BC0"/>
    <w:rsid w:val="00DE2167"/>
    <w:rsid w:val="00DE2CA0"/>
    <w:rsid w:val="00DE4F46"/>
    <w:rsid w:val="00DE69F7"/>
    <w:rsid w:val="00DE765C"/>
    <w:rsid w:val="00DF061D"/>
    <w:rsid w:val="00DF0BD2"/>
    <w:rsid w:val="00DF0C7D"/>
    <w:rsid w:val="00DF0D4F"/>
    <w:rsid w:val="00DF12F0"/>
    <w:rsid w:val="00DF199E"/>
    <w:rsid w:val="00DF1B6A"/>
    <w:rsid w:val="00DF357C"/>
    <w:rsid w:val="00DF5461"/>
    <w:rsid w:val="00DF5B3A"/>
    <w:rsid w:val="00DF6E55"/>
    <w:rsid w:val="00DF791C"/>
    <w:rsid w:val="00E02E7A"/>
    <w:rsid w:val="00E0326B"/>
    <w:rsid w:val="00E0343B"/>
    <w:rsid w:val="00E03927"/>
    <w:rsid w:val="00E0448D"/>
    <w:rsid w:val="00E05846"/>
    <w:rsid w:val="00E115B0"/>
    <w:rsid w:val="00E11CD1"/>
    <w:rsid w:val="00E12E3A"/>
    <w:rsid w:val="00E151AC"/>
    <w:rsid w:val="00E16AA2"/>
    <w:rsid w:val="00E175EE"/>
    <w:rsid w:val="00E200B2"/>
    <w:rsid w:val="00E21C27"/>
    <w:rsid w:val="00E21DB1"/>
    <w:rsid w:val="00E22BD0"/>
    <w:rsid w:val="00E2572F"/>
    <w:rsid w:val="00E25C36"/>
    <w:rsid w:val="00E3020B"/>
    <w:rsid w:val="00E31597"/>
    <w:rsid w:val="00E31713"/>
    <w:rsid w:val="00E31755"/>
    <w:rsid w:val="00E318C1"/>
    <w:rsid w:val="00E3297F"/>
    <w:rsid w:val="00E32F24"/>
    <w:rsid w:val="00E3526B"/>
    <w:rsid w:val="00E36FB8"/>
    <w:rsid w:val="00E37942"/>
    <w:rsid w:val="00E37D85"/>
    <w:rsid w:val="00E37EF2"/>
    <w:rsid w:val="00E40F23"/>
    <w:rsid w:val="00E41D74"/>
    <w:rsid w:val="00E42E94"/>
    <w:rsid w:val="00E4478C"/>
    <w:rsid w:val="00E46728"/>
    <w:rsid w:val="00E50021"/>
    <w:rsid w:val="00E53681"/>
    <w:rsid w:val="00E54B63"/>
    <w:rsid w:val="00E54B91"/>
    <w:rsid w:val="00E55180"/>
    <w:rsid w:val="00E57021"/>
    <w:rsid w:val="00E57322"/>
    <w:rsid w:val="00E579D4"/>
    <w:rsid w:val="00E609E6"/>
    <w:rsid w:val="00E638A6"/>
    <w:rsid w:val="00E63EDA"/>
    <w:rsid w:val="00E6447D"/>
    <w:rsid w:val="00E646FA"/>
    <w:rsid w:val="00E65D8C"/>
    <w:rsid w:val="00E66235"/>
    <w:rsid w:val="00E66988"/>
    <w:rsid w:val="00E67190"/>
    <w:rsid w:val="00E6735B"/>
    <w:rsid w:val="00E71879"/>
    <w:rsid w:val="00E734ED"/>
    <w:rsid w:val="00E73504"/>
    <w:rsid w:val="00E74F6A"/>
    <w:rsid w:val="00E7545E"/>
    <w:rsid w:val="00E76CFA"/>
    <w:rsid w:val="00E8033D"/>
    <w:rsid w:val="00E8073D"/>
    <w:rsid w:val="00E8382F"/>
    <w:rsid w:val="00E83C24"/>
    <w:rsid w:val="00E83DA0"/>
    <w:rsid w:val="00E8441C"/>
    <w:rsid w:val="00E84537"/>
    <w:rsid w:val="00E8454B"/>
    <w:rsid w:val="00E90ACF"/>
    <w:rsid w:val="00E90E7B"/>
    <w:rsid w:val="00E90EC4"/>
    <w:rsid w:val="00E92BBF"/>
    <w:rsid w:val="00E92FA7"/>
    <w:rsid w:val="00E9318D"/>
    <w:rsid w:val="00E93F3E"/>
    <w:rsid w:val="00E9483A"/>
    <w:rsid w:val="00E95425"/>
    <w:rsid w:val="00E95861"/>
    <w:rsid w:val="00E9795B"/>
    <w:rsid w:val="00EA0624"/>
    <w:rsid w:val="00EA0BCB"/>
    <w:rsid w:val="00EA0D21"/>
    <w:rsid w:val="00EA0EF6"/>
    <w:rsid w:val="00EA195E"/>
    <w:rsid w:val="00EA37B1"/>
    <w:rsid w:val="00EA3FB9"/>
    <w:rsid w:val="00EA4A8F"/>
    <w:rsid w:val="00EA5DF0"/>
    <w:rsid w:val="00EA65BF"/>
    <w:rsid w:val="00EA6832"/>
    <w:rsid w:val="00EA7117"/>
    <w:rsid w:val="00EA717F"/>
    <w:rsid w:val="00EA71F3"/>
    <w:rsid w:val="00EB066B"/>
    <w:rsid w:val="00EB22CF"/>
    <w:rsid w:val="00EB2AD8"/>
    <w:rsid w:val="00EB3D34"/>
    <w:rsid w:val="00EB3FA4"/>
    <w:rsid w:val="00EB4482"/>
    <w:rsid w:val="00EB6A0B"/>
    <w:rsid w:val="00EB6B55"/>
    <w:rsid w:val="00EB755D"/>
    <w:rsid w:val="00EC1233"/>
    <w:rsid w:val="00EC12D1"/>
    <w:rsid w:val="00EC21E0"/>
    <w:rsid w:val="00EC3309"/>
    <w:rsid w:val="00EC43E4"/>
    <w:rsid w:val="00EC499D"/>
    <w:rsid w:val="00EC5DB7"/>
    <w:rsid w:val="00EC603C"/>
    <w:rsid w:val="00EC6986"/>
    <w:rsid w:val="00EC6D7A"/>
    <w:rsid w:val="00EC7004"/>
    <w:rsid w:val="00EC75F7"/>
    <w:rsid w:val="00EC76A8"/>
    <w:rsid w:val="00EC7DDA"/>
    <w:rsid w:val="00ED0AAA"/>
    <w:rsid w:val="00ED185F"/>
    <w:rsid w:val="00ED2830"/>
    <w:rsid w:val="00ED2A02"/>
    <w:rsid w:val="00ED4A94"/>
    <w:rsid w:val="00ED6D94"/>
    <w:rsid w:val="00ED71AF"/>
    <w:rsid w:val="00ED7479"/>
    <w:rsid w:val="00ED75EC"/>
    <w:rsid w:val="00EE1358"/>
    <w:rsid w:val="00EE18E9"/>
    <w:rsid w:val="00EE1BB5"/>
    <w:rsid w:val="00EE1C53"/>
    <w:rsid w:val="00EE263F"/>
    <w:rsid w:val="00EE29E5"/>
    <w:rsid w:val="00EE2D89"/>
    <w:rsid w:val="00EE2EF7"/>
    <w:rsid w:val="00EE37CB"/>
    <w:rsid w:val="00EE5511"/>
    <w:rsid w:val="00EE596A"/>
    <w:rsid w:val="00EE7BAE"/>
    <w:rsid w:val="00EE7CAC"/>
    <w:rsid w:val="00EF234A"/>
    <w:rsid w:val="00EF304A"/>
    <w:rsid w:val="00EF3D48"/>
    <w:rsid w:val="00EF411B"/>
    <w:rsid w:val="00EF41CF"/>
    <w:rsid w:val="00EF4721"/>
    <w:rsid w:val="00EF4B48"/>
    <w:rsid w:val="00EF5979"/>
    <w:rsid w:val="00EF6456"/>
    <w:rsid w:val="00EF6941"/>
    <w:rsid w:val="00EF7415"/>
    <w:rsid w:val="00F008A1"/>
    <w:rsid w:val="00F009F2"/>
    <w:rsid w:val="00F00A41"/>
    <w:rsid w:val="00F052DF"/>
    <w:rsid w:val="00F05BCF"/>
    <w:rsid w:val="00F063C2"/>
    <w:rsid w:val="00F0644B"/>
    <w:rsid w:val="00F104FE"/>
    <w:rsid w:val="00F13F6B"/>
    <w:rsid w:val="00F15826"/>
    <w:rsid w:val="00F15F20"/>
    <w:rsid w:val="00F16B29"/>
    <w:rsid w:val="00F16DE3"/>
    <w:rsid w:val="00F237AB"/>
    <w:rsid w:val="00F24D62"/>
    <w:rsid w:val="00F24EBD"/>
    <w:rsid w:val="00F2563C"/>
    <w:rsid w:val="00F25B16"/>
    <w:rsid w:val="00F26048"/>
    <w:rsid w:val="00F26311"/>
    <w:rsid w:val="00F2674E"/>
    <w:rsid w:val="00F26A9B"/>
    <w:rsid w:val="00F270AC"/>
    <w:rsid w:val="00F3041E"/>
    <w:rsid w:val="00F307DC"/>
    <w:rsid w:val="00F316AA"/>
    <w:rsid w:val="00F33EFD"/>
    <w:rsid w:val="00F350A2"/>
    <w:rsid w:val="00F35E6E"/>
    <w:rsid w:val="00F363CE"/>
    <w:rsid w:val="00F36FE1"/>
    <w:rsid w:val="00F37088"/>
    <w:rsid w:val="00F407AE"/>
    <w:rsid w:val="00F4248E"/>
    <w:rsid w:val="00F53193"/>
    <w:rsid w:val="00F5327C"/>
    <w:rsid w:val="00F5357E"/>
    <w:rsid w:val="00F53C9D"/>
    <w:rsid w:val="00F545B4"/>
    <w:rsid w:val="00F54AB1"/>
    <w:rsid w:val="00F55314"/>
    <w:rsid w:val="00F55CA0"/>
    <w:rsid w:val="00F57C2D"/>
    <w:rsid w:val="00F6005C"/>
    <w:rsid w:val="00F60740"/>
    <w:rsid w:val="00F63DE5"/>
    <w:rsid w:val="00F64E74"/>
    <w:rsid w:val="00F6586C"/>
    <w:rsid w:val="00F65BF5"/>
    <w:rsid w:val="00F71160"/>
    <w:rsid w:val="00F71318"/>
    <w:rsid w:val="00F718CB"/>
    <w:rsid w:val="00F71A0E"/>
    <w:rsid w:val="00F732C0"/>
    <w:rsid w:val="00F736C9"/>
    <w:rsid w:val="00F73885"/>
    <w:rsid w:val="00F75EC7"/>
    <w:rsid w:val="00F7658D"/>
    <w:rsid w:val="00F76666"/>
    <w:rsid w:val="00F76800"/>
    <w:rsid w:val="00F775A7"/>
    <w:rsid w:val="00F81202"/>
    <w:rsid w:val="00F81841"/>
    <w:rsid w:val="00F827D4"/>
    <w:rsid w:val="00F83234"/>
    <w:rsid w:val="00F8481F"/>
    <w:rsid w:val="00F85A8B"/>
    <w:rsid w:val="00F85E53"/>
    <w:rsid w:val="00F86F32"/>
    <w:rsid w:val="00F8702B"/>
    <w:rsid w:val="00F87588"/>
    <w:rsid w:val="00F9038B"/>
    <w:rsid w:val="00F907C6"/>
    <w:rsid w:val="00F90D68"/>
    <w:rsid w:val="00F91642"/>
    <w:rsid w:val="00F92090"/>
    <w:rsid w:val="00F93ABD"/>
    <w:rsid w:val="00F94022"/>
    <w:rsid w:val="00F942A6"/>
    <w:rsid w:val="00F94774"/>
    <w:rsid w:val="00F9720D"/>
    <w:rsid w:val="00FA0994"/>
    <w:rsid w:val="00FA0A5F"/>
    <w:rsid w:val="00FA0D5F"/>
    <w:rsid w:val="00FA0E3C"/>
    <w:rsid w:val="00FA0EA8"/>
    <w:rsid w:val="00FA1CF9"/>
    <w:rsid w:val="00FA22FF"/>
    <w:rsid w:val="00FA2713"/>
    <w:rsid w:val="00FA2EE2"/>
    <w:rsid w:val="00FA30C3"/>
    <w:rsid w:val="00FA4211"/>
    <w:rsid w:val="00FA663B"/>
    <w:rsid w:val="00FA6750"/>
    <w:rsid w:val="00FA6991"/>
    <w:rsid w:val="00FA6B07"/>
    <w:rsid w:val="00FA76C5"/>
    <w:rsid w:val="00FB2C35"/>
    <w:rsid w:val="00FB383C"/>
    <w:rsid w:val="00FB5B12"/>
    <w:rsid w:val="00FB6093"/>
    <w:rsid w:val="00FC01E8"/>
    <w:rsid w:val="00FC0C35"/>
    <w:rsid w:val="00FC0D72"/>
    <w:rsid w:val="00FC12E7"/>
    <w:rsid w:val="00FC19CA"/>
    <w:rsid w:val="00FC1A6D"/>
    <w:rsid w:val="00FC21AF"/>
    <w:rsid w:val="00FC2A5F"/>
    <w:rsid w:val="00FC427B"/>
    <w:rsid w:val="00FC4818"/>
    <w:rsid w:val="00FC53DB"/>
    <w:rsid w:val="00FC5D3E"/>
    <w:rsid w:val="00FC65DC"/>
    <w:rsid w:val="00FC7E77"/>
    <w:rsid w:val="00FD0AF6"/>
    <w:rsid w:val="00FD1198"/>
    <w:rsid w:val="00FD3718"/>
    <w:rsid w:val="00FD3E23"/>
    <w:rsid w:val="00FD5F32"/>
    <w:rsid w:val="00FD7DC8"/>
    <w:rsid w:val="00FE123C"/>
    <w:rsid w:val="00FE139A"/>
    <w:rsid w:val="00FE1719"/>
    <w:rsid w:val="00FE4C38"/>
    <w:rsid w:val="00FE57B3"/>
    <w:rsid w:val="00FE6595"/>
    <w:rsid w:val="00FE6789"/>
    <w:rsid w:val="00FE684B"/>
    <w:rsid w:val="00FF004E"/>
    <w:rsid w:val="00FF05A7"/>
    <w:rsid w:val="00FF4F95"/>
    <w:rsid w:val="00FF4FD3"/>
    <w:rsid w:val="00FF5003"/>
    <w:rsid w:val="00FF5315"/>
    <w:rsid w:val="00FF5340"/>
    <w:rsid w:val="00FF5BA1"/>
    <w:rsid w:val="00FF5FA1"/>
    <w:rsid w:val="00FF6036"/>
    <w:rsid w:val="00FF7189"/>
    <w:rsid w:val="00FF793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3C6F06F"/>
  <w15:docId w15:val="{2C2E31FA-6CF9-41EE-9737-899116853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CE4"/>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DD0CE4"/>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DD0CE4"/>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D0CE4"/>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D0CE4"/>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D0CE4"/>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DD0CE4"/>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DD0CE4"/>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DD0CE4"/>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DD0CE4"/>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DD0CE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D0CE4"/>
    <w:rPr>
      <w:rFonts w:ascii="Times New Roman" w:eastAsia="SimSun" w:hAnsi="Times New Roman" w:cs="Times New Roman"/>
      <w:sz w:val="20"/>
      <w:szCs w:val="22"/>
      <w:lang w:val="en-GB"/>
    </w:rPr>
  </w:style>
  <w:style w:type="paragraph" w:styleId="Footer">
    <w:name w:val="footer"/>
    <w:basedOn w:val="Normal"/>
    <w:link w:val="FooterChar"/>
    <w:uiPriority w:val="99"/>
    <w:rsid w:val="00DD0CE4"/>
    <w:pPr>
      <w:tabs>
        <w:tab w:val="center" w:pos="4680"/>
        <w:tab w:val="right" w:pos="9360"/>
      </w:tabs>
    </w:pPr>
    <w:rPr>
      <w:sz w:val="20"/>
    </w:rPr>
  </w:style>
  <w:style w:type="character" w:customStyle="1" w:styleId="FooterChar">
    <w:name w:val="Footer Char"/>
    <w:basedOn w:val="DefaultParagraphFont"/>
    <w:link w:val="Footer"/>
    <w:uiPriority w:val="99"/>
    <w:rsid w:val="00DD0CE4"/>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DD0CE4"/>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DD0CE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DD0CE4"/>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DD0CE4"/>
    <w:rPr>
      <w:sz w:val="16"/>
      <w:szCs w:val="16"/>
      <w:lang w:val="en-GB"/>
    </w:rPr>
  </w:style>
  <w:style w:type="paragraph" w:styleId="CommentText">
    <w:name w:val="annotation text"/>
    <w:basedOn w:val="Normal"/>
    <w:link w:val="CommentTextChar"/>
    <w:uiPriority w:val="99"/>
    <w:semiHidden/>
    <w:rsid w:val="00DD0CE4"/>
    <w:rPr>
      <w:sz w:val="20"/>
      <w:szCs w:val="20"/>
    </w:rPr>
  </w:style>
  <w:style w:type="character" w:customStyle="1" w:styleId="CommentTextChar">
    <w:name w:val="Comment Text Char"/>
    <w:basedOn w:val="DefaultParagraphFont"/>
    <w:link w:val="CommentText"/>
    <w:uiPriority w:val="99"/>
    <w:semiHidden/>
    <w:rsid w:val="00DD0CE4"/>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DD0CE4"/>
    <w:rPr>
      <w:vertAlign w:val="superscript"/>
      <w:lang w:val="en-GB"/>
    </w:rPr>
  </w:style>
  <w:style w:type="paragraph" w:styleId="FootnoteText">
    <w:name w:val="footnote text"/>
    <w:basedOn w:val="Normal"/>
    <w:link w:val="FootnoteTextChar"/>
    <w:uiPriority w:val="99"/>
    <w:unhideWhenUsed/>
    <w:rsid w:val="00DD0CE4"/>
    <w:pPr>
      <w:jc w:val="left"/>
    </w:pPr>
    <w:rPr>
      <w:sz w:val="18"/>
      <w:szCs w:val="20"/>
    </w:rPr>
  </w:style>
  <w:style w:type="character" w:customStyle="1" w:styleId="FootnoteTextChar">
    <w:name w:val="Footnote Text Char"/>
    <w:basedOn w:val="DefaultParagraphFont"/>
    <w:link w:val="FootnoteText"/>
    <w:uiPriority w:val="99"/>
    <w:rsid w:val="00DD0CE4"/>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DD0CE4"/>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DD0CE4"/>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DD0CE4"/>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DD0CE4"/>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DD0CE4"/>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DD0CE4"/>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DD0CE4"/>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DD0CE4"/>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DD0CE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DD0CE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DD0CE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DD0CE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DD0CE4"/>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1"/>
    <w:qFormat/>
    <w:rsid w:val="00DD0CE4"/>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D0CE4"/>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DD0CE4"/>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DD0CE4"/>
    <w:pPr>
      <w:spacing w:after="120"/>
      <w:ind w:left="567"/>
    </w:pPr>
  </w:style>
  <w:style w:type="paragraph" w:customStyle="1" w:styleId="Footnote">
    <w:name w:val="Footnote"/>
    <w:basedOn w:val="FootnoteText"/>
    <w:semiHidden/>
    <w:qFormat/>
    <w:rsid w:val="00DD0CE4"/>
    <w:rPr>
      <w:szCs w:val="18"/>
    </w:rPr>
  </w:style>
  <w:style w:type="paragraph" w:customStyle="1" w:styleId="Annex">
    <w:name w:val="Annex"/>
    <w:basedOn w:val="Normal"/>
    <w:semiHidden/>
    <w:qFormat/>
    <w:rsid w:val="00DD0CE4"/>
    <w:pPr>
      <w:spacing w:after="240"/>
    </w:pPr>
    <w:rPr>
      <w:b/>
      <w:sz w:val="28"/>
    </w:rPr>
  </w:style>
  <w:style w:type="paragraph" w:customStyle="1" w:styleId="ABSymbol">
    <w:name w:val="AB_Symbol"/>
    <w:basedOn w:val="Normal"/>
    <w:qFormat/>
    <w:rsid w:val="00DD0CE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DD0CE4"/>
    <w:pPr>
      <w:numPr>
        <w:numId w:val="7"/>
      </w:numPr>
      <w:tabs>
        <w:tab w:val="left" w:pos="3969"/>
      </w:tabs>
      <w:spacing w:before="120" w:after="120"/>
    </w:pPr>
  </w:style>
  <w:style w:type="paragraph" w:customStyle="1" w:styleId="AFCorNNormal">
    <w:name w:val="AF_CorNNormal"/>
    <w:basedOn w:val="Normal"/>
    <w:unhideWhenUsed/>
    <w:rsid w:val="00DD0CE4"/>
    <w:pPr>
      <w:jc w:val="left"/>
    </w:pPr>
  </w:style>
  <w:style w:type="paragraph" w:customStyle="1" w:styleId="AEDistrNormal">
    <w:name w:val="AE_DistrNormal"/>
    <w:basedOn w:val="Normal"/>
    <w:unhideWhenUsed/>
    <w:rsid w:val="00DD0CE4"/>
    <w:pPr>
      <w:jc w:val="left"/>
    </w:pPr>
  </w:style>
  <w:style w:type="paragraph" w:customStyle="1" w:styleId="AASmallLogo">
    <w:name w:val="AA_SmallLogo"/>
    <w:basedOn w:val="AEDistrNormal"/>
    <w:unhideWhenUsed/>
    <w:rsid w:val="00DD0CE4"/>
    <w:pPr>
      <w:spacing w:before="40"/>
    </w:pPr>
    <w:rPr>
      <w:sz w:val="4"/>
    </w:rPr>
  </w:style>
  <w:style w:type="paragraph" w:customStyle="1" w:styleId="ACLargeLogo">
    <w:name w:val="AC_LargeLogo"/>
    <w:basedOn w:val="AFCorNNormal"/>
    <w:next w:val="AISpacer"/>
    <w:unhideWhenUsed/>
    <w:rsid w:val="00DD0CE4"/>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DD0CE4"/>
    <w:rPr>
      <w:b/>
      <w:bCs/>
    </w:rPr>
  </w:style>
  <w:style w:type="character" w:customStyle="1" w:styleId="CommentSubjectChar">
    <w:name w:val="Comment Subject Char"/>
    <w:basedOn w:val="CommentTextChar"/>
    <w:link w:val="CommentSubject"/>
    <w:uiPriority w:val="99"/>
    <w:semiHidden/>
    <w:rsid w:val="00DD0CE4"/>
    <w:rPr>
      <w:rFonts w:ascii="Times New Roman" w:eastAsia="SimSun" w:hAnsi="Times New Roman" w:cs="Times New Roman"/>
      <w:b/>
      <w:bCs/>
      <w:sz w:val="20"/>
      <w:szCs w:val="20"/>
      <w:lang w:val="en-GB"/>
    </w:rPr>
  </w:style>
  <w:style w:type="paragraph" w:customStyle="1" w:styleId="Item">
    <w:name w:val="Item"/>
    <w:basedOn w:val="Normal"/>
    <w:semiHidden/>
    <w:qFormat/>
    <w:rsid w:val="00DD0CE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DD0CE4"/>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DD0CE4"/>
    <w:pPr>
      <w:contextualSpacing/>
    </w:pPr>
  </w:style>
  <w:style w:type="numbering" w:customStyle="1" w:styleId="ListCBD">
    <w:name w:val="ListCBD"/>
    <w:basedOn w:val="NoList"/>
    <w:uiPriority w:val="99"/>
    <w:rsid w:val="00DD0CE4"/>
    <w:pPr>
      <w:numPr>
        <w:numId w:val="5"/>
      </w:numPr>
    </w:pPr>
  </w:style>
  <w:style w:type="numbering" w:customStyle="1" w:styleId="CBDHeadings">
    <w:name w:val="CBD_Headings"/>
    <w:basedOn w:val="ListCBD"/>
    <w:uiPriority w:val="99"/>
    <w:rsid w:val="00DD0CE4"/>
    <w:pPr>
      <w:numPr>
        <w:numId w:val="6"/>
      </w:numPr>
    </w:pPr>
  </w:style>
  <w:style w:type="paragraph" w:customStyle="1" w:styleId="AISpacer">
    <w:name w:val="AI_Spacer"/>
    <w:next w:val="Normal"/>
    <w:unhideWhenUsed/>
    <w:qFormat/>
    <w:rsid w:val="00DD0CE4"/>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DD0CE4"/>
    <w:pPr>
      <w:spacing w:before="120"/>
    </w:pPr>
  </w:style>
  <w:style w:type="paragraph" w:customStyle="1" w:styleId="AFCorNBold">
    <w:name w:val="AF_CorNBold"/>
    <w:basedOn w:val="AFCorNNormal"/>
    <w:next w:val="AFCorNNormal"/>
    <w:unhideWhenUsed/>
    <w:qFormat/>
    <w:rsid w:val="00DD0CE4"/>
    <w:rPr>
      <w:b/>
    </w:rPr>
  </w:style>
  <w:style w:type="paragraph" w:customStyle="1" w:styleId="AFCorN12Bold">
    <w:name w:val="AF_CorN12Bold"/>
    <w:basedOn w:val="AFCorNNormal"/>
    <w:next w:val="AFCorNNormal"/>
    <w:unhideWhenUsed/>
    <w:qFormat/>
    <w:rsid w:val="00DD0CE4"/>
    <w:rPr>
      <w:b/>
      <w:sz w:val="24"/>
    </w:rPr>
  </w:style>
  <w:style w:type="paragraph" w:customStyle="1" w:styleId="CBDAgendaItem">
    <w:name w:val="CBD_AgendaItem"/>
    <w:basedOn w:val="Normal"/>
    <w:qFormat/>
    <w:rsid w:val="00DD0CE4"/>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DD0CE4"/>
    <w:pPr>
      <w:spacing w:after="120"/>
      <w:ind w:left="1134" w:firstLine="567"/>
    </w:pPr>
  </w:style>
  <w:style w:type="paragraph" w:customStyle="1" w:styleId="CBDDesicionAnnex">
    <w:name w:val="CBD_DesicionAnnex"/>
    <w:basedOn w:val="CBDNormal"/>
    <w:next w:val="CBDDesicionText"/>
    <w:qFormat/>
    <w:rsid w:val="00DD0CE4"/>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DD0CE4"/>
    <w:pPr>
      <w:keepNext/>
      <w:keepLines/>
      <w:spacing w:after="240"/>
      <w:jc w:val="left"/>
    </w:pPr>
    <w:rPr>
      <w:b/>
      <w:sz w:val="28"/>
      <w:lang w:bidi="ar-SY"/>
    </w:rPr>
  </w:style>
  <w:style w:type="paragraph" w:customStyle="1" w:styleId="CBDSubTitle">
    <w:name w:val="CBD_SubTitle"/>
    <w:basedOn w:val="CBDNormal"/>
    <w:qFormat/>
    <w:rsid w:val="00DD0CE4"/>
    <w:pPr>
      <w:keepNext/>
      <w:keepLines/>
      <w:spacing w:before="240" w:after="240"/>
      <w:ind w:left="567"/>
      <w:jc w:val="left"/>
    </w:pPr>
    <w:rPr>
      <w:b/>
    </w:rPr>
  </w:style>
  <w:style w:type="paragraph" w:customStyle="1" w:styleId="CBDTitle">
    <w:name w:val="CBD_Title"/>
    <w:basedOn w:val="CBDNormal"/>
    <w:next w:val="CBDSubTitle"/>
    <w:qFormat/>
    <w:rsid w:val="00DD0CE4"/>
    <w:pPr>
      <w:keepNext/>
      <w:keepLines/>
      <w:spacing w:before="240" w:after="240"/>
      <w:ind w:left="567"/>
      <w:jc w:val="left"/>
    </w:pPr>
    <w:rPr>
      <w:b/>
      <w:sz w:val="28"/>
    </w:rPr>
  </w:style>
  <w:style w:type="paragraph" w:customStyle="1" w:styleId="AENormal">
    <w:name w:val="AE_Normal"/>
    <w:basedOn w:val="Normal"/>
    <w:rsid w:val="00DD0CE4"/>
  </w:style>
  <w:style w:type="paragraph" w:customStyle="1" w:styleId="CBDH1">
    <w:name w:val="CBD_H1"/>
    <w:basedOn w:val="CBDNormal"/>
    <w:qFormat/>
    <w:rsid w:val="00DD0CE4"/>
    <w:pPr>
      <w:keepNext/>
      <w:keepLines/>
      <w:spacing w:before="240" w:after="120"/>
      <w:ind w:left="567" w:hanging="567"/>
      <w:jc w:val="left"/>
      <w:outlineLvl w:val="0"/>
    </w:pPr>
    <w:rPr>
      <w:b/>
      <w:sz w:val="28"/>
    </w:rPr>
  </w:style>
  <w:style w:type="paragraph" w:customStyle="1" w:styleId="CBDH2">
    <w:name w:val="CBD_H2"/>
    <w:basedOn w:val="CBDNormal"/>
    <w:qFormat/>
    <w:rsid w:val="00DD0CE4"/>
    <w:pPr>
      <w:keepNext/>
      <w:keepLines/>
      <w:ind w:left="567" w:hanging="567"/>
    </w:pPr>
    <w:rPr>
      <w:b/>
      <w:sz w:val="24"/>
    </w:rPr>
  </w:style>
  <w:style w:type="paragraph" w:customStyle="1" w:styleId="CBDFootnoteText">
    <w:name w:val="CBD_Footnote_Text"/>
    <w:basedOn w:val="CBDNormal"/>
    <w:qFormat/>
    <w:rsid w:val="00DD0CE4"/>
    <w:pPr>
      <w:jc w:val="left"/>
    </w:pPr>
    <w:rPr>
      <w:sz w:val="18"/>
    </w:rPr>
  </w:style>
  <w:style w:type="paragraph" w:customStyle="1" w:styleId="CBDFooter">
    <w:name w:val="CBD_Footer"/>
    <w:basedOn w:val="CBDNormal"/>
    <w:qFormat/>
    <w:rsid w:val="00DD0CE4"/>
    <w:rPr>
      <w:sz w:val="20"/>
    </w:rPr>
  </w:style>
  <w:style w:type="paragraph" w:customStyle="1" w:styleId="CBDHeader">
    <w:name w:val="CBD_Header"/>
    <w:basedOn w:val="CBDNormal"/>
    <w:next w:val="CBDFooter"/>
    <w:qFormat/>
    <w:rsid w:val="00DD0CE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DD0CE4"/>
    <w:pPr>
      <w:keepNext/>
      <w:keepLines/>
      <w:spacing w:before="120" w:after="120"/>
      <w:ind w:left="567" w:hanging="567"/>
      <w:jc w:val="left"/>
    </w:pPr>
    <w:rPr>
      <w:b/>
    </w:rPr>
  </w:style>
  <w:style w:type="paragraph" w:customStyle="1" w:styleId="CBDH4">
    <w:name w:val="CBD_H4"/>
    <w:basedOn w:val="CBDNormal"/>
    <w:rsid w:val="00DD0CE4"/>
    <w:pPr>
      <w:keepNext/>
      <w:keepLines/>
      <w:spacing w:before="120" w:after="120"/>
      <w:ind w:left="567" w:hanging="567"/>
      <w:jc w:val="left"/>
    </w:pPr>
    <w:rPr>
      <w:b/>
    </w:rPr>
  </w:style>
  <w:style w:type="paragraph" w:customStyle="1" w:styleId="CBDH5">
    <w:name w:val="CBD_H5"/>
    <w:basedOn w:val="CBDNormal"/>
    <w:qFormat/>
    <w:rsid w:val="00DD0CE4"/>
    <w:pPr>
      <w:keepNext/>
      <w:keepLines/>
      <w:spacing w:before="120" w:after="120"/>
      <w:ind w:left="567" w:hanging="567"/>
      <w:jc w:val="left"/>
    </w:pPr>
    <w:rPr>
      <w:i/>
    </w:rPr>
  </w:style>
  <w:style w:type="paragraph" w:customStyle="1" w:styleId="CBDTableNormal">
    <w:name w:val="CBD_TableNormal"/>
    <w:basedOn w:val="CBDNormal"/>
    <w:qFormat/>
    <w:rsid w:val="00DD0CE4"/>
    <w:pPr>
      <w:spacing w:before="40" w:after="80"/>
      <w:jc w:val="left"/>
    </w:pPr>
    <w:rPr>
      <w:sz w:val="20"/>
    </w:rPr>
  </w:style>
  <w:style w:type="paragraph" w:customStyle="1" w:styleId="CBDTableTitle">
    <w:name w:val="CBD_TableTitle"/>
    <w:basedOn w:val="CBDNormal"/>
    <w:qFormat/>
    <w:rsid w:val="00DD0CE4"/>
    <w:pPr>
      <w:keepNext/>
      <w:keepLines/>
      <w:spacing w:before="120" w:after="60"/>
      <w:ind w:left="567"/>
      <w:jc w:val="left"/>
    </w:pPr>
    <w:rPr>
      <w:b/>
    </w:rPr>
  </w:style>
  <w:style w:type="paragraph" w:customStyle="1" w:styleId="CBDFigureTitle">
    <w:name w:val="CBD_FigureTitle"/>
    <w:basedOn w:val="CBDNormal"/>
    <w:next w:val="CBDNormalNoNumber"/>
    <w:qFormat/>
    <w:rsid w:val="00DD0CE4"/>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DD0CE4"/>
    <w:pPr>
      <w:keepNext/>
      <w:keepLines/>
      <w:spacing w:before="240" w:after="120"/>
      <w:jc w:val="left"/>
    </w:pPr>
    <w:rPr>
      <w:b/>
      <w:sz w:val="24"/>
    </w:rPr>
  </w:style>
  <w:style w:type="paragraph" w:customStyle="1" w:styleId="CBDagendaItem0">
    <w:name w:val="CBD_agenda_Item"/>
    <w:basedOn w:val="CBDNormalNumber"/>
    <w:qFormat/>
    <w:rsid w:val="00DD0CE4"/>
  </w:style>
  <w:style w:type="numbering" w:customStyle="1" w:styleId="CurrentList1">
    <w:name w:val="Current List1"/>
    <w:uiPriority w:val="99"/>
    <w:rsid w:val="00D11560"/>
    <w:pPr>
      <w:numPr>
        <w:numId w:val="37"/>
      </w:numPr>
    </w:pPr>
  </w:style>
  <w:style w:type="numbering" w:customStyle="1" w:styleId="CurrentList2">
    <w:name w:val="Current List2"/>
    <w:uiPriority w:val="99"/>
    <w:rsid w:val="00CF1C94"/>
    <w:pPr>
      <w:numPr>
        <w:numId w:val="47"/>
      </w:numPr>
    </w:pPr>
  </w:style>
  <w:style w:type="numbering" w:customStyle="1" w:styleId="CurrentList3">
    <w:name w:val="Current List3"/>
    <w:uiPriority w:val="99"/>
    <w:rsid w:val="000A0550"/>
    <w:pPr>
      <w:numPr>
        <w:numId w:val="48"/>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40800"/>
    <w:pPr>
      <w:spacing w:after="160" w:line="240" w:lineRule="exact"/>
    </w:pPr>
    <w:rPr>
      <w:rFonts w:asciiTheme="minorHAnsi" w:eastAsiaTheme="minorEastAsia" w:hAnsiTheme="minorHAnsi" w:cstheme="minorBidi"/>
      <w:sz w:val="24"/>
      <w:szCs w:val="24"/>
      <w:vertAlign w:val="superscript"/>
    </w:rPr>
  </w:style>
  <w:style w:type="paragraph" w:customStyle="1" w:styleId="CBDpara-item">
    <w:name w:val="CBD_para-item"/>
    <w:basedOn w:val="Normal"/>
    <w:qFormat/>
    <w:rsid w:val="00DD0CE4"/>
    <w:pPr>
      <w:tabs>
        <w:tab w:val="clear" w:pos="567"/>
      </w:tabs>
      <w:spacing w:before="120" w:after="120"/>
      <w:ind w:left="1134" w:hanging="567"/>
      <w:jc w:val="left"/>
    </w:pPr>
  </w:style>
  <w:style w:type="paragraph" w:customStyle="1" w:styleId="CBDsubpara-item">
    <w:name w:val="CBD_subpara-item"/>
    <w:basedOn w:val="CBDpara-item"/>
    <w:qFormat/>
    <w:rsid w:val="00DD0CE4"/>
    <w:pPr>
      <w:tabs>
        <w:tab w:val="clear" w:pos="1134"/>
      </w:tabs>
      <w:ind w:left="1701"/>
    </w:pPr>
  </w:style>
  <w:style w:type="paragraph" w:customStyle="1" w:styleId="CBDRecommendText">
    <w:name w:val="CBD_RecommendText"/>
    <w:basedOn w:val="Normal"/>
    <w:qFormat/>
    <w:rsid w:val="00DD0CE4"/>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uments/CBD/CP/MOP/11/5/ADD2"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oc/decisions/cop-16/cop-16-dec-28-en.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uments/CBD/COP/16/4/ADD2"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5"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ocuments/CBD/NP/MOP/5/5/ADD2"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SBI/6/10"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SBI/6/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C37A50F15045748448187A6124A286"/>
        <w:category>
          <w:name w:val="General"/>
          <w:gallery w:val="placeholder"/>
        </w:category>
        <w:types>
          <w:type w:val="bbPlcHdr"/>
        </w:types>
        <w:behaviors>
          <w:behavior w:val="content"/>
        </w:behaviors>
        <w:guid w:val="{128FE0DC-BA68-4EB1-8C9E-EEFB08F15D70}"/>
      </w:docPartPr>
      <w:docPartBody>
        <w:p w:rsidR="00FA22FF" w:rsidRDefault="00FA22FF">
          <w:pPr>
            <w:pStyle w:val="5FC37A50F15045748448187A6124A28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2FF"/>
    <w:rsid w:val="00065041"/>
    <w:rsid w:val="000B670B"/>
    <w:rsid w:val="00193FAF"/>
    <w:rsid w:val="001B0DAB"/>
    <w:rsid w:val="001D0174"/>
    <w:rsid w:val="0025263C"/>
    <w:rsid w:val="00297181"/>
    <w:rsid w:val="002D2960"/>
    <w:rsid w:val="002D7CBC"/>
    <w:rsid w:val="002E0BF2"/>
    <w:rsid w:val="00347C7D"/>
    <w:rsid w:val="003C6FCC"/>
    <w:rsid w:val="003E0393"/>
    <w:rsid w:val="003E09AD"/>
    <w:rsid w:val="00413DB9"/>
    <w:rsid w:val="00444722"/>
    <w:rsid w:val="005635AC"/>
    <w:rsid w:val="005A1D20"/>
    <w:rsid w:val="00690533"/>
    <w:rsid w:val="00761595"/>
    <w:rsid w:val="007749D8"/>
    <w:rsid w:val="007C3767"/>
    <w:rsid w:val="007F7122"/>
    <w:rsid w:val="008E16B4"/>
    <w:rsid w:val="009455ED"/>
    <w:rsid w:val="0096274A"/>
    <w:rsid w:val="00992F5B"/>
    <w:rsid w:val="009A467B"/>
    <w:rsid w:val="00A574CF"/>
    <w:rsid w:val="00A60445"/>
    <w:rsid w:val="00AB02F1"/>
    <w:rsid w:val="00B06809"/>
    <w:rsid w:val="00B17435"/>
    <w:rsid w:val="00C53F5A"/>
    <w:rsid w:val="00C63AE5"/>
    <w:rsid w:val="00C97656"/>
    <w:rsid w:val="00CB54B6"/>
    <w:rsid w:val="00D375C0"/>
    <w:rsid w:val="00D46C22"/>
    <w:rsid w:val="00E02E7A"/>
    <w:rsid w:val="00E65A49"/>
    <w:rsid w:val="00F55CA0"/>
    <w:rsid w:val="00F8702B"/>
    <w:rsid w:val="00FA22FF"/>
    <w:rsid w:val="00FE123C"/>
    <w:rsid w:val="00FE57B3"/>
    <w:rsid w:val="00FF50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FC37A50F15045748448187A6124A286">
    <w:name w:val="5FC37A50F15045748448187A6124A2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D50DC22-12B0-4EA6-B83D-E94A22515E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0</TotalTime>
  <Pages>15</Pages>
  <Words>6767</Words>
  <Characters>38573</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Functional review of the Secretariat</vt:lpstr>
    </vt:vector>
  </TitlesOfParts>
  <Company>SCBD</Company>
  <LinksUpToDate>false</LinksUpToDate>
  <CharactersWithSpaces>45250</CharactersWithSpaces>
  <SharedDoc>false</SharedDoc>
  <HLinks>
    <vt:vector size="108" baseType="variant">
      <vt:variant>
        <vt:i4>6619185</vt:i4>
      </vt:variant>
      <vt:variant>
        <vt:i4>0</vt:i4>
      </vt:variant>
      <vt:variant>
        <vt:i4>0</vt:i4>
      </vt:variant>
      <vt:variant>
        <vt:i4>5</vt:i4>
      </vt:variant>
      <vt:variant>
        <vt:lpwstr>https://www.cbd.int/notifications/2025-112</vt:lpwstr>
      </vt:variant>
      <vt:variant>
        <vt:lpwstr/>
      </vt:variant>
      <vt:variant>
        <vt:i4>5374067</vt:i4>
      </vt:variant>
      <vt:variant>
        <vt:i4>33</vt:i4>
      </vt:variant>
      <vt:variant>
        <vt:i4>0</vt:i4>
      </vt:variant>
      <vt:variant>
        <vt:i4>5</vt:i4>
      </vt:variant>
      <vt:variant>
        <vt:lpwstr>https://www.ramsar.org/sites/default/files/documents/library/sc59_13.1_previous_resolutions_process_e.pdf</vt:lpwstr>
      </vt:variant>
      <vt:variant>
        <vt:lpwstr/>
      </vt:variant>
      <vt:variant>
        <vt:i4>1114158</vt:i4>
      </vt:variant>
      <vt:variant>
        <vt:i4>30</vt:i4>
      </vt:variant>
      <vt:variant>
        <vt:i4>0</vt:i4>
      </vt:variant>
      <vt:variant>
        <vt:i4>5</vt:i4>
      </vt:variant>
      <vt:variant>
        <vt:lpwstr>https://atlantic-turtles.cms.int/sites/default/files/document/cms_cop12_doc.21.2.6_scientific-council_consolidation_e.pdf</vt:lpwstr>
      </vt:variant>
      <vt:variant>
        <vt:lpwstr/>
      </vt:variant>
      <vt:variant>
        <vt:i4>720984</vt:i4>
      </vt:variant>
      <vt:variant>
        <vt:i4>27</vt:i4>
      </vt:variant>
      <vt:variant>
        <vt:i4>0</vt:i4>
      </vt:variant>
      <vt:variant>
        <vt:i4>5</vt:i4>
      </vt:variant>
      <vt:variant>
        <vt:lpwstr>https://ozone.unep.org/treaties/montreal-protocol/meetings/first-meeting-parties/decisions/decision-i5-establishment-open-ended-working-group</vt:lpwstr>
      </vt:variant>
      <vt:variant>
        <vt:lpwstr/>
      </vt:variant>
      <vt:variant>
        <vt:i4>30</vt:i4>
      </vt:variant>
      <vt:variant>
        <vt:i4>24</vt:i4>
      </vt:variant>
      <vt:variant>
        <vt:i4>0</vt:i4>
      </vt:variant>
      <vt:variant>
        <vt:i4>5</vt:i4>
      </vt:variant>
      <vt:variant>
        <vt:lpwstr>https://www.brsmeas.org/Decisionmaking/Overview/SynergiesProcess</vt:lpwstr>
      </vt:variant>
      <vt:variant>
        <vt:lpwstr/>
      </vt:variant>
      <vt:variant>
        <vt:i4>5111903</vt:i4>
      </vt:variant>
      <vt:variant>
        <vt:i4>21</vt:i4>
      </vt:variant>
      <vt:variant>
        <vt:i4>0</vt:i4>
      </vt:variant>
      <vt:variant>
        <vt:i4>5</vt:i4>
      </vt:variant>
      <vt:variant>
        <vt:lpwstr>https://www.unccd.int/sites/default/files/2025-03/5-cop16.pdf</vt:lpwstr>
      </vt:variant>
      <vt:variant>
        <vt:lpwstr/>
      </vt:variant>
      <vt:variant>
        <vt:i4>3407985</vt:i4>
      </vt:variant>
      <vt:variant>
        <vt:i4>18</vt:i4>
      </vt:variant>
      <vt:variant>
        <vt:i4>0</vt:i4>
      </vt:variant>
      <vt:variant>
        <vt:i4>5</vt:i4>
      </vt:variant>
      <vt:variant>
        <vt:lpwstr>https://cites.org/sites/default/files/documents/SC/78/agenda/E-SC78-30.pdf</vt:lpwstr>
      </vt:variant>
      <vt:variant>
        <vt:lpwstr/>
      </vt:variant>
      <vt:variant>
        <vt:i4>7471202</vt:i4>
      </vt:variant>
      <vt:variant>
        <vt:i4>15</vt:i4>
      </vt:variant>
      <vt:variant>
        <vt:i4>0</vt:i4>
      </vt:variant>
      <vt:variant>
        <vt:i4>5</vt:i4>
      </vt:variant>
      <vt:variant>
        <vt:lpwstr>https://cites.org/sites/default/files/documents/E-CoP19-27.pdf</vt:lpwstr>
      </vt:variant>
      <vt:variant>
        <vt:lpwstr/>
      </vt:variant>
      <vt:variant>
        <vt:i4>1310721</vt:i4>
      </vt:variant>
      <vt:variant>
        <vt:i4>12</vt:i4>
      </vt:variant>
      <vt:variant>
        <vt:i4>0</vt:i4>
      </vt:variant>
      <vt:variant>
        <vt:i4>5</vt:i4>
      </vt:variant>
      <vt:variant>
        <vt:lpwstr>https://cites.org/sites/default/files/documents/COP/20/agenda/E-CoP20-014.pdf</vt:lpwstr>
      </vt:variant>
      <vt:variant>
        <vt:lpwstr/>
      </vt:variant>
      <vt:variant>
        <vt:i4>2424873</vt:i4>
      </vt:variant>
      <vt:variant>
        <vt:i4>9</vt:i4>
      </vt:variant>
      <vt:variant>
        <vt:i4>0</vt:i4>
      </vt:variant>
      <vt:variant>
        <vt:i4>5</vt:i4>
      </vt:variant>
      <vt:variant>
        <vt:lpwstr>https://cites.org/sites/default/files/eng/cop/19/E19-CoP-Rules.pdf</vt:lpwstr>
      </vt:variant>
      <vt:variant>
        <vt:lpwstr/>
      </vt:variant>
      <vt:variant>
        <vt:i4>2556022</vt:i4>
      </vt:variant>
      <vt:variant>
        <vt:i4>6</vt:i4>
      </vt:variant>
      <vt:variant>
        <vt:i4>0</vt:i4>
      </vt:variant>
      <vt:variant>
        <vt:i4>5</vt:i4>
      </vt:variant>
      <vt:variant>
        <vt:lpwstr>https://unfccc.int/documents/193408</vt:lpwstr>
      </vt:variant>
      <vt:variant>
        <vt:lpwstr/>
      </vt:variant>
      <vt:variant>
        <vt:i4>7274538</vt:i4>
      </vt:variant>
      <vt:variant>
        <vt:i4>3</vt:i4>
      </vt:variant>
      <vt:variant>
        <vt:i4>0</vt:i4>
      </vt:variant>
      <vt:variant>
        <vt:i4>5</vt:i4>
      </vt:variant>
      <vt:variant>
        <vt:lpwstr>https://unfccc.int/sites/default/files/english_paris_agreement.pdf</vt:lpwstr>
      </vt:variant>
      <vt:variant>
        <vt:lpwstr/>
      </vt:variant>
      <vt:variant>
        <vt:i4>8192083</vt:i4>
      </vt:variant>
      <vt:variant>
        <vt:i4>0</vt:i4>
      </vt:variant>
      <vt:variant>
        <vt:i4>0</vt:i4>
      </vt:variant>
      <vt:variant>
        <vt:i4>5</vt:i4>
      </vt:variant>
      <vt:variant>
        <vt:lpwstr>https://unfccc.int/sites/default/files/resource/sbi2025_inf06.pdf</vt:lpwstr>
      </vt:variant>
      <vt:variant>
        <vt:lpwstr/>
      </vt:variant>
      <vt:variant>
        <vt:i4>5242916</vt:i4>
      </vt:variant>
      <vt:variant>
        <vt:i4>12</vt:i4>
      </vt:variant>
      <vt:variant>
        <vt:i4>0</vt:i4>
      </vt:variant>
      <vt:variant>
        <vt:i4>5</vt:i4>
      </vt:variant>
      <vt:variant>
        <vt:lpwstr>mailto:marianela.araya@un.org</vt:lpwstr>
      </vt:variant>
      <vt:variant>
        <vt:lpwstr/>
      </vt:variant>
      <vt:variant>
        <vt:i4>852078</vt:i4>
      </vt:variant>
      <vt:variant>
        <vt:i4>9</vt:i4>
      </vt:variant>
      <vt:variant>
        <vt:i4>0</vt:i4>
      </vt:variant>
      <vt:variant>
        <vt:i4>5</vt:i4>
      </vt:variant>
      <vt:variant>
        <vt:lpwstr>mailto:monica.kobayashi@un.org</vt:lpwstr>
      </vt:variant>
      <vt:variant>
        <vt:lpwstr/>
      </vt:variant>
      <vt:variant>
        <vt:i4>5242916</vt:i4>
      </vt:variant>
      <vt:variant>
        <vt:i4>6</vt:i4>
      </vt:variant>
      <vt:variant>
        <vt:i4>0</vt:i4>
      </vt:variant>
      <vt:variant>
        <vt:i4>5</vt:i4>
      </vt:variant>
      <vt:variant>
        <vt:lpwstr>mailto:marianela.araya@un.org</vt:lpwstr>
      </vt:variant>
      <vt:variant>
        <vt:lpwstr/>
      </vt:variant>
      <vt:variant>
        <vt:i4>4784160</vt:i4>
      </vt:variant>
      <vt:variant>
        <vt:i4>3</vt:i4>
      </vt:variant>
      <vt:variant>
        <vt:i4>0</vt:i4>
      </vt:variant>
      <vt:variant>
        <vt:i4>5</vt:i4>
      </vt:variant>
      <vt:variant>
        <vt:lpwstr>mailto:kathryn.garforth@un.org</vt:lpwstr>
      </vt:variant>
      <vt:variant>
        <vt:lpwstr/>
      </vt:variant>
      <vt:variant>
        <vt:i4>655482</vt:i4>
      </vt:variant>
      <vt:variant>
        <vt:i4>0</vt:i4>
      </vt:variant>
      <vt:variant>
        <vt:i4>0</vt:i4>
      </vt:variant>
      <vt:variant>
        <vt:i4>5</vt:i4>
      </vt:variant>
      <vt:variant>
        <vt:lpwstr>mailto:fumiko.nakao@un.org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Functional review of the Secretariat</dc:title>
  <dc:subject>CBD/SBI/6/10</dc:subject>
  <dc:creator>scbd</dc:creator>
  <cp:keywords>Convention on Biological Diversity</cp:keywords>
  <cp:lastModifiedBy>Laurent Gauthier</cp:lastModifiedBy>
  <cp:revision>3</cp:revision>
  <cp:lastPrinted>2025-12-15T19:17:00Z</cp:lastPrinted>
  <dcterms:created xsi:type="dcterms:W3CDTF">2025-12-30T14:46:00Z</dcterms:created>
  <dcterms:modified xsi:type="dcterms:W3CDTF">2025-12-30T14:46:00Z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