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993"/>
        <w:gridCol w:w="2614"/>
        <w:gridCol w:w="2620"/>
        <w:gridCol w:w="1144"/>
        <w:gridCol w:w="2977"/>
      </w:tblGrid>
      <w:tr w:rsidR="00FC435E" w:rsidRPr="00853A7F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FC435E" w:rsidRPr="00DC6511" w:rsidRDefault="00644589" w:rsidP="00FC435E">
            <w:pPr>
              <w:pStyle w:val="Corpsdetexte2"/>
              <w:rPr>
                <w:b/>
                <w:snapToGrid w:val="0"/>
                <w:kern w:val="22"/>
                <w:sz w:val="22"/>
                <w:lang w:eastAsia="en-US"/>
              </w:rPr>
            </w:pPr>
            <w:r w:rsidRPr="00DC6511">
              <w:rPr>
                <w:b/>
                <w:snapToGrid w:val="0"/>
                <w:sz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7.55pt;height:31.95pt;visibility:visible">
                  <v:imagedata r:id="rId8" o:title="un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C435E" w:rsidRPr="00853A7F" w:rsidRDefault="00644589" w:rsidP="008E52F4">
            <w:pPr>
              <w:rPr>
                <w:snapToGrid w:val="0"/>
                <w:kern w:val="22"/>
              </w:rPr>
            </w:pPr>
            <w:r w:rsidRPr="00644589">
              <w:rPr>
                <w:noProof/>
                <w:lang w:val="en-CA"/>
              </w:rPr>
              <w:pict>
                <v:shape id="_x0000_i1026" type="#_x0000_t75" alt="unep-2017-ru-blk-sm2" style="width:68.25pt;height:29.45pt;visibility:visible;mso-wrap-style:square">
                  <v:imagedata r:id="rId9" o:title="unep-2017-ru-blk-sm2" cropbottom="26907f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671687" w:rsidRPr="00853A7F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671687" w:rsidRPr="001738F3" w:rsidRDefault="00671687" w:rsidP="00B2360E">
            <w:pPr>
              <w:rPr>
                <w:snapToGrid w:val="0"/>
                <w:kern w:val="22"/>
              </w:rPr>
            </w:pPr>
          </w:p>
          <w:p w:rsidR="00671687" w:rsidRPr="001738F3" w:rsidRDefault="00644589" w:rsidP="00566E5F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</w:rPr>
              <w:pict>
                <v:shape id="Image 2" o:spid="_x0000_i1027" type="#_x0000_t75" style="width:206pt;height:85.75pt;visibility:visible;mso-wrap-style:square">
                  <v:imagedata r:id="rId10" o:title=""/>
                </v:shape>
              </w:pic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671687" w:rsidRPr="00DC6511" w:rsidRDefault="00671687" w:rsidP="00B2360E">
            <w:pPr>
              <w:pStyle w:val="En-tte"/>
              <w:tabs>
                <w:tab w:val="clear" w:pos="4320"/>
                <w:tab w:val="clear" w:pos="8640"/>
              </w:tabs>
              <w:rPr>
                <w:rFonts w:cs="Angsana New"/>
                <w:bCs/>
                <w:snapToGrid w:val="0"/>
                <w:kern w:val="22"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Distr</w:t>
            </w:r>
            <w:proofErr w:type="spellEnd"/>
            <w:r>
              <w:rPr>
                <w:snapToGrid w:val="0"/>
                <w:szCs w:val="22"/>
              </w:rPr>
              <w:t>.</w:t>
            </w:r>
          </w:p>
          <w:p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GENERAL</w:t>
            </w:r>
            <w:proofErr w:type="spellEnd"/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CBD</w:t>
            </w:r>
            <w:proofErr w:type="spellEnd"/>
            <w:r>
              <w:rPr>
                <w:snapToGrid w:val="0"/>
                <w:szCs w:val="22"/>
              </w:rPr>
              <w:t>/</w:t>
            </w:r>
            <w:proofErr w:type="spellStart"/>
            <w:r>
              <w:rPr>
                <w:snapToGrid w:val="0"/>
                <w:szCs w:val="22"/>
              </w:rPr>
              <w:t>SBI</w:t>
            </w:r>
            <w:proofErr w:type="spellEnd"/>
            <w:r>
              <w:rPr>
                <w:snapToGrid w:val="0"/>
                <w:szCs w:val="22"/>
              </w:rPr>
              <w:t>/3/1</w:t>
            </w:r>
          </w:p>
          <w:p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 xml:space="preserve">21 </w:t>
            </w:r>
            <w:proofErr w:type="spellStart"/>
            <w:r w:rsidR="00DF1C46">
              <w:rPr>
                <w:snapToGrid w:val="0"/>
                <w:szCs w:val="22"/>
                <w:lang w:val="fr-FR"/>
              </w:rPr>
              <w:t>O</w:t>
            </w:r>
            <w:r w:rsidR="00EB5507">
              <w:rPr>
                <w:snapToGrid w:val="0"/>
                <w:szCs w:val="22"/>
                <w:lang w:val="fr-FR"/>
              </w:rPr>
              <w:t>ctober</w:t>
            </w:r>
            <w:proofErr w:type="spellEnd"/>
            <w:r>
              <w:rPr>
                <w:snapToGrid w:val="0"/>
                <w:szCs w:val="22"/>
              </w:rPr>
              <w:t xml:space="preserve"> 2019 </w:t>
            </w:r>
          </w:p>
          <w:p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proofErr w:type="spellStart"/>
            <w:r>
              <w:rPr>
                <w:snapToGrid w:val="0"/>
                <w:szCs w:val="22"/>
              </w:rPr>
              <w:t>RUSSIAN</w:t>
            </w:r>
            <w:proofErr w:type="spellEnd"/>
            <w:r>
              <w:rPr>
                <w:snapToGrid w:val="0"/>
                <w:szCs w:val="22"/>
              </w:rPr>
              <w:t xml:space="preserve"> </w:t>
            </w:r>
            <w:r>
              <w:rPr>
                <w:snapToGrid w:val="0"/>
                <w:szCs w:val="22"/>
              </w:rPr>
              <w:br/>
              <w:t>ORIGINAL: ENGLISH</w:t>
            </w:r>
          </w:p>
        </w:tc>
      </w:tr>
    </w:tbl>
    <w:p w:rsidR="00671687" w:rsidRPr="00853A7F" w:rsidRDefault="00671687" w:rsidP="00D7716F">
      <w:pPr>
        <w:pStyle w:val="meetingname"/>
        <w:tabs>
          <w:tab w:val="left" w:pos="5954"/>
        </w:tabs>
        <w:ind w:left="284" w:right="3264" w:hanging="284"/>
        <w:rPr>
          <w:kern w:val="22"/>
          <w:szCs w:val="22"/>
        </w:rPr>
      </w:pPr>
      <w:bookmarkStart w:id="1" w:name="Meeting"/>
      <w:r>
        <w:t>ВСПОМОГАТЕЛЬНЫЙ ОРГАН ПО ОСУЩЕСТВЛЕНИЮ</w:t>
      </w:r>
      <w:bookmarkEnd w:id="1"/>
    </w:p>
    <w:p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Третье совещание</w:t>
      </w:r>
    </w:p>
    <w:p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Монреаль, Канада, 2</w:t>
      </w:r>
      <w:r w:rsidR="00D7716F">
        <w:rPr>
          <w:snapToGrid w:val="0"/>
          <w:szCs w:val="22"/>
        </w:rPr>
        <w:t>4</w:t>
      </w:r>
      <w:r>
        <w:rPr>
          <w:snapToGrid w:val="0"/>
          <w:szCs w:val="22"/>
        </w:rPr>
        <w:t>-</w:t>
      </w:r>
      <w:r w:rsidR="00D7716F">
        <w:rPr>
          <w:snapToGrid w:val="0"/>
          <w:szCs w:val="22"/>
        </w:rPr>
        <w:t>29 августа</w:t>
      </w:r>
      <w:r>
        <w:rPr>
          <w:snapToGrid w:val="0"/>
          <w:szCs w:val="22"/>
        </w:rPr>
        <w:t xml:space="preserve"> 2020 </w:t>
      </w:r>
      <w:proofErr w:type="spellStart"/>
      <w:r>
        <w:rPr>
          <w:snapToGrid w:val="0"/>
          <w:szCs w:val="22"/>
        </w:rPr>
        <w:t>год</w:t>
      </w:r>
      <w:proofErr w:type="gramStart"/>
      <w:r>
        <w:rPr>
          <w:snapToGrid w:val="0"/>
          <w:szCs w:val="22"/>
        </w:rPr>
        <w:t>a</w:t>
      </w:r>
      <w:proofErr w:type="spellEnd"/>
      <w:proofErr w:type="gramEnd"/>
    </w:p>
    <w:p w:rsidR="002C19E5" w:rsidRPr="00853A7F" w:rsidRDefault="00671687" w:rsidP="00497555">
      <w:pPr>
        <w:pStyle w:val="En-tte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>
        <w:rPr>
          <w:snapToGrid w:val="0"/>
          <w:szCs w:val="22"/>
        </w:rPr>
        <w:t>Пункт 2 предварительной повестки дня</w:t>
      </w:r>
    </w:p>
    <w:p w:rsidR="00EA0F6F" w:rsidRPr="00853A7F" w:rsidRDefault="002D7067" w:rsidP="00566E5F">
      <w:pPr>
        <w:pStyle w:val="HEADINGNOTFORTOC"/>
        <w:tabs>
          <w:tab w:val="clear" w:pos="720"/>
        </w:tabs>
        <w:rPr>
          <w:snapToGrid w:val="0"/>
          <w:kern w:val="22"/>
          <w:szCs w:val="22"/>
        </w:rPr>
      </w:pPr>
      <w:r>
        <w:rPr>
          <w:snapToGrid w:val="0"/>
          <w:szCs w:val="22"/>
        </w:rPr>
        <w:t>ПРЕДВАРИТЕЛЬНАЯ ПОВЕСТКА ДНЯ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Открытие совещания.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Утверждение повестки дня и организация работы.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годы.</w:t>
      </w:r>
    </w:p>
    <w:p w:rsidR="00385FAA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Оценка и обзор эффективности Картахенского протокола по биобезопасности.</w:t>
      </w:r>
    </w:p>
    <w:p w:rsidR="00F909EE" w:rsidRPr="00853A7F" w:rsidRDefault="001001C6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Глобальная рамочная программа в области биоразнообразия на период после 2020 года.</w:t>
      </w:r>
    </w:p>
    <w:p w:rsidR="00385FAA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Мобилизация ресурсов и механизм финансирования.</w:t>
      </w:r>
    </w:p>
    <w:p w:rsidR="00385FAA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Создание потенциала, </w:t>
      </w:r>
      <w:r w:rsidR="008F28A3" w:rsidRPr="008F28A3">
        <w:rPr>
          <w:snapToGrid w:val="0"/>
          <w:szCs w:val="22"/>
        </w:rPr>
        <w:t>научно-техническое</w:t>
      </w:r>
      <w:r w:rsidR="008F28A3">
        <w:rPr>
          <w:snapToGrid w:val="0"/>
          <w:szCs w:val="22"/>
        </w:rPr>
        <w:t xml:space="preserve"> сотрудничество</w:t>
      </w:r>
      <w:r>
        <w:rPr>
          <w:snapToGrid w:val="0"/>
          <w:szCs w:val="22"/>
        </w:rPr>
        <w:t>, передача технологи</w:t>
      </w:r>
      <w:r w:rsidR="009A01DA">
        <w:rPr>
          <w:snapToGrid w:val="0"/>
          <w:szCs w:val="22"/>
        </w:rPr>
        <w:t>й</w:t>
      </w:r>
      <w:r>
        <w:rPr>
          <w:snapToGrid w:val="0"/>
          <w:szCs w:val="22"/>
        </w:rPr>
        <w:t>, управление знаниями и коммуникация.</w:t>
      </w:r>
    </w:p>
    <w:p w:rsidR="00385FAA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Сотрудничество с другими конвенциями, международными организациями и инициативами.</w:t>
      </w:r>
    </w:p>
    <w:p w:rsidR="001001C6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Механизмы отчетности, оценки и обзора осуществления.</w:t>
      </w:r>
    </w:p>
    <w:p w:rsidR="00385FAA" w:rsidRPr="001738F3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Обзор эффективности процессов в рамках Конвенции и протоколов к ней</w:t>
      </w:r>
      <w:r>
        <w:rPr>
          <w:snapToGrid w:val="0"/>
          <w:szCs w:val="22"/>
        </w:rPr>
        <w:t>.</w:t>
      </w:r>
    </w:p>
    <w:p w:rsidR="00385FAA" w:rsidRPr="00853A7F" w:rsidRDefault="003172B4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 xml:space="preserve">Учет проблематики </w:t>
      </w:r>
      <w:r w:rsidR="00EA0F6F">
        <w:rPr>
          <w:snapToGrid w:val="0"/>
          <w:szCs w:val="22"/>
        </w:rPr>
        <w:t>биоразнообразия внутри и на уровне секторов и другие стратегические меры по активизации осуществления.</w:t>
      </w:r>
    </w:p>
    <w:p w:rsidR="00385FAA" w:rsidRPr="00853A7F" w:rsidRDefault="00385FAA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протокола.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rPr>
          <w:iCs/>
          <w:snapToGrid w:val="0"/>
          <w:kern w:val="22"/>
          <w:szCs w:val="22"/>
        </w:rPr>
      </w:pPr>
      <w:r>
        <w:rPr>
          <w:snapToGrid w:val="0"/>
          <w:szCs w:val="22"/>
        </w:rPr>
        <w:t>Глобальный многосторонний механизм совместного использования выгод (статья 10 Нагойского протокола).</w:t>
      </w:r>
    </w:p>
    <w:p w:rsidR="00996B1B" w:rsidRPr="00853A7F" w:rsidRDefault="00996B1B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Административные и бюджетные вопросы.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Прочие вопросы.</w:t>
      </w:r>
    </w:p>
    <w:p w:rsidR="00EA0F6F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Принятие доклада</w:t>
      </w:r>
      <w:r w:rsidR="00274BEB">
        <w:rPr>
          <w:snapToGrid w:val="0"/>
          <w:szCs w:val="22"/>
        </w:rPr>
        <w:t>.</w:t>
      </w:r>
    </w:p>
    <w:p w:rsidR="00B2360E" w:rsidRPr="00853A7F" w:rsidRDefault="00EA0F6F" w:rsidP="00D7716F">
      <w:pPr>
        <w:numPr>
          <w:ilvl w:val="0"/>
          <w:numId w:val="1"/>
        </w:numPr>
        <w:tabs>
          <w:tab w:val="left" w:pos="851"/>
        </w:tabs>
        <w:spacing w:afterLines="60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Закрытие совещания.</w:t>
      </w:r>
    </w:p>
    <w:p w:rsidR="00F26CC6" w:rsidRPr="00853A7F" w:rsidRDefault="00F26CC6" w:rsidP="00644589">
      <w:pPr>
        <w:tabs>
          <w:tab w:val="left" w:pos="851"/>
        </w:tabs>
        <w:spacing w:afterLines="60"/>
        <w:ind w:left="851"/>
        <w:jc w:val="center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______</w:t>
      </w:r>
    </w:p>
    <w:sectPr w:rsidR="00F26CC6" w:rsidRPr="00853A7F" w:rsidSect="00497555">
      <w:headerReference w:type="even" r:id="rId11"/>
      <w:footerReference w:type="first" r:id="rId12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11" w:rsidRDefault="00DC6511">
      <w:r>
        <w:separator/>
      </w:r>
    </w:p>
  </w:endnote>
  <w:endnote w:type="continuationSeparator" w:id="0">
    <w:p w:rsidR="00DC6511" w:rsidRDefault="00DC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D6" w:rsidRDefault="00612ED6" w:rsidP="00497555">
    <w:pPr>
      <w:pStyle w:val="Pieddepage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11" w:rsidRDefault="00DC6511">
      <w:r>
        <w:separator/>
      </w:r>
    </w:p>
  </w:footnote>
  <w:footnote w:type="continuationSeparator" w:id="0">
    <w:p w:rsidR="00DC6511" w:rsidRDefault="00DC6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>CBD/SBI/2/1</w:t>
    </w:r>
  </w:p>
  <w:p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 xml:space="preserve">Страница </w:t>
    </w:r>
    <w:r w:rsidR="00644589" w:rsidRPr="00497555">
      <w:fldChar w:fldCharType="begin"/>
    </w:r>
    <w:r w:rsidRPr="00497555">
      <w:instrText xml:space="preserve"> PAGE   \* MERGEFORMAT </w:instrText>
    </w:r>
    <w:r w:rsidR="00644589" w:rsidRPr="00497555">
      <w:fldChar w:fldCharType="separate"/>
    </w:r>
    <w:r w:rsidR="001001C6">
      <w:t>2</w:t>
    </w:r>
    <w:r w:rsidR="00644589" w:rsidRPr="00497555">
      <w:fldChar w:fldCharType="end"/>
    </w:r>
  </w:p>
  <w:p w:rsidR="004B44DE" w:rsidRPr="00497555" w:rsidRDefault="004B44DE" w:rsidP="00497555">
    <w:pPr>
      <w:pStyle w:val="En-tte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74BEB"/>
    <w:rsid w:val="002C19E5"/>
    <w:rsid w:val="002D7067"/>
    <w:rsid w:val="00316D91"/>
    <w:rsid w:val="003172B4"/>
    <w:rsid w:val="00347B6F"/>
    <w:rsid w:val="00384489"/>
    <w:rsid w:val="00384D09"/>
    <w:rsid w:val="00385FAA"/>
    <w:rsid w:val="00386CD0"/>
    <w:rsid w:val="00411584"/>
    <w:rsid w:val="004273FA"/>
    <w:rsid w:val="00443379"/>
    <w:rsid w:val="00453B3E"/>
    <w:rsid w:val="00497555"/>
    <w:rsid w:val="004A068D"/>
    <w:rsid w:val="004B44DE"/>
    <w:rsid w:val="004B5E4F"/>
    <w:rsid w:val="004E2293"/>
    <w:rsid w:val="00532076"/>
    <w:rsid w:val="00535F90"/>
    <w:rsid w:val="005365CB"/>
    <w:rsid w:val="00536853"/>
    <w:rsid w:val="005425FB"/>
    <w:rsid w:val="00566E5F"/>
    <w:rsid w:val="00567EDB"/>
    <w:rsid w:val="005D2533"/>
    <w:rsid w:val="005D4AD9"/>
    <w:rsid w:val="005E7D9D"/>
    <w:rsid w:val="005F162B"/>
    <w:rsid w:val="00612ED6"/>
    <w:rsid w:val="00644589"/>
    <w:rsid w:val="0066496C"/>
    <w:rsid w:val="00671687"/>
    <w:rsid w:val="006A4DCE"/>
    <w:rsid w:val="006B5A3D"/>
    <w:rsid w:val="006B723D"/>
    <w:rsid w:val="006C209A"/>
    <w:rsid w:val="006F223A"/>
    <w:rsid w:val="00704D99"/>
    <w:rsid w:val="0070788C"/>
    <w:rsid w:val="0071601F"/>
    <w:rsid w:val="00787166"/>
    <w:rsid w:val="0079634D"/>
    <w:rsid w:val="007D4DA0"/>
    <w:rsid w:val="008351AB"/>
    <w:rsid w:val="008425FF"/>
    <w:rsid w:val="008459D4"/>
    <w:rsid w:val="00853A7F"/>
    <w:rsid w:val="008E52F4"/>
    <w:rsid w:val="008F28A3"/>
    <w:rsid w:val="00906569"/>
    <w:rsid w:val="00911E55"/>
    <w:rsid w:val="009772E5"/>
    <w:rsid w:val="00996B1B"/>
    <w:rsid w:val="009A01DA"/>
    <w:rsid w:val="009A170B"/>
    <w:rsid w:val="009A2332"/>
    <w:rsid w:val="009E11C4"/>
    <w:rsid w:val="00A23040"/>
    <w:rsid w:val="00A25050"/>
    <w:rsid w:val="00A539F0"/>
    <w:rsid w:val="00A53C7F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7716F"/>
    <w:rsid w:val="00DB3733"/>
    <w:rsid w:val="00DC6511"/>
    <w:rsid w:val="00DC764D"/>
    <w:rsid w:val="00DE4301"/>
    <w:rsid w:val="00DF1C46"/>
    <w:rsid w:val="00E04388"/>
    <w:rsid w:val="00E816A5"/>
    <w:rsid w:val="00E83B31"/>
    <w:rsid w:val="00E872C7"/>
    <w:rsid w:val="00E97396"/>
    <w:rsid w:val="00EA0F6F"/>
    <w:rsid w:val="00EB4272"/>
    <w:rsid w:val="00EB5507"/>
    <w:rsid w:val="00ED139B"/>
    <w:rsid w:val="00ED170A"/>
    <w:rsid w:val="00EE4142"/>
    <w:rsid w:val="00EE66A8"/>
    <w:rsid w:val="00F074D1"/>
    <w:rsid w:val="00F218CB"/>
    <w:rsid w:val="00F26CC6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val="ru-R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Titre2">
    <w:name w:val="heading 2"/>
    <w:basedOn w:val="Normal"/>
    <w:link w:val="Titre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rFonts w:cs="Times New Roman"/>
      <w:b/>
      <w:bCs/>
      <w:i/>
      <w:iCs/>
      <w:sz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A0F6F"/>
    <w:rPr>
      <w:rFonts w:ascii="Times New Roman" w:eastAsia="MS Mincho" w:hAnsi="Times New Roman" w:cs="Angsana New"/>
      <w:b/>
      <w:bCs/>
      <w:i/>
      <w:iCs/>
      <w:szCs w:val="24"/>
      <w:lang w:val="ru-RU"/>
    </w:rPr>
  </w:style>
  <w:style w:type="paragraph" w:customStyle="1" w:styleId="HEADINGNOTFORTOC">
    <w:name w:val="HEADING (NOT FOR TOC)"/>
    <w:basedOn w:val="Titre1"/>
    <w:next w:val="Titre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itre1Car">
    <w:name w:val="Titre 1 Car"/>
    <w:link w:val="Titre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Paragraphedeliste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En-tte">
    <w:name w:val="header"/>
    <w:basedOn w:val="Normal"/>
    <w:link w:val="En-tteCar"/>
    <w:rsid w:val="00671687"/>
    <w:pPr>
      <w:tabs>
        <w:tab w:val="center" w:pos="4320"/>
        <w:tab w:val="right" w:pos="8640"/>
      </w:tabs>
    </w:pPr>
    <w:rPr>
      <w:rFonts w:eastAsia="Times New Roman" w:cs="Times New Roman"/>
      <w:sz w:val="20"/>
      <w:lang/>
    </w:rPr>
  </w:style>
  <w:style w:type="character" w:customStyle="1" w:styleId="En-tteCar">
    <w:name w:val="En-tête Car"/>
    <w:link w:val="En-tte"/>
    <w:rsid w:val="00671687"/>
    <w:rPr>
      <w:rFonts w:ascii="Times New Roman" w:eastAsia="Times New Roman" w:hAnsi="Times New Roman" w:cs="Angsana New"/>
      <w:szCs w:val="24"/>
      <w:lang w:val="ru-RU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687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71687"/>
    <w:rPr>
      <w:rFonts w:ascii="Tahoma" w:eastAsia="MS Mincho" w:hAnsi="Tahoma" w:cs="Tahoma"/>
      <w:sz w:val="16"/>
      <w:szCs w:val="16"/>
      <w:lang w:val="ru-RU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  <w:sz w:val="20"/>
      <w:lang/>
    </w:rPr>
  </w:style>
  <w:style w:type="character" w:customStyle="1" w:styleId="Corpsdetexte2Car">
    <w:name w:val="Corps de texte 2 Car"/>
    <w:link w:val="Corpsdetexte2"/>
    <w:uiPriority w:val="99"/>
    <w:semiHidden/>
    <w:rsid w:val="00EB4272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C435E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PieddepageCar">
    <w:name w:val="Pied de page Car"/>
    <w:link w:val="Pieddepage"/>
    <w:uiPriority w:val="99"/>
    <w:rsid w:val="00FC435E"/>
    <w:rPr>
      <w:rFonts w:ascii="Times New Roman" w:eastAsia="MS Mincho" w:hAnsi="Times New Roman" w:cs="Angsana New"/>
      <w:sz w:val="22"/>
      <w:szCs w:val="24"/>
      <w:lang w:val="ru-R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4DCE"/>
    <w:rPr>
      <w:rFonts w:cs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6A4DCE"/>
    <w:rPr>
      <w:rFonts w:ascii="Times New Roman" w:eastAsia="MS Mincho" w:hAnsi="Times New Roman" w:cs="Angsana New"/>
      <w:lang w:val="ru-RU"/>
    </w:rPr>
  </w:style>
  <w:style w:type="character" w:styleId="Appelnotedebasdep">
    <w:name w:val="footnote reference"/>
    <w:uiPriority w:val="99"/>
    <w:semiHidden/>
    <w:unhideWhenUsed/>
    <w:rsid w:val="006A4DC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293"/>
    <w:rPr>
      <w:rFonts w:cs="Times New Roman"/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4E2293"/>
    <w:rPr>
      <w:rFonts w:ascii="Times New Roman" w:eastAsia="MS Mincho" w:hAnsi="Times New Roman" w:cs="Angsana New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29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2293"/>
    <w:rPr>
      <w:rFonts w:ascii="Times New Roman" w:eastAsia="MS Mincho" w:hAnsi="Times New Roman" w:cs="Angsana New"/>
      <w:b/>
      <w:bCs/>
      <w:lang w:val="ru-RU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8229-B85A-4FA2-806F-B30AB1E6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Bureau</cp:lastModifiedBy>
  <cp:revision>16</cp:revision>
  <cp:lastPrinted>2019-03-05T19:56:00Z</cp:lastPrinted>
  <dcterms:created xsi:type="dcterms:W3CDTF">2019-10-28T20:55:00Z</dcterms:created>
  <dcterms:modified xsi:type="dcterms:W3CDTF">2020-04-02T12:00:00Z</dcterms:modified>
</cp:coreProperties>
</file>