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173EB8" w:rsidTr="004A3CE3">
        <w:trPr>
          <w:trHeight w:val="709"/>
        </w:trPr>
        <w:tc>
          <w:tcPr>
            <w:tcW w:w="976" w:type="dxa"/>
            <w:tcBorders>
              <w:bottom w:val="single" w:sz="12" w:space="0" w:color="auto"/>
            </w:tcBorders>
          </w:tcPr>
          <w:p w:rsidR="00C9161D" w:rsidRPr="00C061D4" w:rsidRDefault="00F10E52" w:rsidP="00190CAF">
            <w:pPr>
              <w:kinsoku w:val="0"/>
              <w:overflowPunct w:val="0"/>
              <w:autoSpaceDE w:val="0"/>
              <w:autoSpaceDN w:val="0"/>
              <w:rPr>
                <w:kern w:val="22"/>
              </w:rPr>
            </w:pPr>
            <w:bookmarkStart w:id="0" w:name="_Hlk505247837"/>
            <w:r w:rsidRPr="00C061D4">
              <w:rPr>
                <w:noProof/>
                <w:kern w:val="22"/>
                <w:lang w:val="fr-FR" w:eastAsia="fr-FR"/>
              </w:rPr>
              <w:drawing>
                <wp:inline distT="0" distB="0" distL="0" distR="0" wp14:anchorId="01392760" wp14:editId="08A8488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57171"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rsidR="00C9161D" w:rsidRPr="00C061D4" w:rsidRDefault="00F10E52" w:rsidP="00190CAF">
            <w:pPr>
              <w:kinsoku w:val="0"/>
              <w:overflowPunct w:val="0"/>
              <w:autoSpaceDE w:val="0"/>
              <w:autoSpaceDN w:val="0"/>
              <w:rPr>
                <w:kern w:val="22"/>
              </w:rPr>
            </w:pPr>
            <w:r w:rsidRPr="00E00ABA">
              <w:rPr>
                <w:noProof/>
                <w:lang w:val="fr-FR" w:eastAsia="fr-FR"/>
              </w:rPr>
              <w:drawing>
                <wp:inline distT="0" distB="0" distL="0" distR="0" wp14:anchorId="3AF3DEF4" wp14:editId="38BD0F8B">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486" w:type="dxa"/>
            <w:tcBorders>
              <w:bottom w:val="single" w:sz="12" w:space="0" w:color="auto"/>
            </w:tcBorders>
          </w:tcPr>
          <w:p w:rsidR="00C9161D" w:rsidRPr="00C061D4" w:rsidRDefault="00F10E52" w:rsidP="00190CAF">
            <w:pPr>
              <w:kinsoku w:val="0"/>
              <w:overflowPunct w:val="0"/>
              <w:autoSpaceDE w:val="0"/>
              <w:autoSpaceDN w:val="0"/>
              <w:jc w:val="right"/>
              <w:rPr>
                <w:rFonts w:ascii="Arial" w:hAnsi="Arial" w:cs="Arial"/>
                <w:b/>
                <w:kern w:val="22"/>
                <w:sz w:val="32"/>
                <w:szCs w:val="32"/>
              </w:rPr>
            </w:pPr>
            <w:r>
              <w:rPr>
                <w:rFonts w:ascii="Arial" w:eastAsia="Arial" w:hAnsi="Arial" w:cs="Arial"/>
                <w:b/>
                <w:bCs/>
                <w:kern w:val="22"/>
                <w:sz w:val="32"/>
                <w:szCs w:val="32"/>
                <w:lang w:val="fr-FR"/>
              </w:rPr>
              <w:t>CBD</w:t>
            </w:r>
          </w:p>
        </w:tc>
      </w:tr>
      <w:bookmarkEnd w:id="0"/>
      <w:tr w:rsidR="00173EB8" w:rsidRPr="009561E7" w:rsidTr="004A3CE3">
        <w:tc>
          <w:tcPr>
            <w:tcW w:w="5721" w:type="dxa"/>
            <w:gridSpan w:val="2"/>
            <w:tcBorders>
              <w:top w:val="single" w:sz="12" w:space="0" w:color="auto"/>
              <w:bottom w:val="single" w:sz="36" w:space="0" w:color="auto"/>
            </w:tcBorders>
            <w:vAlign w:val="center"/>
          </w:tcPr>
          <w:p w:rsidR="00C9161D" w:rsidRPr="00C061D4" w:rsidRDefault="00F10E52" w:rsidP="00190CAF">
            <w:pPr>
              <w:kinsoku w:val="0"/>
              <w:overflowPunct w:val="0"/>
              <w:autoSpaceDE w:val="0"/>
              <w:autoSpaceDN w:val="0"/>
              <w:rPr>
                <w:kern w:val="22"/>
              </w:rPr>
            </w:pPr>
            <w:r w:rsidRPr="00E00ABA">
              <w:rPr>
                <w:noProof/>
                <w:szCs w:val="22"/>
                <w:lang w:val="fr-FR" w:eastAsia="fr-FR"/>
              </w:rPr>
              <w:drawing>
                <wp:inline distT="0" distB="0" distL="0" distR="0" wp14:anchorId="480A2202" wp14:editId="47C790C0">
                  <wp:extent cx="2859405" cy="1071245"/>
                  <wp:effectExtent l="0" t="0" r="0" b="0"/>
                  <wp:docPr id="2" name="Imag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913502"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59405" cy="1071245"/>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rsidR="00C9161D" w:rsidRPr="00F10E52" w:rsidRDefault="00F10E52" w:rsidP="004C5BCC">
            <w:pPr>
              <w:kinsoku w:val="0"/>
              <w:overflowPunct w:val="0"/>
              <w:autoSpaceDE w:val="0"/>
              <w:autoSpaceDN w:val="0"/>
              <w:spacing w:before="0" w:after="0"/>
              <w:ind w:left="1213"/>
              <w:jc w:val="left"/>
              <w:rPr>
                <w:kern w:val="22"/>
                <w:szCs w:val="22"/>
                <w:lang w:val="fr-FR"/>
              </w:rPr>
            </w:pPr>
            <w:proofErr w:type="spellStart"/>
            <w:r>
              <w:rPr>
                <w:kern w:val="22"/>
                <w:szCs w:val="22"/>
                <w:lang w:val="fr-FR"/>
              </w:rPr>
              <w:t>Distr</w:t>
            </w:r>
            <w:proofErr w:type="spellEnd"/>
            <w:r>
              <w:rPr>
                <w:kern w:val="22"/>
                <w:szCs w:val="22"/>
                <w:lang w:val="fr-FR"/>
              </w:rPr>
              <w:t>.</w:t>
            </w:r>
          </w:p>
          <w:p w:rsidR="00C9161D" w:rsidRPr="00F10E52" w:rsidRDefault="001945CD" w:rsidP="004C5BCC">
            <w:pPr>
              <w:kinsoku w:val="0"/>
              <w:overflowPunct w:val="0"/>
              <w:autoSpaceDE w:val="0"/>
              <w:autoSpaceDN w:val="0"/>
              <w:spacing w:before="0" w:after="0"/>
              <w:ind w:left="1213"/>
              <w:jc w:val="left"/>
              <w:rPr>
                <w:kern w:val="22"/>
                <w:szCs w:val="22"/>
                <w:lang w:val="fr-FR"/>
              </w:rPr>
            </w:pPr>
            <w:sdt>
              <w:sdtPr>
                <w:rPr>
                  <w:kern w:val="22"/>
                  <w:szCs w:val="22"/>
                </w:rPr>
                <w:alias w:val="Status"/>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10E52">
                  <w:rPr>
                    <w:kern w:val="22"/>
                    <w:szCs w:val="22"/>
                    <w:lang w:val="fr-FR"/>
                  </w:rPr>
                  <w:t>GÉNÉRALE</w:t>
                </w:r>
              </w:sdtContent>
            </w:sdt>
          </w:p>
          <w:p w:rsidR="00C9161D" w:rsidRPr="00F10E52" w:rsidRDefault="00C9161D" w:rsidP="004C5BCC">
            <w:pPr>
              <w:kinsoku w:val="0"/>
              <w:overflowPunct w:val="0"/>
              <w:autoSpaceDE w:val="0"/>
              <w:autoSpaceDN w:val="0"/>
              <w:spacing w:before="0" w:after="0"/>
              <w:ind w:left="1213"/>
              <w:jc w:val="left"/>
              <w:rPr>
                <w:kern w:val="22"/>
                <w:szCs w:val="22"/>
                <w:lang w:val="fr-FR"/>
              </w:rPr>
            </w:pPr>
          </w:p>
          <w:p w:rsidR="00C9161D" w:rsidRPr="00F10E52" w:rsidRDefault="001945CD" w:rsidP="004C5BCC">
            <w:pPr>
              <w:kinsoku w:val="0"/>
              <w:overflowPunct w:val="0"/>
              <w:autoSpaceDE w:val="0"/>
              <w:autoSpaceDN w:val="0"/>
              <w:spacing w:before="0" w:after="0"/>
              <w:ind w:left="1213"/>
              <w:jc w:val="left"/>
              <w:rPr>
                <w:kern w:val="22"/>
                <w:szCs w:val="22"/>
                <w:lang w:val="fr-FR"/>
              </w:rPr>
            </w:pPr>
            <w:sdt>
              <w:sdtPr>
                <w:rPr>
                  <w:bCs/>
                  <w:kern w:val="22"/>
                </w:rPr>
                <w:alias w:val="Subject"/>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10E52">
                  <w:rPr>
                    <w:bCs/>
                    <w:kern w:val="22"/>
                    <w:szCs w:val="22"/>
                    <w:lang w:val="fr-FR"/>
                  </w:rPr>
                  <w:t>CBD/SBI/3/18</w:t>
                </w:r>
              </w:sdtContent>
            </w:sdt>
          </w:p>
          <w:p w:rsidR="00C9161D" w:rsidRPr="00F10E52" w:rsidRDefault="001945CD" w:rsidP="004C5BCC">
            <w:pPr>
              <w:kinsoku w:val="0"/>
              <w:overflowPunct w:val="0"/>
              <w:autoSpaceDE w:val="0"/>
              <w:autoSpaceDN w:val="0"/>
              <w:spacing w:before="0" w:after="0"/>
              <w:ind w:left="1213"/>
              <w:jc w:val="left"/>
              <w:rPr>
                <w:kern w:val="22"/>
                <w:szCs w:val="22"/>
                <w:lang w:val="fr-FR"/>
              </w:rPr>
            </w:pPr>
            <w:sdt>
              <w:sdtPr>
                <w:rPr>
                  <w:kern w:val="22"/>
                  <w:szCs w:val="22"/>
                  <w:lang w:val="fr-FR"/>
                </w:rPr>
                <w:alias w:val="Publish Date"/>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7-08T00:00:00Z">
                  <w:dateFormat w:val="d MMMM yyyy"/>
                  <w:lid w:val="en-US"/>
                  <w:storeMappedDataAs w:val="dateTime"/>
                  <w:calendar w:val="gregorian"/>
                </w:date>
              </w:sdtPr>
              <w:sdtEndPr/>
              <w:sdtContent>
                <w:r w:rsidR="009561E7" w:rsidRPr="009561E7">
                  <w:rPr>
                    <w:kern w:val="22"/>
                    <w:szCs w:val="22"/>
                    <w:lang w:val="fr-FR"/>
                  </w:rPr>
                  <w:t>8 July 2020</w:t>
                </w:r>
              </w:sdtContent>
            </w:sdt>
          </w:p>
          <w:p w:rsidR="00C9161D" w:rsidRPr="00F10E52" w:rsidRDefault="00C9161D" w:rsidP="004C5BCC">
            <w:pPr>
              <w:kinsoku w:val="0"/>
              <w:overflowPunct w:val="0"/>
              <w:autoSpaceDE w:val="0"/>
              <w:autoSpaceDN w:val="0"/>
              <w:spacing w:before="0" w:after="0"/>
              <w:ind w:left="1213"/>
              <w:jc w:val="left"/>
              <w:rPr>
                <w:kern w:val="22"/>
                <w:szCs w:val="22"/>
                <w:lang w:val="fr-FR"/>
              </w:rPr>
            </w:pPr>
          </w:p>
          <w:p w:rsidR="00C9161D" w:rsidRPr="0045335F" w:rsidRDefault="00F10E52" w:rsidP="004C5BCC">
            <w:pPr>
              <w:kinsoku w:val="0"/>
              <w:overflowPunct w:val="0"/>
              <w:autoSpaceDE w:val="0"/>
              <w:autoSpaceDN w:val="0"/>
              <w:spacing w:before="0" w:after="0"/>
              <w:ind w:left="1213"/>
              <w:jc w:val="left"/>
              <w:rPr>
                <w:kern w:val="22"/>
                <w:lang w:val="fr-FR"/>
              </w:rPr>
            </w:pPr>
            <w:r>
              <w:rPr>
                <w:kern w:val="22"/>
                <w:szCs w:val="22"/>
                <w:lang w:val="fr-FR"/>
              </w:rPr>
              <w:t>ORIGINAL : ANGLAIS</w:t>
            </w:r>
          </w:p>
        </w:tc>
      </w:tr>
    </w:tbl>
    <w:p w:rsidR="00F10E52" w:rsidRPr="00F10E52" w:rsidRDefault="00F10E52" w:rsidP="00F10E52">
      <w:pPr>
        <w:spacing w:before="0" w:after="0"/>
        <w:ind w:left="284" w:hanging="284"/>
        <w:jc w:val="left"/>
        <w:rPr>
          <w:caps/>
          <w:kern w:val="22"/>
          <w:szCs w:val="22"/>
          <w:lang w:val="fr-CA"/>
        </w:rPr>
      </w:pPr>
      <w:bookmarkStart w:id="1" w:name="_Hlk15402193"/>
      <w:r w:rsidRPr="00F10E52">
        <w:rPr>
          <w:caps/>
          <w:kern w:val="22"/>
          <w:szCs w:val="22"/>
          <w:lang w:val="fr-CA"/>
        </w:rPr>
        <w:t>ORGANE SUBSIDIAIRE CHARGÉ DE L’APPLICATION</w:t>
      </w:r>
    </w:p>
    <w:p w:rsidR="004C106A" w:rsidRPr="0045335F" w:rsidRDefault="00F10E52" w:rsidP="004C5BCC">
      <w:pPr>
        <w:spacing w:before="0" w:after="0"/>
        <w:ind w:left="284" w:hanging="284"/>
        <w:jc w:val="left"/>
        <w:rPr>
          <w:snapToGrid w:val="0"/>
          <w:kern w:val="22"/>
          <w:szCs w:val="22"/>
          <w:lang w:val="fr-FR" w:eastAsia="nb-NO"/>
        </w:rPr>
      </w:pPr>
      <w:r>
        <w:rPr>
          <w:kern w:val="22"/>
          <w:szCs w:val="22"/>
          <w:lang w:val="fr-FR" w:eastAsia="nb-NO"/>
        </w:rPr>
        <w:t>Troisième réunion</w:t>
      </w:r>
    </w:p>
    <w:p w:rsidR="00A20ADB" w:rsidRDefault="00A20ADB" w:rsidP="004C5BCC">
      <w:pPr>
        <w:spacing w:before="0" w:after="0"/>
        <w:rPr>
          <w:kern w:val="22"/>
          <w:szCs w:val="22"/>
          <w:lang w:val="fr-FR" w:eastAsia="nb-NO"/>
        </w:rPr>
      </w:pPr>
      <w:r w:rsidRPr="00A20ADB">
        <w:rPr>
          <w:kern w:val="22"/>
          <w:szCs w:val="22"/>
          <w:lang w:val="fr-FR" w:eastAsia="nb-NO"/>
        </w:rPr>
        <w:t>Lieu et dates à déterminer</w:t>
      </w:r>
    </w:p>
    <w:p w:rsidR="002D6C64" w:rsidRPr="00A20ADB" w:rsidRDefault="00F10E52" w:rsidP="004C5BCC">
      <w:pPr>
        <w:spacing w:before="0" w:after="0"/>
        <w:rPr>
          <w:kern w:val="22"/>
          <w:lang w:val="fr-FR"/>
        </w:rPr>
      </w:pPr>
      <w:r>
        <w:rPr>
          <w:kern w:val="22"/>
          <w:szCs w:val="22"/>
          <w:lang w:val="fr-FR"/>
        </w:rPr>
        <w:t>Point</w:t>
      </w:r>
      <w:r w:rsidR="008B7DA6">
        <w:rPr>
          <w:kern w:val="22"/>
          <w:szCs w:val="22"/>
          <w:lang w:val="fr-FR"/>
        </w:rPr>
        <w:t> </w:t>
      </w:r>
      <w:r>
        <w:rPr>
          <w:kern w:val="22"/>
          <w:szCs w:val="22"/>
          <w:lang w:val="fr-FR"/>
        </w:rPr>
        <w:t>5 de l’ordre du jour provisoire</w:t>
      </w:r>
      <w:r w:rsidR="00A20ADB" w:rsidRPr="00A20ADB">
        <w:rPr>
          <w:rStyle w:val="FootnoteReference"/>
          <w:snapToGrid w:val="0"/>
          <w:kern w:val="22"/>
          <w:sz w:val="22"/>
          <w:szCs w:val="22"/>
          <w:u w:val="none"/>
          <w:lang w:val="fr-FR"/>
        </w:rPr>
        <w:footnoteReference w:customMarkFollows="1" w:id="1"/>
        <w:t>*</w:t>
      </w:r>
    </w:p>
    <w:p w:rsidR="004C106A" w:rsidRPr="00F10E52" w:rsidRDefault="001945CD" w:rsidP="005939BC">
      <w:pPr>
        <w:pStyle w:val="Heading1"/>
        <w:tabs>
          <w:tab w:val="clear" w:pos="720"/>
        </w:tabs>
        <w:rPr>
          <w:kern w:val="22"/>
          <w:szCs w:val="22"/>
          <w:lang w:val="fr-FR"/>
        </w:rPr>
      </w:pPr>
      <w:sdt>
        <w:sdtPr>
          <w:rPr>
            <w:bCs/>
            <w:snapToGrid w:val="0"/>
            <w:kern w:val="22"/>
            <w:szCs w:val="22"/>
            <w:lang w:val="fr-FR"/>
          </w:rPr>
          <w:alias w:val="Title"/>
          <w:id w:val="772832786"/>
          <w:placeholder>
            <w:docPart w:val="6A46EB6522BCCE46AA484B1E911E6FE9"/>
          </w:placeholder>
          <w:dataBinding w:prefixMappings="xmlns:ns0='http://purl.org/dc/elements/1.1/' xmlns:ns1='http://schemas.openxmlformats.org/package/2006/metadata/core-properties' " w:xpath="/ns1:coreProperties[1]/ns0:title[1]" w:storeItemID="{6C3C8BC8-F283-45AE-878A-BAB7291924A1}"/>
          <w:text/>
        </w:sdtPr>
        <w:sdtEndPr/>
        <w:sdtContent>
          <w:r w:rsidR="00F10E52" w:rsidRPr="00F10E52">
            <w:rPr>
              <w:bCs/>
              <w:snapToGrid w:val="0"/>
              <w:kern w:val="22"/>
              <w:szCs w:val="22"/>
              <w:lang w:val="fr-FR"/>
            </w:rPr>
            <w:t>Plan de mise en ŒUVRE et plan d</w:t>
          </w:r>
          <w:r w:rsidR="00F10E52">
            <w:rPr>
              <w:bCs/>
              <w:snapToGrid w:val="0"/>
              <w:kern w:val="22"/>
              <w:szCs w:val="22"/>
              <w:lang w:val="fr-FR"/>
            </w:rPr>
            <w:t>’</w:t>
          </w:r>
          <w:r w:rsidR="00F10E52" w:rsidRPr="00F10E52">
            <w:rPr>
              <w:bCs/>
              <w:snapToGrid w:val="0"/>
              <w:kern w:val="22"/>
              <w:szCs w:val="22"/>
              <w:lang w:val="fr-FR"/>
            </w:rPr>
            <w:t>action pour le renforcement des capacités du Protocole de Cartagena</w:t>
          </w:r>
        </w:sdtContent>
      </w:sdt>
    </w:p>
    <w:p w:rsidR="004C106A" w:rsidRPr="007F10D2" w:rsidRDefault="00F10E52" w:rsidP="004C106A">
      <w:pPr>
        <w:pStyle w:val="Style1"/>
        <w:rPr>
          <w:b w:val="0"/>
          <w:i/>
          <w:kern w:val="22"/>
          <w:lang w:val="fr-FR"/>
        </w:rPr>
      </w:pPr>
      <w:r w:rsidRPr="007F10D2">
        <w:rPr>
          <w:b w:val="0"/>
          <w:i/>
          <w:kern w:val="22"/>
          <w:szCs w:val="22"/>
          <w:lang w:val="fr-FR"/>
        </w:rPr>
        <w:t>Note de la Secrétaire exécutive</w:t>
      </w:r>
    </w:p>
    <w:p w:rsidR="0085638D" w:rsidRPr="008A097C" w:rsidRDefault="00F10E52" w:rsidP="00A94E8A">
      <w:pPr>
        <w:pStyle w:val="Heading1"/>
        <w:numPr>
          <w:ilvl w:val="0"/>
          <w:numId w:val="5"/>
        </w:numPr>
        <w:tabs>
          <w:tab w:val="clear" w:pos="720"/>
        </w:tabs>
        <w:rPr>
          <w:kern w:val="22"/>
          <w:szCs w:val="22"/>
        </w:rPr>
      </w:pPr>
      <w:r w:rsidRPr="008A097C">
        <w:rPr>
          <w:bCs/>
          <w:kern w:val="22"/>
          <w:szCs w:val="22"/>
          <w:lang w:val="fr-FR"/>
        </w:rPr>
        <w:t>Introduction</w:t>
      </w:r>
      <w:bookmarkEnd w:id="1"/>
    </w:p>
    <w:p w:rsidR="00675AC8" w:rsidRPr="008A097C" w:rsidRDefault="00F10E52" w:rsidP="00FD1048">
      <w:pPr>
        <w:numPr>
          <w:ilvl w:val="0"/>
          <w:numId w:val="4"/>
        </w:numPr>
        <w:tabs>
          <w:tab w:val="clear" w:pos="360"/>
        </w:tabs>
        <w:rPr>
          <w:kern w:val="22"/>
          <w:szCs w:val="22"/>
          <w:lang w:val="fr-FR"/>
        </w:rPr>
      </w:pPr>
      <w:r w:rsidRPr="008A097C">
        <w:rPr>
          <w:kern w:val="22"/>
          <w:szCs w:val="22"/>
          <w:lang w:val="fr-FR"/>
        </w:rPr>
        <w:t xml:space="preserve">Dans sa décision </w:t>
      </w:r>
      <w:hyperlink r:id="rId15" w:history="1">
        <w:r w:rsidRPr="008A097C">
          <w:rPr>
            <w:color w:val="0000FF"/>
            <w:kern w:val="22"/>
            <w:szCs w:val="22"/>
            <w:u w:val="single"/>
            <w:lang w:val="fr-FR"/>
          </w:rPr>
          <w:t>BS-V/16</w:t>
        </w:r>
      </w:hyperlink>
      <w:r w:rsidRPr="008A097C">
        <w:rPr>
          <w:kern w:val="22"/>
          <w:szCs w:val="22"/>
          <w:lang w:val="fr-FR"/>
        </w:rPr>
        <w:t>, la Conférence des Parties siégeant en tant que réunion des Parties au Protocole de Cartagena (COP-MOP) a adopté le Plan stratégique du Protocole de Cartagena sur la prévention des risques biotechnologiques pour la période</w:t>
      </w:r>
      <w:r w:rsidR="008B7DA6" w:rsidRPr="008A097C">
        <w:rPr>
          <w:kern w:val="22"/>
          <w:szCs w:val="22"/>
          <w:lang w:val="fr-FR"/>
        </w:rPr>
        <w:t> </w:t>
      </w:r>
      <w:r w:rsidRPr="008A097C">
        <w:rPr>
          <w:kern w:val="22"/>
          <w:szCs w:val="22"/>
          <w:lang w:val="fr-FR"/>
        </w:rPr>
        <w:t xml:space="preserve">2011-2020. Dans sa décision </w:t>
      </w:r>
      <w:hyperlink r:id="rId16" w:history="1">
        <w:r w:rsidRPr="008A097C">
          <w:rPr>
            <w:color w:val="0000FF"/>
            <w:kern w:val="22"/>
            <w:szCs w:val="22"/>
            <w:u w:val="single"/>
            <w:lang w:val="fr-FR"/>
          </w:rPr>
          <w:t>BS-VI/3</w:t>
        </w:r>
      </w:hyperlink>
      <w:r w:rsidRPr="008A097C">
        <w:rPr>
          <w:kern w:val="22"/>
          <w:szCs w:val="22"/>
          <w:lang w:val="fr-FR"/>
        </w:rPr>
        <w:t>, la Conférence des Parties siégeant en tant que réunion des Parties au Protocole a adopté le Cadre et le Plan d’action pour le renforcement des capacités en vue de l’application effective du Protocole de Cartagena.</w:t>
      </w:r>
    </w:p>
    <w:p w:rsidR="0048430A" w:rsidRPr="008A097C" w:rsidRDefault="00F10E52" w:rsidP="00FD1048">
      <w:pPr>
        <w:numPr>
          <w:ilvl w:val="0"/>
          <w:numId w:val="4"/>
        </w:numPr>
        <w:tabs>
          <w:tab w:val="clear" w:pos="360"/>
        </w:tabs>
        <w:rPr>
          <w:kern w:val="22"/>
          <w:lang w:val="fr-FR"/>
        </w:rPr>
      </w:pPr>
      <w:r w:rsidRPr="008A097C">
        <w:rPr>
          <w:kern w:val="22"/>
          <w:szCs w:val="22"/>
          <w:lang w:val="fr-FR"/>
        </w:rPr>
        <w:t>Dans sa décision</w:t>
      </w:r>
      <w:r w:rsidR="008B7DA6" w:rsidRPr="008A097C">
        <w:rPr>
          <w:kern w:val="22"/>
          <w:szCs w:val="22"/>
          <w:lang w:val="fr-FR"/>
        </w:rPr>
        <w:t> </w:t>
      </w:r>
      <w:hyperlink r:id="rId17" w:history="1">
        <w:r w:rsidRPr="008A097C">
          <w:rPr>
            <w:color w:val="0000FF"/>
            <w:kern w:val="22"/>
            <w:szCs w:val="22"/>
            <w:u w:val="single"/>
            <w:lang w:val="fr-FR"/>
          </w:rPr>
          <w:t>CP-9/7</w:t>
        </w:r>
      </w:hyperlink>
      <w:r w:rsidRPr="008A097C">
        <w:rPr>
          <w:kern w:val="22"/>
          <w:szCs w:val="22"/>
          <w:lang w:val="fr-FR"/>
        </w:rPr>
        <w:t xml:space="preserve">, la Conférence des Parties siégeant en tant que réunion des Parties au Protocole a souligné la nécessité d’élaborer un plan de mise en </w:t>
      </w:r>
      <w:r w:rsidR="008B7DA6" w:rsidRPr="008A097C">
        <w:rPr>
          <w:kern w:val="22"/>
          <w:szCs w:val="22"/>
          <w:lang w:val="fr-FR"/>
        </w:rPr>
        <w:t>œ</w:t>
      </w:r>
      <w:r w:rsidRPr="008A097C">
        <w:rPr>
          <w:kern w:val="22"/>
          <w:szCs w:val="22"/>
          <w:lang w:val="fr-FR"/>
        </w:rPr>
        <w:t xml:space="preserve">uvre spécifique du Protocole de Cartagena sur la prévention des risques biotechnologiques (plan de mise en </w:t>
      </w:r>
      <w:r w:rsidR="008B7DA6" w:rsidRPr="008A097C">
        <w:rPr>
          <w:kern w:val="22"/>
          <w:szCs w:val="22"/>
          <w:lang w:val="fr-FR"/>
        </w:rPr>
        <w:t>œ</w:t>
      </w:r>
      <w:r w:rsidRPr="008A097C">
        <w:rPr>
          <w:kern w:val="22"/>
          <w:szCs w:val="22"/>
          <w:lang w:val="fr-FR"/>
        </w:rPr>
        <w:t>uvre) qui donnera suite au Plan stratégique du Protocole de Cartagena sur la prévention des risques biotechnologiques pour la période</w:t>
      </w:r>
      <w:r w:rsidR="008B7DA6" w:rsidRPr="008A097C">
        <w:rPr>
          <w:kern w:val="22"/>
          <w:szCs w:val="22"/>
          <w:lang w:val="fr-FR"/>
        </w:rPr>
        <w:t> </w:t>
      </w:r>
      <w:r w:rsidRPr="008A097C">
        <w:rPr>
          <w:kern w:val="22"/>
          <w:szCs w:val="22"/>
          <w:lang w:val="fr-FR"/>
        </w:rPr>
        <w:t xml:space="preserve">2011-2020. La Conférence des Parties siégeant en tant que réunion des Parties au Protocole a décidé d’élaborer un plan de mise en œuvre basé sur le cadre mondial de la biodiversité pour l’après-2020 et complémentaire à celui-ci, et a décrit un </w:t>
      </w:r>
      <w:r w:rsidR="00A20ADB" w:rsidRPr="008A097C">
        <w:rPr>
          <w:kern w:val="22"/>
          <w:szCs w:val="22"/>
          <w:lang w:val="fr-FR"/>
        </w:rPr>
        <w:t>processus pour son élaboration.</w:t>
      </w:r>
    </w:p>
    <w:p w:rsidR="00AB3B80" w:rsidRPr="008A097C" w:rsidRDefault="00F10E52" w:rsidP="00FD1048">
      <w:pPr>
        <w:numPr>
          <w:ilvl w:val="0"/>
          <w:numId w:val="4"/>
        </w:numPr>
        <w:tabs>
          <w:tab w:val="clear" w:pos="360"/>
        </w:tabs>
        <w:rPr>
          <w:kern w:val="22"/>
          <w:szCs w:val="22"/>
          <w:lang w:val="fr-FR"/>
        </w:rPr>
      </w:pPr>
      <w:r w:rsidRPr="008A097C">
        <w:rPr>
          <w:kern w:val="22"/>
          <w:szCs w:val="22"/>
          <w:lang w:val="fr-FR"/>
        </w:rPr>
        <w:t>Dans sa décision</w:t>
      </w:r>
      <w:r w:rsidR="008B7DA6" w:rsidRPr="008A097C">
        <w:rPr>
          <w:kern w:val="22"/>
          <w:szCs w:val="22"/>
          <w:lang w:val="fr-FR"/>
        </w:rPr>
        <w:t> </w:t>
      </w:r>
      <w:hyperlink r:id="rId18" w:history="1">
        <w:r w:rsidRPr="008A097C">
          <w:rPr>
            <w:color w:val="0000FF"/>
            <w:kern w:val="22"/>
            <w:szCs w:val="22"/>
            <w:u w:val="single"/>
            <w:lang w:val="fr-FR"/>
          </w:rPr>
          <w:t>CP-9/3</w:t>
        </w:r>
      </w:hyperlink>
      <w:r w:rsidRPr="008A097C">
        <w:rPr>
          <w:kern w:val="22"/>
          <w:szCs w:val="22"/>
          <w:lang w:val="fr-FR"/>
        </w:rPr>
        <w:t xml:space="preserve">, la Conférence des Parties siégeant en tant que réunion des Parties au Protocole a reconnu la nécessité d’élaborer un plan d’action spécifique pour le renforcement des capacités en vue de l’application du Protocole de Cartagena et de son Protocole additionnel (plan d’action pour le renforcement des capacités) compatible avec le plan de mise en œuvre et complémentaire du cadre stratégique à long terme pour le renforcement des capacités après 2020 (décision </w:t>
      </w:r>
      <w:hyperlink r:id="rId19" w:history="1">
        <w:r w:rsidRPr="008A097C">
          <w:rPr>
            <w:color w:val="0000FF"/>
            <w:kern w:val="22"/>
            <w:szCs w:val="22"/>
            <w:u w:val="single"/>
            <w:lang w:val="fr-FR"/>
          </w:rPr>
          <w:t>14/24</w:t>
        </w:r>
      </w:hyperlink>
      <w:r w:rsidRPr="008A097C">
        <w:rPr>
          <w:kern w:val="22"/>
          <w:szCs w:val="22"/>
          <w:lang w:val="fr-FR"/>
        </w:rPr>
        <w:t>) et a décidé d’un calendrier indicatif d’activités pour son élaboration.</w:t>
      </w:r>
    </w:p>
    <w:p w:rsidR="000E6128" w:rsidRPr="00F10E52" w:rsidRDefault="00F10E52" w:rsidP="00FD1048">
      <w:pPr>
        <w:numPr>
          <w:ilvl w:val="0"/>
          <w:numId w:val="4"/>
        </w:numPr>
        <w:tabs>
          <w:tab w:val="clear" w:pos="360"/>
        </w:tabs>
        <w:rPr>
          <w:kern w:val="22"/>
          <w:szCs w:val="22"/>
          <w:lang w:val="fr-FR"/>
        </w:rPr>
      </w:pPr>
      <w:r w:rsidRPr="008A097C">
        <w:rPr>
          <w:kern w:val="22"/>
          <w:szCs w:val="22"/>
          <w:lang w:val="fr-FR"/>
        </w:rPr>
        <w:t>Conformément aux décisions</w:t>
      </w:r>
      <w:r w:rsidR="008B7DA6" w:rsidRPr="008A097C">
        <w:rPr>
          <w:kern w:val="22"/>
          <w:szCs w:val="22"/>
          <w:lang w:val="fr-FR"/>
        </w:rPr>
        <w:t> </w:t>
      </w:r>
      <w:hyperlink r:id="rId20" w:history="1">
        <w:r w:rsidRPr="008A097C">
          <w:rPr>
            <w:color w:val="0000FF"/>
            <w:kern w:val="22"/>
            <w:szCs w:val="22"/>
            <w:u w:val="single"/>
            <w:lang w:val="fr-FR"/>
          </w:rPr>
          <w:t>CP-9/3</w:t>
        </w:r>
      </w:hyperlink>
      <w:r w:rsidR="00842606" w:rsidRPr="008A097C">
        <w:rPr>
          <w:kern w:val="22"/>
          <w:szCs w:val="22"/>
          <w:lang w:val="fr-FR"/>
        </w:rPr>
        <w:t xml:space="preserve"> e</w:t>
      </w:r>
      <w:r w:rsidRPr="008A097C">
        <w:rPr>
          <w:kern w:val="22"/>
          <w:szCs w:val="22"/>
          <w:lang w:val="fr-FR"/>
        </w:rPr>
        <w:t>t</w:t>
      </w:r>
      <w:r>
        <w:rPr>
          <w:kern w:val="22"/>
          <w:szCs w:val="22"/>
          <w:lang w:val="fr-FR"/>
        </w:rPr>
        <w:t xml:space="preserve"> CP-9/7, le projet de plan de mise en œuvre et le plan d’action pour le renforcement des capacités ont été élaborés dans le cadre d’un vaste processus de consultation impliquant, entre autres, la soumission d’avis, des discussions ouvertes en ligne, un examen par le Groupe de liaison sur le Protocole de Cartagena, ainsi qu’un processus d’examen par l</w:t>
      </w:r>
      <w:r w:rsidR="00A20ADB">
        <w:rPr>
          <w:kern w:val="22"/>
          <w:szCs w:val="22"/>
          <w:lang w:val="fr-FR"/>
        </w:rPr>
        <w:t>es Parties et les observateurs.</w:t>
      </w:r>
    </w:p>
    <w:p w:rsidR="00AB3B80" w:rsidRPr="00F10E52" w:rsidRDefault="00A20ADB" w:rsidP="00FD1048">
      <w:pPr>
        <w:numPr>
          <w:ilvl w:val="0"/>
          <w:numId w:val="4"/>
        </w:numPr>
        <w:tabs>
          <w:tab w:val="clear" w:pos="360"/>
        </w:tabs>
        <w:rPr>
          <w:kern w:val="22"/>
          <w:szCs w:val="22"/>
          <w:lang w:val="fr-FR"/>
        </w:rPr>
      </w:pPr>
      <w:r>
        <w:rPr>
          <w:kern w:val="22"/>
          <w:szCs w:val="22"/>
          <w:lang w:val="fr-FR"/>
        </w:rPr>
        <w:lastRenderedPageBreak/>
        <w:t>Dans l</w:t>
      </w:r>
      <w:r w:rsidR="00F10E52">
        <w:rPr>
          <w:kern w:val="22"/>
          <w:szCs w:val="22"/>
          <w:lang w:val="fr-FR"/>
        </w:rPr>
        <w:t>es décisions</w:t>
      </w:r>
      <w:r w:rsidR="008B7DA6">
        <w:rPr>
          <w:kern w:val="22"/>
          <w:szCs w:val="22"/>
          <w:lang w:val="fr-FR"/>
        </w:rPr>
        <w:t> </w:t>
      </w:r>
      <w:r w:rsidR="00F10E52">
        <w:rPr>
          <w:kern w:val="22"/>
          <w:szCs w:val="22"/>
          <w:lang w:val="fr-FR"/>
        </w:rPr>
        <w:t>CP-9/7 et CP-9/3</w:t>
      </w:r>
      <w:r>
        <w:rPr>
          <w:kern w:val="22"/>
          <w:szCs w:val="22"/>
          <w:lang w:val="fr-FR"/>
        </w:rPr>
        <w:t xml:space="preserve">, il </w:t>
      </w:r>
      <w:r w:rsidR="009561E7">
        <w:rPr>
          <w:kern w:val="22"/>
          <w:szCs w:val="22"/>
          <w:lang w:val="fr-FR"/>
        </w:rPr>
        <w:t>était</w:t>
      </w:r>
      <w:r w:rsidR="00F10E52">
        <w:rPr>
          <w:kern w:val="22"/>
          <w:szCs w:val="22"/>
          <w:lang w:val="fr-FR"/>
        </w:rPr>
        <w:t xml:space="preserve"> demand</w:t>
      </w:r>
      <w:r>
        <w:rPr>
          <w:kern w:val="22"/>
          <w:szCs w:val="22"/>
          <w:lang w:val="fr-FR"/>
        </w:rPr>
        <w:t>é</w:t>
      </w:r>
      <w:r w:rsidR="00F10E52">
        <w:rPr>
          <w:kern w:val="22"/>
          <w:szCs w:val="22"/>
          <w:lang w:val="fr-FR"/>
        </w:rPr>
        <w:t xml:space="preserve"> à la Secrétaire exécutive de soumettre le plan de mise en œuvre et le plan d’action pour le renforcement des capacités à l’Organe subsidiaire chargé de l’application pour</w:t>
      </w:r>
      <w:r>
        <w:rPr>
          <w:kern w:val="22"/>
          <w:szCs w:val="22"/>
          <w:lang w:val="fr-FR"/>
        </w:rPr>
        <w:t xml:space="preserve"> examen à sa troisième réunion.</w:t>
      </w:r>
    </w:p>
    <w:p w:rsidR="005D35F5" w:rsidRPr="00F10E52" w:rsidRDefault="00F10E52" w:rsidP="00FD1048">
      <w:pPr>
        <w:numPr>
          <w:ilvl w:val="0"/>
          <w:numId w:val="4"/>
        </w:numPr>
        <w:tabs>
          <w:tab w:val="clear" w:pos="360"/>
        </w:tabs>
        <w:rPr>
          <w:kern w:val="22"/>
          <w:szCs w:val="22"/>
          <w:lang w:val="fr-FR"/>
        </w:rPr>
      </w:pPr>
      <w:r>
        <w:rPr>
          <w:kern w:val="22"/>
          <w:szCs w:val="22"/>
          <w:lang w:val="fr-FR"/>
        </w:rPr>
        <w:t>La section</w:t>
      </w:r>
      <w:r w:rsidR="008B7DA6">
        <w:rPr>
          <w:kern w:val="22"/>
          <w:szCs w:val="22"/>
          <w:lang w:val="fr-FR"/>
        </w:rPr>
        <w:t> </w:t>
      </w:r>
      <w:r>
        <w:rPr>
          <w:kern w:val="22"/>
          <w:szCs w:val="22"/>
          <w:lang w:val="fr-FR"/>
        </w:rPr>
        <w:t xml:space="preserve">II de la présente note </w:t>
      </w:r>
      <w:r w:rsidR="00842606">
        <w:rPr>
          <w:kern w:val="22"/>
          <w:szCs w:val="22"/>
          <w:lang w:val="fr-FR"/>
        </w:rPr>
        <w:t>donne une vue d’ensemble</w:t>
      </w:r>
      <w:r>
        <w:rPr>
          <w:kern w:val="22"/>
          <w:szCs w:val="22"/>
          <w:lang w:val="fr-FR"/>
        </w:rPr>
        <w:t xml:space="preserve"> du processus d’élaboration du projet de plan de mise en œuvre et de plan d’action pour le renforcement des capacités. Le texte du projet de plan de mise en œuvre et de plan d’action pour le renforcement des capacités figure en annexe du présent document.</w:t>
      </w:r>
    </w:p>
    <w:p w:rsidR="008D2839" w:rsidRPr="00F10E52" w:rsidRDefault="00F10E52" w:rsidP="00FD1048">
      <w:pPr>
        <w:numPr>
          <w:ilvl w:val="0"/>
          <w:numId w:val="4"/>
        </w:numPr>
        <w:tabs>
          <w:tab w:val="clear" w:pos="360"/>
        </w:tabs>
        <w:rPr>
          <w:kern w:val="22"/>
          <w:szCs w:val="22"/>
          <w:lang w:val="fr-FR"/>
        </w:rPr>
      </w:pPr>
      <w:r>
        <w:rPr>
          <w:kern w:val="22"/>
          <w:szCs w:val="22"/>
          <w:lang w:val="fr-FR"/>
        </w:rPr>
        <w:t>En outre, dans la décision</w:t>
      </w:r>
      <w:r w:rsidR="008B7DA6">
        <w:rPr>
          <w:kern w:val="22"/>
          <w:szCs w:val="22"/>
          <w:lang w:val="fr-FR"/>
        </w:rPr>
        <w:t> </w:t>
      </w:r>
      <w:r>
        <w:rPr>
          <w:kern w:val="22"/>
          <w:szCs w:val="22"/>
          <w:lang w:val="fr-FR"/>
        </w:rPr>
        <w:t>CP-9/7, la Conférence des Parties siégeant en tant que réunion des Parties au Protocole a souligné l’importance d’inclure la prévention des risques biotechnologiques dans le cadre mondial de la biodiversité pour l’après-2020. La section</w:t>
      </w:r>
      <w:r w:rsidR="008B7DA6">
        <w:rPr>
          <w:kern w:val="22"/>
          <w:szCs w:val="22"/>
          <w:lang w:val="fr-FR"/>
        </w:rPr>
        <w:t> </w:t>
      </w:r>
      <w:r w:rsidR="004477D1">
        <w:rPr>
          <w:kern w:val="22"/>
          <w:szCs w:val="22"/>
          <w:lang w:val="fr-FR"/>
        </w:rPr>
        <w:t>III du présent document décrit l</w:t>
      </w:r>
      <w:r>
        <w:rPr>
          <w:kern w:val="22"/>
          <w:szCs w:val="22"/>
          <w:lang w:val="fr-FR"/>
        </w:rPr>
        <w:t xml:space="preserve">es liens avec l’élaboration du cadre mondial de la biodiversité pour l’après-2020 et </w:t>
      </w:r>
      <w:r w:rsidR="004477D1">
        <w:rPr>
          <w:kern w:val="22"/>
          <w:szCs w:val="22"/>
          <w:lang w:val="fr-FR"/>
        </w:rPr>
        <w:t>l</w:t>
      </w:r>
      <w:r w:rsidR="00A20ADB">
        <w:rPr>
          <w:kern w:val="22"/>
          <w:szCs w:val="22"/>
          <w:lang w:val="fr-FR"/>
        </w:rPr>
        <w:t>es processus connexes.</w:t>
      </w:r>
    </w:p>
    <w:p w:rsidR="00604FCD" w:rsidRPr="00F10E52" w:rsidRDefault="00F10E52" w:rsidP="00FD1048">
      <w:pPr>
        <w:numPr>
          <w:ilvl w:val="0"/>
          <w:numId w:val="4"/>
        </w:numPr>
        <w:tabs>
          <w:tab w:val="clear" w:pos="360"/>
        </w:tabs>
        <w:rPr>
          <w:kern w:val="22"/>
          <w:szCs w:val="22"/>
          <w:lang w:val="fr-FR"/>
        </w:rPr>
      </w:pPr>
      <w:r>
        <w:rPr>
          <w:kern w:val="22"/>
          <w:szCs w:val="22"/>
          <w:lang w:val="fr-FR"/>
        </w:rPr>
        <w:t>La section</w:t>
      </w:r>
      <w:r w:rsidR="008B7DA6">
        <w:rPr>
          <w:kern w:val="22"/>
          <w:szCs w:val="22"/>
          <w:lang w:val="fr-FR"/>
        </w:rPr>
        <w:t> </w:t>
      </w:r>
      <w:r>
        <w:rPr>
          <w:kern w:val="22"/>
          <w:szCs w:val="22"/>
          <w:lang w:val="fr-FR"/>
        </w:rPr>
        <w:t>IV présente des propositions de recommandations à l’Organe subsi</w:t>
      </w:r>
      <w:r w:rsidR="00A20ADB">
        <w:rPr>
          <w:kern w:val="22"/>
          <w:szCs w:val="22"/>
          <w:lang w:val="fr-FR"/>
        </w:rPr>
        <w:t>diaire chargé de l’application.</w:t>
      </w:r>
    </w:p>
    <w:p w:rsidR="00573EC5" w:rsidRPr="00F10E52" w:rsidRDefault="004477D1" w:rsidP="0041140E">
      <w:pPr>
        <w:pStyle w:val="Heading1"/>
        <w:numPr>
          <w:ilvl w:val="0"/>
          <w:numId w:val="5"/>
        </w:numPr>
        <w:tabs>
          <w:tab w:val="clear" w:pos="720"/>
        </w:tabs>
        <w:ind w:left="1418" w:hanging="567"/>
        <w:jc w:val="left"/>
        <w:rPr>
          <w:kern w:val="22"/>
          <w:lang w:val="fr-FR"/>
        </w:rPr>
      </w:pPr>
      <w:r>
        <w:rPr>
          <w:bCs/>
          <w:kern w:val="22"/>
          <w:szCs w:val="22"/>
          <w:lang w:val="fr-FR"/>
        </w:rPr>
        <w:t>vue d’ensemble</w:t>
      </w:r>
      <w:r w:rsidR="00F10E52">
        <w:rPr>
          <w:bCs/>
          <w:kern w:val="22"/>
          <w:szCs w:val="22"/>
          <w:lang w:val="fr-FR"/>
        </w:rPr>
        <w:t xml:space="preserve"> du processus d’élaboration du projet de plan de mise en œuvre et de plan d’action pour le renforcement des capacités</w:t>
      </w:r>
    </w:p>
    <w:p w:rsidR="00582BB2" w:rsidRPr="00C061D4" w:rsidRDefault="00F10E52" w:rsidP="006C1807">
      <w:pPr>
        <w:pStyle w:val="Heading2"/>
        <w:numPr>
          <w:ilvl w:val="0"/>
          <w:numId w:val="7"/>
        </w:numPr>
        <w:tabs>
          <w:tab w:val="clear" w:pos="720"/>
        </w:tabs>
        <w:rPr>
          <w:i/>
          <w:kern w:val="22"/>
        </w:rPr>
      </w:pPr>
      <w:r>
        <w:rPr>
          <w:kern w:val="22"/>
          <w:szCs w:val="22"/>
          <w:lang w:val="fr-FR"/>
        </w:rPr>
        <w:t>Soumission d’avis</w:t>
      </w:r>
    </w:p>
    <w:p w:rsidR="001C3478" w:rsidRPr="00F10E52" w:rsidRDefault="00F10E52" w:rsidP="00FD1048">
      <w:pPr>
        <w:numPr>
          <w:ilvl w:val="0"/>
          <w:numId w:val="4"/>
        </w:numPr>
        <w:tabs>
          <w:tab w:val="clear" w:pos="360"/>
        </w:tabs>
        <w:rPr>
          <w:kern w:val="22"/>
          <w:szCs w:val="22"/>
          <w:lang w:val="fr-FR"/>
        </w:rPr>
      </w:pPr>
      <w:r>
        <w:rPr>
          <w:kern w:val="22"/>
          <w:szCs w:val="22"/>
          <w:lang w:val="fr-FR"/>
        </w:rPr>
        <w:t>Suite aux décisions</w:t>
      </w:r>
      <w:r w:rsidR="008B7DA6">
        <w:rPr>
          <w:kern w:val="22"/>
          <w:szCs w:val="22"/>
          <w:lang w:val="fr-FR"/>
        </w:rPr>
        <w:t> </w:t>
      </w:r>
      <w:r>
        <w:rPr>
          <w:kern w:val="22"/>
          <w:szCs w:val="22"/>
          <w:lang w:val="fr-FR"/>
        </w:rPr>
        <w:t xml:space="preserve">CP-9/7 et CP-9/3, la Secrétaire exécutive a invité à soumettre des avis sur la structure et le contenu du plan de mise en œuvre et des </w:t>
      </w:r>
      <w:r w:rsidR="00C3694A">
        <w:rPr>
          <w:kern w:val="22"/>
          <w:szCs w:val="22"/>
          <w:lang w:val="fr-FR"/>
        </w:rPr>
        <w:t xml:space="preserve">éventuels </w:t>
      </w:r>
      <w:r>
        <w:rPr>
          <w:kern w:val="22"/>
          <w:szCs w:val="22"/>
          <w:lang w:val="fr-FR"/>
        </w:rPr>
        <w:t>éléments du plan d’action pou</w:t>
      </w:r>
      <w:r w:rsidR="008B7DA6">
        <w:rPr>
          <w:kern w:val="22"/>
          <w:szCs w:val="22"/>
          <w:lang w:val="fr-FR"/>
        </w:rPr>
        <w:t>r le renforcement des capacités</w:t>
      </w:r>
      <w:r>
        <w:rPr>
          <w:rStyle w:val="FootnoteReference"/>
          <w:kern w:val="22"/>
          <w:szCs w:val="22"/>
          <w:u w:val="none"/>
          <w:vertAlign w:val="superscript"/>
        </w:rPr>
        <w:footnoteReference w:id="2"/>
      </w:r>
      <w:r w:rsidR="008B7DA6" w:rsidRPr="008B7DA6">
        <w:rPr>
          <w:kern w:val="22"/>
          <w:szCs w:val="22"/>
          <w:lang w:val="fr-FR"/>
        </w:rPr>
        <w:t>.</w:t>
      </w:r>
    </w:p>
    <w:p w:rsidR="00FA248A" w:rsidRPr="00F10E52" w:rsidRDefault="00F10E52" w:rsidP="00DB3359">
      <w:pPr>
        <w:numPr>
          <w:ilvl w:val="0"/>
          <w:numId w:val="4"/>
        </w:numPr>
        <w:tabs>
          <w:tab w:val="clear" w:pos="360"/>
        </w:tabs>
        <w:rPr>
          <w:kern w:val="22"/>
          <w:szCs w:val="22"/>
          <w:lang w:val="fr-FR"/>
        </w:rPr>
      </w:pPr>
      <w:r>
        <w:rPr>
          <w:kern w:val="22"/>
          <w:szCs w:val="22"/>
          <w:lang w:val="fr-FR"/>
        </w:rPr>
        <w:t>Au total, 28</w:t>
      </w:r>
      <w:r w:rsidR="008B7DA6">
        <w:rPr>
          <w:kern w:val="22"/>
          <w:szCs w:val="22"/>
          <w:lang w:val="fr-FR"/>
        </w:rPr>
        <w:t> </w:t>
      </w:r>
      <w:r>
        <w:rPr>
          <w:kern w:val="22"/>
          <w:szCs w:val="22"/>
          <w:lang w:val="fr-FR"/>
        </w:rPr>
        <w:t>avis ont été reçus, dont 22 provenaient de Parties, un d’un autre gouvernement, un d’une organisation représentant les peuples autochtones et les communautés locales, et q</w:t>
      </w:r>
      <w:r w:rsidR="008B7DA6">
        <w:rPr>
          <w:kern w:val="22"/>
          <w:szCs w:val="22"/>
          <w:lang w:val="fr-FR"/>
        </w:rPr>
        <w:t>uatre d’autres organisations</w:t>
      </w:r>
      <w:r>
        <w:rPr>
          <w:kern w:val="22"/>
          <w:szCs w:val="22"/>
          <w:vertAlign w:val="superscript"/>
        </w:rPr>
        <w:footnoteReference w:id="3"/>
      </w:r>
      <w:r w:rsidR="008B7DA6" w:rsidRPr="008B7DA6">
        <w:rPr>
          <w:kern w:val="22"/>
          <w:szCs w:val="22"/>
          <w:lang w:val="fr-FR"/>
        </w:rPr>
        <w:t>.</w:t>
      </w:r>
      <w:r>
        <w:rPr>
          <w:kern w:val="22"/>
          <w:szCs w:val="22"/>
          <w:lang w:val="fr-FR"/>
        </w:rPr>
        <w:t xml:space="preserve"> Une synthèse des avis a été présentée au Groupe de liaison sur le Protocole de Cartagena à sa treizième réunion (CBD/CP/LG/2019/1/INF/1).</w:t>
      </w:r>
    </w:p>
    <w:p w:rsidR="004E1391" w:rsidRPr="00F10E52" w:rsidRDefault="00F10E52" w:rsidP="00150B86">
      <w:pPr>
        <w:pStyle w:val="Heading2"/>
        <w:numPr>
          <w:ilvl w:val="0"/>
          <w:numId w:val="7"/>
        </w:numPr>
        <w:tabs>
          <w:tab w:val="clear" w:pos="720"/>
        </w:tabs>
        <w:rPr>
          <w:i/>
          <w:kern w:val="22"/>
          <w:lang w:val="fr-FR"/>
        </w:rPr>
      </w:pPr>
      <w:r>
        <w:rPr>
          <w:kern w:val="22"/>
          <w:szCs w:val="22"/>
          <w:lang w:val="fr-FR"/>
        </w:rPr>
        <w:t>Préparation du projet de plan de mise en œuvre</w:t>
      </w:r>
    </w:p>
    <w:p w:rsidR="00362DDD" w:rsidRPr="00F10E52" w:rsidRDefault="00F10E52" w:rsidP="002A4895">
      <w:pPr>
        <w:numPr>
          <w:ilvl w:val="0"/>
          <w:numId w:val="4"/>
        </w:numPr>
        <w:tabs>
          <w:tab w:val="clear" w:pos="360"/>
        </w:tabs>
        <w:rPr>
          <w:kern w:val="22"/>
          <w:szCs w:val="22"/>
          <w:lang w:val="fr-FR"/>
        </w:rPr>
      </w:pPr>
      <w:r>
        <w:rPr>
          <w:kern w:val="22"/>
          <w:szCs w:val="22"/>
          <w:lang w:val="fr-FR"/>
        </w:rPr>
        <w:t>À partir des soumissions reçues, le Secrétariat a préparé un projet de plan de mise en œuvre. Le Secrétariat a également pris en considération les orientations fournies par la Conférence des Parties siégeant en tant que réunion des Parties au Protocole dans sa décision</w:t>
      </w:r>
      <w:r w:rsidR="008B7DA6">
        <w:rPr>
          <w:kern w:val="22"/>
          <w:szCs w:val="22"/>
          <w:lang w:val="fr-FR"/>
        </w:rPr>
        <w:t> </w:t>
      </w:r>
      <w:r>
        <w:rPr>
          <w:kern w:val="22"/>
          <w:szCs w:val="22"/>
          <w:lang w:val="fr-FR"/>
        </w:rPr>
        <w:t>CP-9/7, paragraphe</w:t>
      </w:r>
      <w:r w:rsidR="008B7DA6">
        <w:rPr>
          <w:kern w:val="22"/>
          <w:szCs w:val="22"/>
          <w:lang w:val="fr-FR"/>
        </w:rPr>
        <w:t> </w:t>
      </w:r>
      <w:r>
        <w:rPr>
          <w:kern w:val="22"/>
          <w:szCs w:val="22"/>
          <w:lang w:val="fr-FR"/>
        </w:rPr>
        <w:t>6, dans laquelle il a décidé que le plan de mise en œuvre devra</w:t>
      </w:r>
      <w:r w:rsidR="008B7DA6">
        <w:rPr>
          <w:kern w:val="22"/>
          <w:szCs w:val="22"/>
          <w:lang w:val="fr-FR"/>
        </w:rPr>
        <w:t> </w:t>
      </w:r>
      <w:r>
        <w:rPr>
          <w:rFonts w:ascii="Times" w:eastAsia="Times" w:hAnsi="Times" w:cs="Times"/>
          <w:kern w:val="22"/>
          <w:szCs w:val="22"/>
          <w:lang w:val="fr-FR"/>
        </w:rPr>
        <w:t>: a) être élaboré comme outil de mise en œuvre</w:t>
      </w:r>
      <w:r w:rsidR="008B7DA6">
        <w:rPr>
          <w:rFonts w:ascii="Times" w:eastAsia="Times" w:hAnsi="Times" w:cs="Times"/>
          <w:kern w:val="22"/>
          <w:szCs w:val="22"/>
          <w:lang w:val="fr-FR"/>
        </w:rPr>
        <w:t> </w:t>
      </w:r>
      <w:r>
        <w:rPr>
          <w:rFonts w:ascii="Times" w:eastAsia="Times" w:hAnsi="Times" w:cs="Times"/>
          <w:kern w:val="22"/>
          <w:szCs w:val="22"/>
          <w:lang w:val="fr-FR"/>
        </w:rPr>
        <w:t>; b) intégrer les éléments du Plan stratégique du Protocole de Cartagena pour la période</w:t>
      </w:r>
      <w:r w:rsidR="008B7DA6">
        <w:rPr>
          <w:rFonts w:ascii="Times" w:eastAsia="Times" w:hAnsi="Times" w:cs="Times"/>
          <w:kern w:val="22"/>
          <w:szCs w:val="22"/>
          <w:lang w:val="fr-FR"/>
        </w:rPr>
        <w:t> </w:t>
      </w:r>
      <w:r>
        <w:rPr>
          <w:rFonts w:ascii="Times" w:eastAsia="Times" w:hAnsi="Times" w:cs="Times"/>
          <w:kern w:val="22"/>
          <w:szCs w:val="22"/>
          <w:lang w:val="fr-FR"/>
        </w:rPr>
        <w:t>2011-2020 qui demeurent pertinents</w:t>
      </w:r>
      <w:r w:rsidR="008B7DA6">
        <w:rPr>
          <w:rFonts w:ascii="Times" w:eastAsia="Times" w:hAnsi="Times" w:cs="Times"/>
          <w:kern w:val="22"/>
          <w:szCs w:val="22"/>
          <w:lang w:val="fr-FR"/>
        </w:rPr>
        <w:t> </w:t>
      </w:r>
      <w:r>
        <w:rPr>
          <w:rFonts w:ascii="Times" w:eastAsia="Times" w:hAnsi="Times" w:cs="Times"/>
          <w:kern w:val="22"/>
          <w:szCs w:val="22"/>
          <w:lang w:val="fr-FR"/>
        </w:rPr>
        <w:t>; c) inclure de nouveaux éléments intégrant les enseignements tirés et les nouveaux développements en matière de prévention des risques biotechnologiques</w:t>
      </w:r>
      <w:r w:rsidR="008B7DA6">
        <w:rPr>
          <w:rFonts w:ascii="Times" w:eastAsia="Times" w:hAnsi="Times" w:cs="Times"/>
          <w:kern w:val="22"/>
          <w:szCs w:val="22"/>
          <w:lang w:val="fr-FR"/>
        </w:rPr>
        <w:t> </w:t>
      </w:r>
      <w:r>
        <w:rPr>
          <w:rFonts w:ascii="Times" w:eastAsia="Times" w:hAnsi="Times" w:cs="Times"/>
          <w:kern w:val="22"/>
          <w:szCs w:val="22"/>
          <w:lang w:val="fr-FR"/>
        </w:rPr>
        <w:t>; d) être suffisamment souple pour tenir compte des évolutions durant la période de mise en œuvre</w:t>
      </w:r>
      <w:r w:rsidR="008B7DA6">
        <w:rPr>
          <w:rFonts w:ascii="Times" w:eastAsia="Times" w:hAnsi="Times" w:cs="Times"/>
          <w:kern w:val="22"/>
          <w:szCs w:val="22"/>
          <w:lang w:val="fr-FR"/>
        </w:rPr>
        <w:t> </w:t>
      </w:r>
      <w:r>
        <w:rPr>
          <w:rFonts w:ascii="Times" w:eastAsia="Times" w:hAnsi="Times" w:cs="Times"/>
          <w:kern w:val="22"/>
          <w:szCs w:val="22"/>
          <w:lang w:val="fr-FR"/>
        </w:rPr>
        <w:t xml:space="preserve">; e) inclure des indicateurs simples et facilement mesurables pour faciliter l’examen des progrès accomplis dans l’application du Protocole. </w:t>
      </w:r>
      <w:r>
        <w:rPr>
          <w:kern w:val="22"/>
          <w:szCs w:val="22"/>
          <w:lang w:val="fr-FR"/>
        </w:rPr>
        <w:t>Le Secrétariat a également tenu compte des orientations fournies dans la décision CP-VIII/15 sur la rationalisation, la simplification et la mesurabilité des indicateurs.</w:t>
      </w:r>
    </w:p>
    <w:p w:rsidR="008E27BC" w:rsidRPr="00F10E52" w:rsidRDefault="00F10E52" w:rsidP="00DB3359">
      <w:pPr>
        <w:numPr>
          <w:ilvl w:val="0"/>
          <w:numId w:val="4"/>
        </w:numPr>
        <w:tabs>
          <w:tab w:val="clear" w:pos="360"/>
        </w:tabs>
        <w:rPr>
          <w:kern w:val="22"/>
          <w:lang w:val="fr-FR"/>
        </w:rPr>
      </w:pPr>
      <w:r>
        <w:rPr>
          <w:kern w:val="22"/>
          <w:szCs w:val="22"/>
          <w:lang w:val="fr-FR"/>
        </w:rPr>
        <w:t xml:space="preserve">Le projet de plan de mise en œuvre comprenait les éléments du Plan stratégique actuel qui, selon les avis soumis, demeuraient pertinents, ainsi que certains nouveaux éléments proposés. Le projet abordait des propositions visant à éviter certaines redondances dans le Plan stratégique actuel et prenait en compte </w:t>
      </w:r>
      <w:r>
        <w:rPr>
          <w:kern w:val="22"/>
          <w:szCs w:val="22"/>
          <w:lang w:val="fr-FR"/>
        </w:rPr>
        <w:lastRenderedPageBreak/>
        <w:t>des suggestions visant à se concentrer sur un nombre réduit de buts atteignables. Les buts ont été regroupés en deux domaines</w:t>
      </w:r>
      <w:r w:rsidR="008B7DA6">
        <w:rPr>
          <w:kern w:val="22"/>
          <w:szCs w:val="22"/>
          <w:lang w:val="fr-FR"/>
        </w:rPr>
        <w:t> </w:t>
      </w:r>
      <w:r>
        <w:rPr>
          <w:kern w:val="22"/>
          <w:szCs w:val="22"/>
          <w:lang w:val="fr-FR"/>
        </w:rPr>
        <w:t>: «</w:t>
      </w:r>
      <w:r w:rsidR="008B7DA6">
        <w:rPr>
          <w:kern w:val="22"/>
          <w:szCs w:val="22"/>
          <w:lang w:val="fr-FR"/>
        </w:rPr>
        <w:t> </w:t>
      </w:r>
      <w:r>
        <w:rPr>
          <w:kern w:val="22"/>
          <w:szCs w:val="22"/>
          <w:lang w:val="fr-FR"/>
        </w:rPr>
        <w:t>domaines de mise en œuvre</w:t>
      </w:r>
      <w:r w:rsidR="008B7DA6">
        <w:rPr>
          <w:kern w:val="22"/>
          <w:szCs w:val="22"/>
          <w:lang w:val="fr-FR"/>
        </w:rPr>
        <w:t> </w:t>
      </w:r>
      <w:r>
        <w:rPr>
          <w:kern w:val="22"/>
          <w:szCs w:val="22"/>
          <w:lang w:val="fr-FR"/>
        </w:rPr>
        <w:t>» et «</w:t>
      </w:r>
      <w:r w:rsidR="008B7DA6">
        <w:rPr>
          <w:kern w:val="22"/>
          <w:szCs w:val="22"/>
          <w:lang w:val="fr-FR"/>
        </w:rPr>
        <w:t> </w:t>
      </w:r>
      <w:r>
        <w:rPr>
          <w:kern w:val="22"/>
          <w:szCs w:val="22"/>
          <w:lang w:val="fr-FR"/>
        </w:rPr>
        <w:t>environnement favorable</w:t>
      </w:r>
      <w:r w:rsidR="008B7DA6">
        <w:rPr>
          <w:kern w:val="22"/>
          <w:szCs w:val="22"/>
          <w:lang w:val="fr-FR"/>
        </w:rPr>
        <w:t> </w:t>
      </w:r>
      <w:r>
        <w:rPr>
          <w:kern w:val="22"/>
          <w:szCs w:val="22"/>
          <w:lang w:val="fr-FR"/>
        </w:rPr>
        <w:t>»</w:t>
      </w:r>
      <w:r>
        <w:rPr>
          <w:rStyle w:val="FootnoteReference"/>
          <w:kern w:val="22"/>
          <w:u w:val="none"/>
          <w:vertAlign w:val="superscript"/>
        </w:rPr>
        <w:footnoteReference w:id="4"/>
      </w:r>
      <w:r w:rsidR="008B7DA6">
        <w:rPr>
          <w:kern w:val="22"/>
          <w:szCs w:val="22"/>
          <w:lang w:val="fr-FR"/>
        </w:rPr>
        <w:t>.</w:t>
      </w:r>
    </w:p>
    <w:p w:rsidR="00FA248A" w:rsidRPr="00C061D4" w:rsidRDefault="00F10E52" w:rsidP="00150B86">
      <w:pPr>
        <w:pStyle w:val="Heading2"/>
        <w:numPr>
          <w:ilvl w:val="0"/>
          <w:numId w:val="7"/>
        </w:numPr>
        <w:tabs>
          <w:tab w:val="clear" w:pos="720"/>
        </w:tabs>
        <w:rPr>
          <w:i/>
          <w:kern w:val="22"/>
        </w:rPr>
      </w:pPr>
      <w:r>
        <w:rPr>
          <w:kern w:val="22"/>
          <w:szCs w:val="22"/>
          <w:lang w:val="fr-FR"/>
        </w:rPr>
        <w:t>Discussions ouvertes en ligne</w:t>
      </w:r>
    </w:p>
    <w:p w:rsidR="00FA248A" w:rsidRPr="00F10E52" w:rsidRDefault="00F10E52" w:rsidP="00261115">
      <w:pPr>
        <w:numPr>
          <w:ilvl w:val="0"/>
          <w:numId w:val="4"/>
        </w:numPr>
        <w:tabs>
          <w:tab w:val="clear" w:pos="360"/>
        </w:tabs>
        <w:rPr>
          <w:kern w:val="22"/>
          <w:szCs w:val="22"/>
          <w:lang w:val="fr-FR"/>
        </w:rPr>
      </w:pPr>
      <w:r>
        <w:rPr>
          <w:kern w:val="22"/>
          <w:szCs w:val="22"/>
          <w:lang w:val="fr-FR"/>
        </w:rPr>
        <w:t xml:space="preserve">Des discussions ouvertes en ligne sur le projet de plan de mise en œuvre ont eu lieu </w:t>
      </w:r>
      <w:r w:rsidR="00744A18">
        <w:rPr>
          <w:kern w:val="22"/>
          <w:szCs w:val="22"/>
          <w:lang w:val="fr-FR"/>
        </w:rPr>
        <w:t>par l’intermédiaire du</w:t>
      </w:r>
      <w:r>
        <w:rPr>
          <w:kern w:val="22"/>
          <w:szCs w:val="22"/>
          <w:lang w:val="fr-FR"/>
        </w:rPr>
        <w:t xml:space="preserve"> Centre d’échange pour la prévention des risques biotechnologiques (CEPRB) du 8 au 22</w:t>
      </w:r>
      <w:r w:rsidR="008B7DA6">
        <w:rPr>
          <w:kern w:val="22"/>
          <w:szCs w:val="22"/>
          <w:lang w:val="fr-FR"/>
        </w:rPr>
        <w:t> </w:t>
      </w:r>
      <w:r>
        <w:rPr>
          <w:kern w:val="22"/>
          <w:szCs w:val="22"/>
          <w:lang w:val="fr-FR"/>
        </w:rPr>
        <w:t>juillet</w:t>
      </w:r>
      <w:r w:rsidR="008B7DA6">
        <w:rPr>
          <w:kern w:val="22"/>
          <w:szCs w:val="22"/>
          <w:lang w:val="fr-FR"/>
        </w:rPr>
        <w:t> 2019</w:t>
      </w:r>
      <w:r>
        <w:rPr>
          <w:rStyle w:val="FootnoteReference"/>
          <w:kern w:val="22"/>
          <w:sz w:val="22"/>
          <w:szCs w:val="22"/>
          <w:u w:val="none"/>
          <w:vertAlign w:val="superscript"/>
        </w:rPr>
        <w:footnoteReference w:id="5"/>
      </w:r>
      <w:r w:rsidR="008B7DA6" w:rsidRPr="008B7DA6">
        <w:rPr>
          <w:kern w:val="22"/>
          <w:szCs w:val="22"/>
          <w:lang w:val="fr-FR"/>
        </w:rPr>
        <w:t>.</w:t>
      </w:r>
      <w:r>
        <w:rPr>
          <w:kern w:val="22"/>
          <w:szCs w:val="22"/>
          <w:vertAlign w:val="superscript"/>
          <w:lang w:val="fr-FR"/>
        </w:rPr>
        <w:t xml:space="preserve"> </w:t>
      </w:r>
      <w:r>
        <w:rPr>
          <w:kern w:val="22"/>
          <w:szCs w:val="22"/>
          <w:lang w:val="fr-FR"/>
        </w:rPr>
        <w:t>Au total, 109</w:t>
      </w:r>
      <w:r w:rsidR="008B7DA6">
        <w:rPr>
          <w:kern w:val="22"/>
          <w:szCs w:val="22"/>
          <w:lang w:val="fr-FR"/>
        </w:rPr>
        <w:t> </w:t>
      </w:r>
      <w:r>
        <w:rPr>
          <w:kern w:val="22"/>
          <w:szCs w:val="22"/>
          <w:lang w:val="fr-FR"/>
        </w:rPr>
        <w:t>participants de 28</w:t>
      </w:r>
      <w:r w:rsidR="008B7DA6">
        <w:rPr>
          <w:kern w:val="22"/>
          <w:szCs w:val="22"/>
          <w:lang w:val="fr-FR"/>
        </w:rPr>
        <w:t> </w:t>
      </w:r>
      <w:r>
        <w:rPr>
          <w:kern w:val="22"/>
          <w:szCs w:val="22"/>
          <w:lang w:val="fr-FR"/>
        </w:rPr>
        <w:t>Parties, 4</w:t>
      </w:r>
      <w:r w:rsidR="008B7DA6">
        <w:rPr>
          <w:kern w:val="22"/>
          <w:szCs w:val="22"/>
          <w:lang w:val="fr-FR"/>
        </w:rPr>
        <w:t> </w:t>
      </w:r>
      <w:r>
        <w:rPr>
          <w:kern w:val="22"/>
          <w:szCs w:val="22"/>
          <w:lang w:val="fr-FR"/>
        </w:rPr>
        <w:t>non-Parties et 11</w:t>
      </w:r>
      <w:r w:rsidR="008B7DA6">
        <w:rPr>
          <w:kern w:val="22"/>
          <w:szCs w:val="22"/>
          <w:lang w:val="fr-FR"/>
        </w:rPr>
        <w:t> </w:t>
      </w:r>
      <w:r>
        <w:rPr>
          <w:kern w:val="22"/>
          <w:szCs w:val="22"/>
          <w:lang w:val="fr-FR"/>
        </w:rPr>
        <w:t>organisations ont été désignés et enregistrés en tant q</w:t>
      </w:r>
      <w:r w:rsidR="008B7DA6">
        <w:rPr>
          <w:kern w:val="22"/>
          <w:szCs w:val="22"/>
          <w:lang w:val="fr-FR"/>
        </w:rPr>
        <w:t>ue participants aux discussions</w:t>
      </w:r>
      <w:r>
        <w:rPr>
          <w:kern w:val="22"/>
          <w:szCs w:val="22"/>
          <w:vertAlign w:val="superscript"/>
        </w:rPr>
        <w:footnoteReference w:id="6"/>
      </w:r>
      <w:r w:rsidR="008B7DA6" w:rsidRPr="008B7DA6">
        <w:rPr>
          <w:kern w:val="22"/>
          <w:szCs w:val="22"/>
          <w:lang w:val="fr-FR"/>
        </w:rPr>
        <w:t>.</w:t>
      </w:r>
    </w:p>
    <w:p w:rsidR="00FA248A" w:rsidRPr="00F10E52" w:rsidRDefault="00F10E52" w:rsidP="0085638D">
      <w:pPr>
        <w:numPr>
          <w:ilvl w:val="0"/>
          <w:numId w:val="4"/>
        </w:numPr>
        <w:tabs>
          <w:tab w:val="clear" w:pos="360"/>
        </w:tabs>
        <w:rPr>
          <w:kern w:val="22"/>
          <w:szCs w:val="22"/>
          <w:lang w:val="fr-FR"/>
        </w:rPr>
      </w:pPr>
      <w:r>
        <w:rPr>
          <w:kern w:val="22"/>
          <w:szCs w:val="22"/>
          <w:lang w:val="fr-FR"/>
        </w:rPr>
        <w:t>Les avis exprimés étaient généralement favorables au projet de plan de mise en œuvre, y compris à sa structure et à la division des buts entre «</w:t>
      </w:r>
      <w:r w:rsidR="008B7DA6">
        <w:rPr>
          <w:kern w:val="22"/>
          <w:szCs w:val="22"/>
          <w:lang w:val="fr-FR"/>
        </w:rPr>
        <w:t> </w:t>
      </w:r>
      <w:r>
        <w:rPr>
          <w:kern w:val="22"/>
          <w:szCs w:val="22"/>
          <w:lang w:val="fr-FR"/>
        </w:rPr>
        <w:t>domaines de mise en œuvre</w:t>
      </w:r>
      <w:r w:rsidR="008B7DA6">
        <w:rPr>
          <w:kern w:val="22"/>
          <w:szCs w:val="22"/>
          <w:lang w:val="fr-FR"/>
        </w:rPr>
        <w:t> »</w:t>
      </w:r>
      <w:r>
        <w:rPr>
          <w:kern w:val="22"/>
          <w:szCs w:val="22"/>
          <w:lang w:val="fr-FR"/>
        </w:rPr>
        <w:t xml:space="preserve"> et</w:t>
      </w:r>
      <w:r w:rsidR="008B7DA6">
        <w:rPr>
          <w:kern w:val="22"/>
          <w:szCs w:val="22"/>
          <w:lang w:val="fr-FR"/>
        </w:rPr>
        <w:t xml:space="preserve"> </w:t>
      </w:r>
      <w:r>
        <w:rPr>
          <w:kern w:val="22"/>
          <w:szCs w:val="22"/>
          <w:lang w:val="fr-FR"/>
        </w:rPr>
        <w:t>«</w:t>
      </w:r>
      <w:r w:rsidR="008B7DA6">
        <w:rPr>
          <w:kern w:val="22"/>
          <w:szCs w:val="22"/>
          <w:lang w:val="fr-FR"/>
        </w:rPr>
        <w:t> </w:t>
      </w:r>
      <w:r>
        <w:rPr>
          <w:kern w:val="22"/>
          <w:szCs w:val="22"/>
          <w:lang w:val="fr-FR"/>
        </w:rPr>
        <w:t>environnement favorable</w:t>
      </w:r>
      <w:r w:rsidR="008B7DA6">
        <w:rPr>
          <w:kern w:val="22"/>
          <w:szCs w:val="22"/>
          <w:lang w:val="fr-FR"/>
        </w:rPr>
        <w:t> </w:t>
      </w:r>
      <w:r>
        <w:rPr>
          <w:kern w:val="22"/>
          <w:szCs w:val="22"/>
          <w:lang w:val="fr-FR"/>
        </w:rPr>
        <w:t>».</w:t>
      </w:r>
    </w:p>
    <w:p w:rsidR="00DB3359" w:rsidRPr="00F10E52" w:rsidRDefault="00F10E52" w:rsidP="00150B86">
      <w:pPr>
        <w:pStyle w:val="Heading2"/>
        <w:numPr>
          <w:ilvl w:val="0"/>
          <w:numId w:val="7"/>
        </w:numPr>
        <w:tabs>
          <w:tab w:val="clear" w:pos="720"/>
        </w:tabs>
        <w:rPr>
          <w:i/>
          <w:kern w:val="22"/>
          <w:lang w:val="fr-FR"/>
        </w:rPr>
      </w:pPr>
      <w:r>
        <w:rPr>
          <w:kern w:val="22"/>
          <w:szCs w:val="22"/>
          <w:lang w:val="fr-FR"/>
        </w:rPr>
        <w:t>Treizième réunion du Groupe de liaison</w:t>
      </w:r>
    </w:p>
    <w:p w:rsidR="00CF5B28" w:rsidRPr="00F10E52" w:rsidRDefault="00F10E52" w:rsidP="003222E7">
      <w:pPr>
        <w:numPr>
          <w:ilvl w:val="0"/>
          <w:numId w:val="4"/>
        </w:numPr>
        <w:tabs>
          <w:tab w:val="clear" w:pos="360"/>
        </w:tabs>
        <w:spacing w:after="200"/>
        <w:rPr>
          <w:kern w:val="22"/>
          <w:lang w:val="fr-FR"/>
        </w:rPr>
      </w:pPr>
      <w:r>
        <w:rPr>
          <w:kern w:val="22"/>
          <w:szCs w:val="22"/>
          <w:lang w:val="fr-FR"/>
        </w:rPr>
        <w:t>La treizième réunion du Groupe de liaison s’est tenue du 22 au 25</w:t>
      </w:r>
      <w:r w:rsidR="008B7DA6">
        <w:rPr>
          <w:kern w:val="22"/>
          <w:szCs w:val="22"/>
          <w:lang w:val="fr-FR"/>
        </w:rPr>
        <w:t> </w:t>
      </w:r>
      <w:r>
        <w:rPr>
          <w:kern w:val="22"/>
          <w:szCs w:val="22"/>
          <w:lang w:val="fr-FR"/>
        </w:rPr>
        <w:t>octobre</w:t>
      </w:r>
      <w:r w:rsidR="008B7DA6">
        <w:rPr>
          <w:kern w:val="22"/>
          <w:szCs w:val="22"/>
          <w:lang w:val="fr-FR"/>
        </w:rPr>
        <w:t> </w:t>
      </w:r>
      <w:r>
        <w:rPr>
          <w:kern w:val="22"/>
          <w:szCs w:val="22"/>
          <w:lang w:val="fr-FR"/>
        </w:rPr>
        <w:t>2019. En préparation de la réunion, la Secrétaire exécutive a révisé le projet de plan de mise en œuvre sur la base des contributions fournies lors des discussions ouvertes en ligne. Le projet de plan de mise en œuvre révisé a été présenté au Groupe de liaison dans le document CBD/CP/LG/2019/1/3. Un rapport des discussions en ligne a également été mis à disposition (CBD/CP/LG/2019/1/INF/2).</w:t>
      </w:r>
    </w:p>
    <w:p w:rsidR="0035264E" w:rsidRPr="00F10E52" w:rsidRDefault="00F10E52" w:rsidP="0035264E">
      <w:pPr>
        <w:numPr>
          <w:ilvl w:val="0"/>
          <w:numId w:val="4"/>
        </w:numPr>
        <w:tabs>
          <w:tab w:val="clear" w:pos="360"/>
        </w:tabs>
        <w:rPr>
          <w:kern w:val="22"/>
          <w:szCs w:val="22"/>
          <w:lang w:val="fr-FR"/>
        </w:rPr>
      </w:pPr>
      <w:r>
        <w:rPr>
          <w:kern w:val="22"/>
          <w:szCs w:val="22"/>
          <w:lang w:val="fr-FR"/>
        </w:rPr>
        <w:t xml:space="preserve">La Secrétaire exécutive a également élaboré un projet de plan d’action pour le renforcement des capacités, sur la base des avis soumis en </w:t>
      </w:r>
      <w:r w:rsidRPr="008A097C">
        <w:rPr>
          <w:kern w:val="22"/>
          <w:szCs w:val="22"/>
          <w:lang w:val="fr-FR"/>
        </w:rPr>
        <w:t xml:space="preserve">réponse à la </w:t>
      </w:r>
      <w:hyperlink r:id="rId21" w:history="1">
        <w:r w:rsidRPr="008A097C">
          <w:rPr>
            <w:color w:val="0000FF"/>
            <w:kern w:val="22"/>
            <w:szCs w:val="22"/>
            <w:u w:val="single"/>
            <w:lang w:val="fr-FR"/>
          </w:rPr>
          <w:t>notification</w:t>
        </w:r>
        <w:r w:rsidR="008B7DA6" w:rsidRPr="008A097C">
          <w:rPr>
            <w:color w:val="0000FF"/>
            <w:kern w:val="22"/>
            <w:szCs w:val="22"/>
            <w:u w:val="single"/>
            <w:lang w:val="fr-FR"/>
          </w:rPr>
          <w:t> </w:t>
        </w:r>
        <w:r w:rsidRPr="008A097C">
          <w:rPr>
            <w:color w:val="0000FF"/>
            <w:kern w:val="22"/>
            <w:szCs w:val="22"/>
            <w:u w:val="single"/>
            <w:lang w:val="fr-FR"/>
          </w:rPr>
          <w:t>2019-027</w:t>
        </w:r>
      </w:hyperlink>
      <w:r w:rsidRPr="008A097C">
        <w:rPr>
          <w:kern w:val="22"/>
          <w:szCs w:val="22"/>
          <w:lang w:val="fr-FR"/>
        </w:rPr>
        <w:t>, et en</w:t>
      </w:r>
      <w:r>
        <w:rPr>
          <w:kern w:val="22"/>
          <w:szCs w:val="22"/>
          <w:lang w:val="fr-FR"/>
        </w:rPr>
        <w:t xml:space="preserve"> tenant compte des activités pertinentes du Cadre et du Plan d’action pour le renforcement des capacités en vue de l’application effective du Protocole de Cartagena (2012-2020), ainsi que des activités décrites dans le programme de travail sur la sensibilisation, l’éducatio</w:t>
      </w:r>
      <w:r w:rsidR="008B7DA6">
        <w:rPr>
          <w:kern w:val="22"/>
          <w:szCs w:val="22"/>
          <w:lang w:val="fr-FR"/>
        </w:rPr>
        <w:t>n et la participation du public</w:t>
      </w:r>
      <w:r>
        <w:rPr>
          <w:rStyle w:val="FootnoteReference"/>
          <w:kern w:val="22"/>
          <w:szCs w:val="22"/>
          <w:u w:val="none"/>
          <w:vertAlign w:val="superscript"/>
        </w:rPr>
        <w:footnoteReference w:id="7"/>
      </w:r>
      <w:r w:rsidR="008B7DA6" w:rsidRPr="008B7DA6">
        <w:rPr>
          <w:kern w:val="22"/>
          <w:szCs w:val="22"/>
          <w:lang w:val="fr-FR"/>
        </w:rPr>
        <w:t>.</w:t>
      </w:r>
    </w:p>
    <w:p w:rsidR="00C2451E" w:rsidRPr="00C2451E" w:rsidRDefault="00F10E52" w:rsidP="001F58A9">
      <w:pPr>
        <w:numPr>
          <w:ilvl w:val="0"/>
          <w:numId w:val="4"/>
        </w:numPr>
        <w:tabs>
          <w:tab w:val="clear" w:pos="360"/>
        </w:tabs>
        <w:rPr>
          <w:lang w:val="fr-FR"/>
        </w:rPr>
      </w:pPr>
      <w:r w:rsidRPr="00C2451E">
        <w:rPr>
          <w:kern w:val="22"/>
          <w:szCs w:val="22"/>
          <w:lang w:val="fr-FR"/>
        </w:rPr>
        <w:t xml:space="preserve">Le projet de plan d’action pour le renforcement des capacités a été présenté conformément aux buts du projet révisé de plan de mise en œuvre </w:t>
      </w:r>
      <w:r w:rsidR="005B21D7">
        <w:rPr>
          <w:kern w:val="22"/>
          <w:szCs w:val="22"/>
          <w:lang w:val="fr-FR"/>
        </w:rPr>
        <w:t>afin de</w:t>
      </w:r>
      <w:r w:rsidRPr="00C2451E">
        <w:rPr>
          <w:kern w:val="22"/>
          <w:szCs w:val="22"/>
          <w:lang w:val="fr-FR"/>
        </w:rPr>
        <w:t xml:space="preserve"> montrer la complémentarité des deux plans et </w:t>
      </w:r>
      <w:r w:rsidR="005B21D7">
        <w:rPr>
          <w:kern w:val="22"/>
          <w:szCs w:val="22"/>
          <w:lang w:val="fr-FR"/>
        </w:rPr>
        <w:t xml:space="preserve">de </w:t>
      </w:r>
      <w:r w:rsidRPr="00C2451E">
        <w:rPr>
          <w:kern w:val="22"/>
          <w:szCs w:val="22"/>
          <w:lang w:val="fr-FR"/>
        </w:rPr>
        <w:t>souligner le lien entre les buts du plan de mise en œuvre et les activités de renforcement des capacités connexes nécessaires pour soutenir les Parties dans la réalisation de ces buts. Le projet de plan d’action pour le renforcement des capacités a été présenté au Groupe de liaison dans le document CBD/CP/LG/2019/1/4.</w:t>
      </w:r>
    </w:p>
    <w:p w:rsidR="00CB3657" w:rsidRPr="00C2451E" w:rsidRDefault="00F10E52" w:rsidP="001F58A9">
      <w:pPr>
        <w:numPr>
          <w:ilvl w:val="0"/>
          <w:numId w:val="4"/>
        </w:numPr>
        <w:tabs>
          <w:tab w:val="clear" w:pos="360"/>
        </w:tabs>
        <w:rPr>
          <w:lang w:val="fr-FR"/>
        </w:rPr>
      </w:pPr>
      <w:r w:rsidRPr="00C2451E">
        <w:rPr>
          <w:kern w:val="22"/>
          <w:szCs w:val="22"/>
          <w:lang w:val="fr-FR"/>
        </w:rPr>
        <w:t>Le Groupe de liaison a examiné à la fois le projet révisé de plan de mise en œuvre pour l’après-2020 et le projet de plan d’action pour le renforcement des capacités, et a fourni à la Secrétaire exécuti</w:t>
      </w:r>
      <w:r w:rsidR="008B7DA6" w:rsidRPr="00C2451E">
        <w:rPr>
          <w:kern w:val="22"/>
          <w:szCs w:val="22"/>
          <w:lang w:val="fr-FR"/>
        </w:rPr>
        <w:t xml:space="preserve">ve </w:t>
      </w:r>
      <w:r w:rsidR="00F44FCA" w:rsidRPr="00C2451E">
        <w:rPr>
          <w:kern w:val="22"/>
          <w:szCs w:val="22"/>
          <w:lang w:val="fr-FR"/>
        </w:rPr>
        <w:t xml:space="preserve">des avis </w:t>
      </w:r>
      <w:r w:rsidR="008B7DA6" w:rsidRPr="00C2451E">
        <w:rPr>
          <w:kern w:val="22"/>
          <w:szCs w:val="22"/>
          <w:lang w:val="fr-FR"/>
        </w:rPr>
        <w:t>sur leur développement futur</w:t>
      </w:r>
      <w:r>
        <w:rPr>
          <w:kern w:val="22"/>
          <w:szCs w:val="22"/>
          <w:vertAlign w:val="superscript"/>
        </w:rPr>
        <w:footnoteReference w:id="8"/>
      </w:r>
      <w:r w:rsidR="008B7DA6" w:rsidRPr="00C2451E">
        <w:rPr>
          <w:kern w:val="22"/>
          <w:szCs w:val="22"/>
          <w:lang w:val="fr-FR"/>
        </w:rPr>
        <w:t>.</w:t>
      </w:r>
    </w:p>
    <w:p w:rsidR="00A95664" w:rsidRPr="00F10E52" w:rsidRDefault="00F10E52" w:rsidP="00150B86">
      <w:pPr>
        <w:pStyle w:val="Heading2"/>
        <w:numPr>
          <w:ilvl w:val="0"/>
          <w:numId w:val="7"/>
        </w:numPr>
        <w:tabs>
          <w:tab w:val="clear" w:pos="720"/>
        </w:tabs>
        <w:rPr>
          <w:i/>
          <w:kern w:val="22"/>
          <w:lang w:val="fr-FR"/>
        </w:rPr>
      </w:pPr>
      <w:r>
        <w:rPr>
          <w:kern w:val="22"/>
          <w:szCs w:val="22"/>
          <w:lang w:val="fr-FR"/>
        </w:rPr>
        <w:t xml:space="preserve">Examen du projet de plan de mise en œuvre et de plan d’action pour le renforcement des capacités </w:t>
      </w:r>
    </w:p>
    <w:p w:rsidR="00A95664" w:rsidRPr="00F10E52" w:rsidRDefault="00F10E52" w:rsidP="00A95664">
      <w:pPr>
        <w:numPr>
          <w:ilvl w:val="0"/>
          <w:numId w:val="4"/>
        </w:numPr>
        <w:tabs>
          <w:tab w:val="clear" w:pos="360"/>
        </w:tabs>
        <w:rPr>
          <w:kern w:val="22"/>
          <w:lang w:val="fr-FR"/>
        </w:rPr>
      </w:pPr>
      <w:r>
        <w:rPr>
          <w:kern w:val="22"/>
          <w:szCs w:val="22"/>
          <w:lang w:val="fr-FR"/>
        </w:rPr>
        <w:t>Prenant en considération les conseils du Groupe de liaison, le Secrétariat a de nouveau révisé le projet de plan de mise en œuvre et de plan d’action pour le renforcement des capacités, en ajoutant un texte d’introduction conjoint et en présentant côte à côte les tableaux des deux plans afin de montrer leur cohérence et leur complémentarit</w:t>
      </w:r>
      <w:r w:rsidR="00A20ADB">
        <w:rPr>
          <w:kern w:val="22"/>
          <w:szCs w:val="22"/>
          <w:lang w:val="fr-FR"/>
        </w:rPr>
        <w:t>é et d’éviter toute redondance.</w:t>
      </w:r>
    </w:p>
    <w:p w:rsidR="0085638D" w:rsidRPr="00F10E52" w:rsidRDefault="00F10E52" w:rsidP="009208FD">
      <w:pPr>
        <w:numPr>
          <w:ilvl w:val="0"/>
          <w:numId w:val="4"/>
        </w:numPr>
        <w:tabs>
          <w:tab w:val="clear" w:pos="360"/>
        </w:tabs>
        <w:rPr>
          <w:kern w:val="22"/>
          <w:szCs w:val="22"/>
          <w:lang w:val="fr-FR"/>
        </w:rPr>
      </w:pPr>
      <w:r>
        <w:rPr>
          <w:kern w:val="22"/>
          <w:szCs w:val="22"/>
          <w:lang w:val="fr-FR"/>
        </w:rPr>
        <w:lastRenderedPageBreak/>
        <w:t>Les projets de plans ont été mis en ligne en décembre</w:t>
      </w:r>
      <w:r w:rsidR="008B7DA6">
        <w:rPr>
          <w:kern w:val="22"/>
          <w:szCs w:val="22"/>
          <w:lang w:val="fr-FR"/>
        </w:rPr>
        <w:t> </w:t>
      </w:r>
      <w:r>
        <w:rPr>
          <w:kern w:val="22"/>
          <w:szCs w:val="22"/>
          <w:lang w:val="fr-FR"/>
        </w:rPr>
        <w:t xml:space="preserve">2019 et les Parties, </w:t>
      </w:r>
      <w:r w:rsidR="005B21D7">
        <w:rPr>
          <w:kern w:val="22"/>
          <w:szCs w:val="22"/>
          <w:lang w:val="fr-FR"/>
        </w:rPr>
        <w:t xml:space="preserve">les </w:t>
      </w:r>
      <w:r>
        <w:rPr>
          <w:kern w:val="22"/>
          <w:szCs w:val="22"/>
          <w:lang w:val="fr-FR"/>
        </w:rPr>
        <w:t>autres gouvernements, les peuples autochtones et les communautés locales ainsi que les organisations compétentes ont été invités à les examiner et à transmettre le</w:t>
      </w:r>
      <w:r w:rsidR="008B7DA6">
        <w:rPr>
          <w:kern w:val="22"/>
          <w:szCs w:val="22"/>
          <w:lang w:val="fr-FR"/>
        </w:rPr>
        <w:t>urs commentaires au Secrétariat</w:t>
      </w:r>
      <w:r>
        <w:rPr>
          <w:rStyle w:val="FootnoteReference"/>
          <w:kern w:val="22"/>
          <w:u w:val="none"/>
          <w:vertAlign w:val="superscript"/>
        </w:rPr>
        <w:footnoteReference w:id="9"/>
      </w:r>
      <w:r w:rsidR="008B7DA6" w:rsidRPr="008B7DA6">
        <w:rPr>
          <w:kern w:val="22"/>
          <w:szCs w:val="22"/>
          <w:lang w:val="fr-FR"/>
        </w:rPr>
        <w:t>.</w:t>
      </w:r>
      <w:r>
        <w:rPr>
          <w:kern w:val="22"/>
          <w:szCs w:val="22"/>
          <w:lang w:val="fr-FR"/>
        </w:rPr>
        <w:t xml:space="preserve"> Vingt-cinq </w:t>
      </w:r>
      <w:r w:rsidR="008641BF">
        <w:rPr>
          <w:kern w:val="22"/>
          <w:szCs w:val="22"/>
          <w:lang w:val="fr-FR"/>
        </w:rPr>
        <w:t>avis ont été reçu</w:t>
      </w:r>
      <w:r>
        <w:rPr>
          <w:kern w:val="22"/>
          <w:szCs w:val="22"/>
          <w:lang w:val="fr-FR"/>
        </w:rPr>
        <w:t>s en réponse, dont 15 provenaient de Parties, 3 d’autres gou</w:t>
      </w:r>
      <w:r w:rsidR="005B21D7">
        <w:rPr>
          <w:kern w:val="22"/>
          <w:szCs w:val="22"/>
          <w:lang w:val="fr-FR"/>
        </w:rPr>
        <w:t>vernements et 7 </w:t>
      </w:r>
      <w:r w:rsidR="008B7DA6">
        <w:rPr>
          <w:kern w:val="22"/>
          <w:szCs w:val="22"/>
          <w:lang w:val="fr-FR"/>
        </w:rPr>
        <w:t>d’organisations</w:t>
      </w:r>
      <w:r>
        <w:rPr>
          <w:rStyle w:val="FootnoteReference"/>
          <w:kern w:val="22"/>
          <w:szCs w:val="22"/>
          <w:u w:val="none"/>
          <w:vertAlign w:val="superscript"/>
        </w:rPr>
        <w:footnoteReference w:id="10"/>
      </w:r>
      <w:r w:rsidR="008B7DA6" w:rsidRPr="008B7DA6">
        <w:rPr>
          <w:kern w:val="22"/>
          <w:szCs w:val="22"/>
          <w:lang w:val="fr-FR"/>
        </w:rPr>
        <w:t>.</w:t>
      </w:r>
      <w:r>
        <w:rPr>
          <w:kern w:val="22"/>
          <w:szCs w:val="22"/>
          <w:vertAlign w:val="superscript"/>
          <w:lang w:val="fr-FR"/>
        </w:rPr>
        <w:t xml:space="preserve"> </w:t>
      </w:r>
    </w:p>
    <w:p w:rsidR="0085638D" w:rsidRPr="00F10E52" w:rsidRDefault="00F10E52" w:rsidP="00150B86">
      <w:pPr>
        <w:pStyle w:val="Heading2"/>
        <w:numPr>
          <w:ilvl w:val="0"/>
          <w:numId w:val="7"/>
        </w:numPr>
        <w:tabs>
          <w:tab w:val="clear" w:pos="720"/>
        </w:tabs>
        <w:rPr>
          <w:kern w:val="22"/>
          <w:szCs w:val="22"/>
          <w:lang w:val="fr-FR"/>
        </w:rPr>
      </w:pPr>
      <w:r>
        <w:rPr>
          <w:kern w:val="22"/>
          <w:szCs w:val="22"/>
          <w:lang w:val="fr-FR"/>
        </w:rPr>
        <w:t>Quatorzième réunion du Groupe de liaison</w:t>
      </w:r>
    </w:p>
    <w:p w:rsidR="00AD6892" w:rsidRPr="00F10E52" w:rsidRDefault="00F10E52" w:rsidP="00B73B2A">
      <w:pPr>
        <w:numPr>
          <w:ilvl w:val="0"/>
          <w:numId w:val="4"/>
        </w:numPr>
        <w:tabs>
          <w:tab w:val="clear" w:pos="360"/>
        </w:tabs>
        <w:rPr>
          <w:kern w:val="22"/>
          <w:lang w:val="fr-FR"/>
        </w:rPr>
      </w:pPr>
      <w:r>
        <w:rPr>
          <w:kern w:val="22"/>
          <w:szCs w:val="22"/>
          <w:lang w:val="fr-FR"/>
        </w:rPr>
        <w:t xml:space="preserve">À partir des </w:t>
      </w:r>
      <w:r w:rsidR="005B21D7">
        <w:rPr>
          <w:kern w:val="22"/>
          <w:szCs w:val="22"/>
          <w:lang w:val="fr-FR"/>
        </w:rPr>
        <w:t>avis reçu</w:t>
      </w:r>
      <w:r>
        <w:rPr>
          <w:kern w:val="22"/>
          <w:szCs w:val="22"/>
          <w:lang w:val="fr-FR"/>
        </w:rPr>
        <w:t>s dans le cadre du processus d’examen, le Secrétariat a révisé le projet de plan de mise en œuvre et le plan d’action pour le renforcement des capacités, principalement pour clarifier les termes et améliorer la cohérence. Le projet révisé a été présenté au Groupe de liaison à sa quatorzième réunion qui s’est tenue du 20 au 23</w:t>
      </w:r>
      <w:r w:rsidR="008B7DA6">
        <w:rPr>
          <w:kern w:val="22"/>
          <w:szCs w:val="22"/>
          <w:lang w:val="fr-FR"/>
        </w:rPr>
        <w:t> </w:t>
      </w:r>
      <w:r>
        <w:rPr>
          <w:kern w:val="22"/>
          <w:szCs w:val="22"/>
          <w:lang w:val="fr-FR"/>
        </w:rPr>
        <w:t>avril</w:t>
      </w:r>
      <w:r w:rsidR="008B7DA6">
        <w:rPr>
          <w:kern w:val="22"/>
          <w:szCs w:val="22"/>
          <w:lang w:val="fr-FR"/>
        </w:rPr>
        <w:t> </w:t>
      </w:r>
      <w:r w:rsidR="00A20ADB">
        <w:rPr>
          <w:kern w:val="22"/>
          <w:szCs w:val="22"/>
          <w:lang w:val="fr-FR"/>
        </w:rPr>
        <w:t>2020.</w:t>
      </w:r>
    </w:p>
    <w:p w:rsidR="0085638D" w:rsidRPr="00F10E52" w:rsidRDefault="00F10E52" w:rsidP="009208FD">
      <w:pPr>
        <w:numPr>
          <w:ilvl w:val="0"/>
          <w:numId w:val="4"/>
        </w:numPr>
        <w:tabs>
          <w:tab w:val="clear" w:pos="360"/>
        </w:tabs>
        <w:rPr>
          <w:kern w:val="22"/>
          <w:lang w:val="fr-FR"/>
        </w:rPr>
      </w:pPr>
      <w:r>
        <w:rPr>
          <w:kern w:val="22"/>
          <w:szCs w:val="22"/>
          <w:lang w:val="fr-FR"/>
        </w:rPr>
        <w:t>Conformément à la décision</w:t>
      </w:r>
      <w:r w:rsidR="008B7DA6">
        <w:rPr>
          <w:kern w:val="22"/>
          <w:szCs w:val="22"/>
          <w:lang w:val="fr-FR"/>
        </w:rPr>
        <w:t> </w:t>
      </w:r>
      <w:r>
        <w:rPr>
          <w:kern w:val="22"/>
          <w:szCs w:val="22"/>
          <w:lang w:val="fr-FR"/>
        </w:rPr>
        <w:t xml:space="preserve">CP-9/3, le Groupe de liaison a axé son examen sur le plan d’action pour le renforcement des capacités, en tenant également compte des informations des quatrièmes rapports nationaux et des résultats préliminaires </w:t>
      </w:r>
      <w:r w:rsidR="00ED12ED">
        <w:rPr>
          <w:kern w:val="22"/>
          <w:szCs w:val="22"/>
          <w:lang w:val="fr-FR"/>
        </w:rPr>
        <w:t>du</w:t>
      </w:r>
      <w:r w:rsidR="007F10D2">
        <w:rPr>
          <w:kern w:val="22"/>
          <w:szCs w:val="22"/>
          <w:lang w:val="fr-FR"/>
        </w:rPr>
        <w:t xml:space="preserve"> quatrième</w:t>
      </w:r>
      <w:r>
        <w:rPr>
          <w:kern w:val="22"/>
          <w:szCs w:val="22"/>
          <w:lang w:val="fr-FR"/>
        </w:rPr>
        <w:t xml:space="preserve"> </w:t>
      </w:r>
      <w:r w:rsidR="00ED12ED">
        <w:rPr>
          <w:kern w:val="22"/>
          <w:szCs w:val="22"/>
          <w:lang w:val="fr-FR"/>
        </w:rPr>
        <w:t>exercice d’</w:t>
      </w:r>
      <w:r>
        <w:rPr>
          <w:kern w:val="22"/>
          <w:szCs w:val="22"/>
          <w:lang w:val="fr-FR"/>
        </w:rPr>
        <w:t xml:space="preserve">évaluation et </w:t>
      </w:r>
      <w:r w:rsidR="00ED12ED">
        <w:rPr>
          <w:kern w:val="22"/>
          <w:szCs w:val="22"/>
          <w:lang w:val="fr-FR"/>
        </w:rPr>
        <w:t>d’</w:t>
      </w:r>
      <w:r>
        <w:rPr>
          <w:kern w:val="22"/>
          <w:szCs w:val="22"/>
          <w:lang w:val="fr-FR"/>
        </w:rPr>
        <w:t>examen du Protocole et de l’évaluation finale du Plan stratégique. Il a fourni des avis supplémentaires à la S</w:t>
      </w:r>
      <w:r w:rsidR="008B7DA6">
        <w:rPr>
          <w:kern w:val="22"/>
          <w:szCs w:val="22"/>
          <w:lang w:val="fr-FR"/>
        </w:rPr>
        <w:t>ecrétaire exécutive à cet égard</w:t>
      </w:r>
      <w:r>
        <w:rPr>
          <w:rStyle w:val="FootnoteReference"/>
          <w:kern w:val="22"/>
          <w:szCs w:val="22"/>
          <w:u w:val="none"/>
          <w:vertAlign w:val="superscript"/>
        </w:rPr>
        <w:footnoteReference w:id="11"/>
      </w:r>
      <w:r w:rsidR="008B7DA6" w:rsidRPr="008B7DA6">
        <w:rPr>
          <w:kern w:val="22"/>
          <w:szCs w:val="22"/>
          <w:lang w:val="fr-FR"/>
        </w:rPr>
        <w:t>.</w:t>
      </w:r>
    </w:p>
    <w:p w:rsidR="008F506B" w:rsidRPr="00F10E52" w:rsidRDefault="00F10E52" w:rsidP="00150B86">
      <w:pPr>
        <w:pStyle w:val="Heading2"/>
        <w:numPr>
          <w:ilvl w:val="0"/>
          <w:numId w:val="7"/>
        </w:numPr>
        <w:tabs>
          <w:tab w:val="clear" w:pos="720"/>
        </w:tabs>
        <w:rPr>
          <w:kern w:val="22"/>
          <w:szCs w:val="22"/>
          <w:lang w:val="fr-FR"/>
        </w:rPr>
      </w:pPr>
      <w:r>
        <w:rPr>
          <w:kern w:val="22"/>
          <w:szCs w:val="22"/>
          <w:lang w:val="fr-FR"/>
        </w:rPr>
        <w:t>Préparation du projet final d</w:t>
      </w:r>
      <w:r w:rsidR="008641BF">
        <w:rPr>
          <w:kern w:val="22"/>
          <w:szCs w:val="22"/>
          <w:lang w:val="fr-FR"/>
        </w:rPr>
        <w:t>u</w:t>
      </w:r>
      <w:r>
        <w:rPr>
          <w:kern w:val="22"/>
          <w:szCs w:val="22"/>
          <w:lang w:val="fr-FR"/>
        </w:rPr>
        <w:t xml:space="preserve"> plan de mise en œuvre et d</w:t>
      </w:r>
      <w:r w:rsidR="008641BF">
        <w:rPr>
          <w:kern w:val="22"/>
          <w:szCs w:val="22"/>
          <w:lang w:val="fr-FR"/>
        </w:rPr>
        <w:t>u</w:t>
      </w:r>
      <w:r>
        <w:rPr>
          <w:kern w:val="22"/>
          <w:szCs w:val="22"/>
          <w:lang w:val="fr-FR"/>
        </w:rPr>
        <w:t xml:space="preserve"> plan d’action pou</w:t>
      </w:r>
      <w:r w:rsidR="00A20ADB">
        <w:rPr>
          <w:kern w:val="22"/>
          <w:szCs w:val="22"/>
          <w:lang w:val="fr-FR"/>
        </w:rPr>
        <w:t>r le renforcement des capacités</w:t>
      </w:r>
    </w:p>
    <w:p w:rsidR="008F506B" w:rsidRPr="00F10E52" w:rsidRDefault="00F10E52" w:rsidP="00150B86">
      <w:pPr>
        <w:numPr>
          <w:ilvl w:val="0"/>
          <w:numId w:val="4"/>
        </w:numPr>
        <w:tabs>
          <w:tab w:val="clear" w:pos="360"/>
        </w:tabs>
        <w:rPr>
          <w:kern w:val="22"/>
          <w:szCs w:val="22"/>
          <w:lang w:val="fr-FR"/>
        </w:rPr>
      </w:pPr>
      <w:r>
        <w:rPr>
          <w:kern w:val="22"/>
          <w:szCs w:val="22"/>
          <w:lang w:val="fr-FR"/>
        </w:rPr>
        <w:t>À partir des contributions fournies par le Groupe de liaison à sa quatorzième réunion, le Secrétariat a élaboré le projet final du plan de mise en œuvre du Protocole de Cartagena et du plan d’action pour le renforcement des capacités, figurant en annexe de la présente note, pour examen par l’Organe subsidiaire chargé de l’appli</w:t>
      </w:r>
      <w:r w:rsidR="00A20ADB">
        <w:rPr>
          <w:kern w:val="22"/>
          <w:szCs w:val="22"/>
          <w:lang w:val="fr-FR"/>
        </w:rPr>
        <w:t>cation, à sa troisième réunion.</w:t>
      </w:r>
    </w:p>
    <w:p w:rsidR="00323EA4" w:rsidRPr="00F10E52" w:rsidRDefault="00F10E52" w:rsidP="006D31F5">
      <w:pPr>
        <w:pStyle w:val="Heading1"/>
        <w:numPr>
          <w:ilvl w:val="0"/>
          <w:numId w:val="5"/>
        </w:numPr>
        <w:tabs>
          <w:tab w:val="clear" w:pos="720"/>
        </w:tabs>
        <w:jc w:val="left"/>
        <w:rPr>
          <w:kern w:val="22"/>
          <w:lang w:val="fr-FR"/>
        </w:rPr>
      </w:pPr>
      <w:r>
        <w:rPr>
          <w:bCs/>
          <w:kern w:val="22"/>
          <w:szCs w:val="22"/>
          <w:lang w:val="fr-FR"/>
        </w:rPr>
        <w:t>Lien avec le cadre mondial de la biodiversité pour l’après-2020 et les processus connexes</w:t>
      </w:r>
    </w:p>
    <w:p w:rsidR="00F87AED" w:rsidRPr="00F10E52" w:rsidRDefault="00F10E52" w:rsidP="00F87AED">
      <w:pPr>
        <w:pStyle w:val="Para1"/>
        <w:numPr>
          <w:ilvl w:val="0"/>
          <w:numId w:val="4"/>
        </w:numPr>
        <w:tabs>
          <w:tab w:val="clear" w:pos="360"/>
        </w:tabs>
        <w:rPr>
          <w:kern w:val="22"/>
          <w:szCs w:val="22"/>
          <w:lang w:val="fr-FR"/>
        </w:rPr>
      </w:pPr>
      <w:r>
        <w:rPr>
          <w:kern w:val="22"/>
          <w:szCs w:val="22"/>
          <w:lang w:val="fr-FR"/>
        </w:rPr>
        <w:t>Dans la décision</w:t>
      </w:r>
      <w:r w:rsidR="008B7DA6">
        <w:rPr>
          <w:kern w:val="22"/>
          <w:szCs w:val="22"/>
          <w:lang w:val="fr-FR"/>
        </w:rPr>
        <w:t> </w:t>
      </w:r>
      <w:r>
        <w:rPr>
          <w:kern w:val="22"/>
          <w:szCs w:val="22"/>
          <w:lang w:val="fr-FR"/>
        </w:rPr>
        <w:t>CP-9/7, la Conférence des Parties siégeant en tant que réunion des Parties a accueilli avec satisfaction la décision 14/34 de la Conférence des Parties et a souligné l’importance d’inclure la prévention des risques biotechnologiques dans le cadre mondial de la biodiversité pour l’après-2020 et a décidé que le plan de mise en œuvre spécifique du Protocole de Cartagena pour l’après-2020 devrait être basé sur le cadre mondial de la biodiversité pou</w:t>
      </w:r>
      <w:r w:rsidR="00A20ADB">
        <w:rPr>
          <w:kern w:val="22"/>
          <w:szCs w:val="22"/>
          <w:lang w:val="fr-FR"/>
        </w:rPr>
        <w:t>r l’après-2020 et le compléter.</w:t>
      </w:r>
    </w:p>
    <w:p w:rsidR="009C7797" w:rsidRPr="00F10E52" w:rsidRDefault="00F10E52" w:rsidP="00713057">
      <w:pPr>
        <w:pStyle w:val="Para1"/>
        <w:numPr>
          <w:ilvl w:val="0"/>
          <w:numId w:val="4"/>
        </w:numPr>
        <w:tabs>
          <w:tab w:val="clear" w:pos="360"/>
        </w:tabs>
        <w:rPr>
          <w:kern w:val="22"/>
          <w:szCs w:val="22"/>
          <w:shd w:val="clear" w:color="auto" w:fill="FFFFFF"/>
          <w:lang w:val="fr-FR"/>
        </w:rPr>
      </w:pPr>
      <w:r>
        <w:rPr>
          <w:kern w:val="22"/>
          <w:szCs w:val="22"/>
          <w:lang w:val="fr-FR"/>
        </w:rPr>
        <w:t>Conformément à la décision</w:t>
      </w:r>
      <w:r w:rsidR="008B7DA6">
        <w:rPr>
          <w:kern w:val="22"/>
          <w:szCs w:val="22"/>
          <w:lang w:val="fr-FR"/>
        </w:rPr>
        <w:t> </w:t>
      </w:r>
      <w:r>
        <w:rPr>
          <w:kern w:val="22"/>
          <w:szCs w:val="22"/>
          <w:lang w:val="fr-FR"/>
        </w:rPr>
        <w:t>CP-9/7, le Groupe de liaison, à sa treizième réunion, a contribué à l’élaboration des éléments pertinents de la composante de prévention des risques biotechnologiques dans le cadre mondial de la biodiversité pour l’après-2020.</w:t>
      </w:r>
      <w:r>
        <w:rPr>
          <w:kern w:val="22"/>
          <w:szCs w:val="22"/>
          <w:shd w:val="clear" w:color="auto" w:fill="FFFFFF"/>
          <w:lang w:val="fr-FR"/>
        </w:rPr>
        <w:t xml:space="preserve"> Les éléments suggérés pour la composante prévention des risques biotechnologiques ont été transmis aux coprésidents du Groupe de travail à composition non limitée sur le cadre mondial de la biodiversité pour l’après-2020, qui les ont utilisés pour élaborer l’avant-projet du cadre mondial de la biodiversité pour l’après-2020. L’avant-projet a été discuté à la deuxième réunion du Groupe de travail à composition non limitée, qui s’est tenue à Rome du 24 au 29</w:t>
      </w:r>
      <w:r w:rsidR="008B7DA6">
        <w:rPr>
          <w:kern w:val="22"/>
          <w:szCs w:val="22"/>
          <w:shd w:val="clear" w:color="auto" w:fill="FFFFFF"/>
          <w:lang w:val="fr-FR"/>
        </w:rPr>
        <w:t> </w:t>
      </w:r>
      <w:r>
        <w:rPr>
          <w:kern w:val="22"/>
          <w:szCs w:val="22"/>
          <w:shd w:val="clear" w:color="auto" w:fill="FFFFFF"/>
          <w:lang w:val="fr-FR"/>
        </w:rPr>
        <w:t>février</w:t>
      </w:r>
      <w:r w:rsidR="008B7DA6">
        <w:rPr>
          <w:kern w:val="22"/>
          <w:szCs w:val="22"/>
          <w:shd w:val="clear" w:color="auto" w:fill="FFFFFF"/>
          <w:lang w:val="fr-FR"/>
        </w:rPr>
        <w:t> </w:t>
      </w:r>
      <w:r w:rsidR="00A20ADB">
        <w:rPr>
          <w:kern w:val="22"/>
          <w:szCs w:val="22"/>
          <w:shd w:val="clear" w:color="auto" w:fill="FFFFFF"/>
          <w:lang w:val="fr-FR"/>
        </w:rPr>
        <w:t>2020.</w:t>
      </w:r>
    </w:p>
    <w:p w:rsidR="000735D6" w:rsidRPr="00F10E52" w:rsidRDefault="00F10E52" w:rsidP="00E773E2">
      <w:pPr>
        <w:pStyle w:val="Para1"/>
        <w:numPr>
          <w:ilvl w:val="0"/>
          <w:numId w:val="4"/>
        </w:numPr>
        <w:tabs>
          <w:tab w:val="clear" w:pos="360"/>
        </w:tabs>
        <w:rPr>
          <w:kern w:val="22"/>
          <w:szCs w:val="22"/>
          <w:shd w:val="clear" w:color="auto" w:fill="FFFFFF"/>
          <w:lang w:val="fr-FR"/>
        </w:rPr>
      </w:pPr>
      <w:r>
        <w:rPr>
          <w:kern w:val="22"/>
          <w:szCs w:val="22"/>
          <w:lang w:val="fr-FR"/>
        </w:rPr>
        <w:t xml:space="preserve">Le cadre mondial de la biodiversité pour l’après-2020, y compris son objectif sur la prévention des risques biotechnologiques, est en cours de révision par les coprésidents à la lumière des discussions du Groupe de travail à composition non limitée. De plus amples informations sur le processus vers le cadre mondial de la biodiversité pour l’après-2020 et les points connexes de l’ordre du jour à examiner à la </w:t>
      </w:r>
      <w:r>
        <w:rPr>
          <w:kern w:val="22"/>
          <w:szCs w:val="22"/>
          <w:lang w:val="fr-FR"/>
        </w:rPr>
        <w:lastRenderedPageBreak/>
        <w:t>troisième réunion de l’Organe subsidiaire chargé de l’application sont fournies dans le document CBD/SBI/3/4.</w:t>
      </w:r>
    </w:p>
    <w:p w:rsidR="00D33BB6" w:rsidRPr="00F10E52" w:rsidRDefault="00F10E52" w:rsidP="00EC6FE6">
      <w:pPr>
        <w:pStyle w:val="Para1"/>
        <w:numPr>
          <w:ilvl w:val="0"/>
          <w:numId w:val="4"/>
        </w:numPr>
        <w:tabs>
          <w:tab w:val="clear" w:pos="360"/>
        </w:tabs>
        <w:rPr>
          <w:kern w:val="22"/>
          <w:szCs w:val="22"/>
          <w:shd w:val="clear" w:color="auto" w:fill="FFFFFF"/>
          <w:lang w:val="fr-FR"/>
        </w:rPr>
      </w:pPr>
      <w:r>
        <w:rPr>
          <w:kern w:val="22"/>
          <w:szCs w:val="22"/>
          <w:shd w:val="clear" w:color="auto" w:fill="FFFFFF"/>
          <w:lang w:val="fr-FR"/>
        </w:rPr>
        <w:t xml:space="preserve">L’inclusion de la prévention des risques biotechnologiques dans le cadre mondial de la biodiversité pour l’après-2020 souligne le lien entre la prévention des risques biotechnologiques et la biodiversité. Il aide également à renforcer le lien entre la prévention des risques biotechnologiques et les cadres plus larges, </w:t>
      </w:r>
      <w:r w:rsidR="000D2FD8">
        <w:rPr>
          <w:kern w:val="22"/>
          <w:szCs w:val="22"/>
          <w:shd w:val="clear" w:color="auto" w:fill="FFFFFF"/>
          <w:lang w:val="fr-FR"/>
        </w:rPr>
        <w:t>tels que</w:t>
      </w:r>
      <w:r>
        <w:rPr>
          <w:kern w:val="22"/>
          <w:szCs w:val="22"/>
          <w:shd w:val="clear" w:color="auto" w:fill="FFFFFF"/>
          <w:lang w:val="fr-FR"/>
        </w:rPr>
        <w:t xml:space="preserve"> les Objectifs de développement durable. Ces liens peuvent contribuer à l’in</w:t>
      </w:r>
      <w:r w:rsidR="00840DB1">
        <w:rPr>
          <w:kern w:val="22"/>
          <w:szCs w:val="22"/>
          <w:shd w:val="clear" w:color="auto" w:fill="FFFFFF"/>
          <w:lang w:val="fr-FR"/>
        </w:rPr>
        <w:t>tégration</w:t>
      </w:r>
      <w:r>
        <w:rPr>
          <w:kern w:val="22"/>
          <w:szCs w:val="22"/>
          <w:shd w:val="clear" w:color="auto" w:fill="FFFFFF"/>
          <w:lang w:val="fr-FR"/>
        </w:rPr>
        <w:t xml:space="preserve"> de la prévention des risques biotechnologiques dans les stratégies nationales de mise en œuvre du cadre mondial de la biodiversité, telles que les stratégies et plans d’action nationaux pour la biodiversité, et dans les cadres et initiatives de mise en œuvre des Obj</w:t>
      </w:r>
      <w:r w:rsidR="008B7DA6">
        <w:rPr>
          <w:kern w:val="22"/>
          <w:szCs w:val="22"/>
          <w:shd w:val="clear" w:color="auto" w:fill="FFFFFF"/>
          <w:lang w:val="fr-FR"/>
        </w:rPr>
        <w:t>ectifs de développement durable</w:t>
      </w:r>
      <w:r>
        <w:rPr>
          <w:rStyle w:val="FootnoteReference"/>
          <w:kern w:val="22"/>
          <w:szCs w:val="22"/>
          <w:u w:val="none"/>
          <w:shd w:val="clear" w:color="auto" w:fill="FFFFFF"/>
          <w:vertAlign w:val="superscript"/>
        </w:rPr>
        <w:footnoteReference w:id="12"/>
      </w:r>
      <w:r w:rsidR="008B7DA6" w:rsidRPr="008B7DA6">
        <w:rPr>
          <w:kern w:val="22"/>
          <w:szCs w:val="22"/>
          <w:shd w:val="clear" w:color="auto" w:fill="FFFFFF"/>
          <w:lang w:val="fr-FR"/>
        </w:rPr>
        <w:t>.</w:t>
      </w:r>
    </w:p>
    <w:p w:rsidR="00D96BFB" w:rsidRPr="00F10E52" w:rsidRDefault="00F10E52" w:rsidP="00E773E2">
      <w:pPr>
        <w:pStyle w:val="Para1"/>
        <w:numPr>
          <w:ilvl w:val="0"/>
          <w:numId w:val="4"/>
        </w:numPr>
        <w:tabs>
          <w:tab w:val="clear" w:pos="360"/>
        </w:tabs>
        <w:rPr>
          <w:kern w:val="22"/>
          <w:szCs w:val="22"/>
          <w:shd w:val="clear" w:color="auto" w:fill="FFFFFF"/>
          <w:lang w:val="fr-FR"/>
        </w:rPr>
      </w:pPr>
      <w:r>
        <w:rPr>
          <w:kern w:val="22"/>
          <w:szCs w:val="22"/>
          <w:lang w:val="fr-FR"/>
        </w:rPr>
        <w:t>Dans sa décision</w:t>
      </w:r>
      <w:r w:rsidR="008B7DA6">
        <w:rPr>
          <w:kern w:val="22"/>
          <w:szCs w:val="22"/>
          <w:lang w:val="fr-FR"/>
        </w:rPr>
        <w:t> </w:t>
      </w:r>
      <w:r>
        <w:rPr>
          <w:kern w:val="22"/>
          <w:szCs w:val="22"/>
          <w:lang w:val="fr-FR"/>
        </w:rPr>
        <w:t>CP-9/3, la Conférence des Parties siégeant en tant que réunion des Parties a reconnu la nécessité d’élaborer un plan d’action spécifique pour le renforcement des capacités en vue de l’application du Protocole de Cartagena et de son Protocole additionnel, compatible avec le plan de mise en œuvre et complémentaire du cadre stratégique à long terme pour le renforcement des capacités.</w:t>
      </w:r>
    </w:p>
    <w:p w:rsidR="008E3C53" w:rsidRPr="00F10E52" w:rsidRDefault="00840DB1" w:rsidP="008E3C53">
      <w:pPr>
        <w:pStyle w:val="Para1"/>
        <w:numPr>
          <w:ilvl w:val="0"/>
          <w:numId w:val="4"/>
        </w:numPr>
        <w:suppressLineNumbers/>
        <w:tabs>
          <w:tab w:val="clear" w:pos="360"/>
        </w:tabs>
        <w:suppressAutoHyphens/>
        <w:rPr>
          <w:kern w:val="22"/>
          <w:szCs w:val="22"/>
          <w:lang w:val="fr-FR"/>
        </w:rPr>
      </w:pPr>
      <w:r>
        <w:rPr>
          <w:kern w:val="22"/>
          <w:szCs w:val="22"/>
          <w:lang w:val="fr-FR"/>
        </w:rPr>
        <w:t>À sa treizième réunion, le Groupe de liaison</w:t>
      </w:r>
      <w:r w:rsidR="00F10E52">
        <w:rPr>
          <w:kern w:val="22"/>
          <w:szCs w:val="22"/>
          <w:lang w:val="fr-FR"/>
        </w:rPr>
        <w:t xml:space="preserve"> a noté qu’un certain nombre </w:t>
      </w:r>
      <w:r w:rsidR="000D2FD8">
        <w:rPr>
          <w:kern w:val="22"/>
          <w:szCs w:val="22"/>
          <w:lang w:val="fr-FR"/>
        </w:rPr>
        <w:t xml:space="preserve">d’approches et </w:t>
      </w:r>
      <w:r w:rsidR="00F10E52">
        <w:rPr>
          <w:kern w:val="22"/>
          <w:szCs w:val="22"/>
          <w:lang w:val="fr-FR"/>
        </w:rPr>
        <w:t>d’éléments généraux liés au plan d’action pour le renforcement des capacités au titre du Protocole de Cartagena pourraient être traités dans le cadre à long terme pour le renforcement des capacités.</w:t>
      </w:r>
    </w:p>
    <w:p w:rsidR="00E95627" w:rsidRPr="00F10E52" w:rsidRDefault="00F10E52" w:rsidP="008E3C53">
      <w:pPr>
        <w:pStyle w:val="Para1"/>
        <w:numPr>
          <w:ilvl w:val="0"/>
          <w:numId w:val="4"/>
        </w:numPr>
        <w:suppressLineNumbers/>
        <w:tabs>
          <w:tab w:val="clear" w:pos="360"/>
        </w:tabs>
        <w:suppressAutoHyphens/>
        <w:rPr>
          <w:kern w:val="22"/>
          <w:szCs w:val="22"/>
          <w:lang w:val="fr-FR"/>
        </w:rPr>
      </w:pPr>
      <w:r>
        <w:rPr>
          <w:kern w:val="22"/>
          <w:szCs w:val="22"/>
          <w:lang w:val="fr-FR"/>
        </w:rPr>
        <w:t>Le Groupe de liaison a reconnu qu’il serait utile que le plan de mise en œuvre et le plan d’action pour le renforcement des capacités soient pris en compte dans les processus de l’après-2020 au titre de la Convention. Il a également reconnu que les Parties au Protocole de Cartagena pourraient faciliter cette démarche en participant activement aux processus de l’après-2020 au titre de la Convention. Il a souligné l’importance de faire référence au plan d’action pour le renforcement des capacités dans le projet de cadre stratégique à long terme, afin de garantir que ses liens avec le Protocole et les questions de prévention de</w:t>
      </w:r>
      <w:r w:rsidR="00840DB1">
        <w:rPr>
          <w:kern w:val="22"/>
          <w:szCs w:val="22"/>
          <w:lang w:val="fr-FR"/>
        </w:rPr>
        <w:t>s risques biotechnologiques so</w:t>
      </w:r>
      <w:r>
        <w:rPr>
          <w:kern w:val="22"/>
          <w:szCs w:val="22"/>
          <w:lang w:val="fr-FR"/>
        </w:rPr>
        <w:t>nt clairs.</w:t>
      </w:r>
    </w:p>
    <w:p w:rsidR="001A3E92" w:rsidRPr="00C061D4" w:rsidRDefault="00F10E52" w:rsidP="001A3E92">
      <w:pPr>
        <w:pStyle w:val="Heading1"/>
        <w:numPr>
          <w:ilvl w:val="0"/>
          <w:numId w:val="5"/>
        </w:numPr>
        <w:tabs>
          <w:tab w:val="clear" w:pos="720"/>
        </w:tabs>
        <w:rPr>
          <w:kern w:val="22"/>
        </w:rPr>
      </w:pPr>
      <w:r>
        <w:rPr>
          <w:bCs/>
          <w:kern w:val="22"/>
          <w:szCs w:val="22"/>
          <w:lang w:val="fr-FR"/>
        </w:rPr>
        <w:t>Propositions de recommandations</w:t>
      </w:r>
    </w:p>
    <w:p w:rsidR="00006737" w:rsidRPr="00F10E52" w:rsidRDefault="00F10E52" w:rsidP="00006737">
      <w:pPr>
        <w:numPr>
          <w:ilvl w:val="0"/>
          <w:numId w:val="4"/>
        </w:numPr>
        <w:tabs>
          <w:tab w:val="clear" w:pos="360"/>
        </w:tabs>
        <w:rPr>
          <w:kern w:val="22"/>
          <w:szCs w:val="22"/>
          <w:lang w:val="fr-FR"/>
        </w:rPr>
      </w:pPr>
      <w:r>
        <w:rPr>
          <w:kern w:val="22"/>
          <w:szCs w:val="22"/>
          <w:lang w:val="fr-FR"/>
        </w:rPr>
        <w:t xml:space="preserve"> L’Organe subsidiaire chargé de l’application pourra souhaiter examiner le projet de plan de mise en œuvre du Protocole de Cartagena et de plan d’action pour le renforcement des capacités, figur</w:t>
      </w:r>
      <w:r w:rsidR="00840DB1">
        <w:rPr>
          <w:kern w:val="22"/>
          <w:szCs w:val="22"/>
          <w:lang w:val="fr-FR"/>
        </w:rPr>
        <w:t>ant</w:t>
      </w:r>
      <w:r>
        <w:rPr>
          <w:kern w:val="22"/>
          <w:szCs w:val="22"/>
          <w:lang w:val="fr-FR"/>
        </w:rPr>
        <w:t xml:space="preserve"> dan</w:t>
      </w:r>
      <w:r w:rsidR="00A20ADB">
        <w:rPr>
          <w:kern w:val="22"/>
          <w:szCs w:val="22"/>
          <w:lang w:val="fr-FR"/>
        </w:rPr>
        <w:t>s l’annexe du présent document.</w:t>
      </w:r>
    </w:p>
    <w:p w:rsidR="00A12BB7" w:rsidRPr="00F10E52" w:rsidRDefault="00F10E52" w:rsidP="005B6393">
      <w:pPr>
        <w:numPr>
          <w:ilvl w:val="0"/>
          <w:numId w:val="4"/>
        </w:numPr>
        <w:tabs>
          <w:tab w:val="clear" w:pos="360"/>
        </w:tabs>
        <w:rPr>
          <w:kern w:val="22"/>
          <w:szCs w:val="22"/>
          <w:lang w:val="fr-FR"/>
        </w:rPr>
      </w:pPr>
      <w:r>
        <w:rPr>
          <w:kern w:val="22"/>
          <w:szCs w:val="22"/>
          <w:lang w:val="fr-FR"/>
        </w:rPr>
        <w:t xml:space="preserve">Le projet de décision ci-dessous a été élaboré pour examen par l’Organe subsidiaire chargé de l’application. Il est prévu que des éléments </w:t>
      </w:r>
      <w:r w:rsidR="006E188D">
        <w:rPr>
          <w:kern w:val="22"/>
          <w:szCs w:val="22"/>
          <w:lang w:val="fr-FR"/>
        </w:rPr>
        <w:t>complémentaires du</w:t>
      </w:r>
      <w:r>
        <w:rPr>
          <w:kern w:val="22"/>
          <w:szCs w:val="22"/>
          <w:lang w:val="fr-FR"/>
        </w:rPr>
        <w:t xml:space="preserve"> projet de décision </w:t>
      </w:r>
      <w:r w:rsidR="006E188D">
        <w:rPr>
          <w:kern w:val="22"/>
          <w:szCs w:val="22"/>
          <w:lang w:val="fr-FR"/>
        </w:rPr>
        <w:t>portant sur</w:t>
      </w:r>
      <w:r>
        <w:rPr>
          <w:kern w:val="22"/>
          <w:szCs w:val="22"/>
          <w:lang w:val="fr-FR"/>
        </w:rPr>
        <w:t xml:space="preserve"> </w:t>
      </w:r>
      <w:r w:rsidR="006E188D">
        <w:rPr>
          <w:kern w:val="22"/>
          <w:szCs w:val="22"/>
          <w:lang w:val="fr-FR"/>
        </w:rPr>
        <w:t xml:space="preserve">le </w:t>
      </w:r>
      <w:r>
        <w:rPr>
          <w:kern w:val="22"/>
          <w:szCs w:val="22"/>
          <w:lang w:val="fr-FR"/>
        </w:rPr>
        <w:t xml:space="preserve">cadre mondial de la biodiversité pour l’après-2020 et </w:t>
      </w:r>
      <w:r w:rsidR="006E188D">
        <w:rPr>
          <w:kern w:val="22"/>
          <w:szCs w:val="22"/>
          <w:lang w:val="fr-FR"/>
        </w:rPr>
        <w:t>le</w:t>
      </w:r>
      <w:r>
        <w:rPr>
          <w:kern w:val="22"/>
          <w:szCs w:val="22"/>
          <w:lang w:val="fr-FR"/>
        </w:rPr>
        <w:t xml:space="preserve"> cadre stratégique à long terme pour le renforcement des capacités </w:t>
      </w:r>
      <w:r w:rsidR="00220A47">
        <w:rPr>
          <w:kern w:val="22"/>
          <w:szCs w:val="22"/>
          <w:lang w:val="fr-FR"/>
        </w:rPr>
        <w:t>soient</w:t>
      </w:r>
      <w:r>
        <w:rPr>
          <w:kern w:val="22"/>
          <w:szCs w:val="22"/>
          <w:lang w:val="fr-FR"/>
        </w:rPr>
        <w:t xml:space="preserve"> </w:t>
      </w:r>
      <w:r w:rsidR="006E188D">
        <w:rPr>
          <w:kern w:val="22"/>
          <w:szCs w:val="22"/>
          <w:lang w:val="fr-FR"/>
        </w:rPr>
        <w:t>définis</w:t>
      </w:r>
      <w:r>
        <w:rPr>
          <w:kern w:val="22"/>
          <w:szCs w:val="22"/>
          <w:lang w:val="fr-FR"/>
        </w:rPr>
        <w:t xml:space="preserve"> </w:t>
      </w:r>
      <w:r w:rsidR="006E188D">
        <w:rPr>
          <w:kern w:val="22"/>
          <w:szCs w:val="22"/>
          <w:lang w:val="fr-FR"/>
        </w:rPr>
        <w:t>lors</w:t>
      </w:r>
      <w:r>
        <w:rPr>
          <w:kern w:val="22"/>
          <w:szCs w:val="22"/>
          <w:lang w:val="fr-FR"/>
        </w:rPr>
        <w:t xml:space="preserve"> des discussions sur ces deux documents et </w:t>
      </w:r>
      <w:r w:rsidR="00220A47">
        <w:rPr>
          <w:kern w:val="22"/>
          <w:szCs w:val="22"/>
          <w:lang w:val="fr-FR"/>
        </w:rPr>
        <w:t>soient</w:t>
      </w:r>
      <w:r>
        <w:rPr>
          <w:kern w:val="22"/>
          <w:szCs w:val="22"/>
          <w:lang w:val="fr-FR"/>
        </w:rPr>
        <w:t xml:space="preserve"> intégrés dans le projet de décision présenté à la Conférence des Parties siégeant en tant que réunion des Par</w:t>
      </w:r>
      <w:r w:rsidR="00A20ADB">
        <w:rPr>
          <w:kern w:val="22"/>
          <w:szCs w:val="22"/>
          <w:lang w:val="fr-FR"/>
        </w:rPr>
        <w:t>ties au Protocole de Cartagena</w:t>
      </w:r>
      <w:r w:rsidR="00F44FCA">
        <w:rPr>
          <w:kern w:val="22"/>
          <w:szCs w:val="22"/>
          <w:lang w:val="fr-FR"/>
        </w:rPr>
        <w:t xml:space="preserve"> à sa dixième réunion</w:t>
      </w:r>
      <w:r w:rsidR="00A20ADB">
        <w:rPr>
          <w:kern w:val="22"/>
          <w:szCs w:val="22"/>
          <w:lang w:val="fr-FR"/>
        </w:rPr>
        <w:t>.</w:t>
      </w:r>
    </w:p>
    <w:p w:rsidR="009208FD" w:rsidRPr="00F10E52" w:rsidRDefault="00F10E52" w:rsidP="004149FB">
      <w:pPr>
        <w:numPr>
          <w:ilvl w:val="0"/>
          <w:numId w:val="4"/>
        </w:numPr>
        <w:tabs>
          <w:tab w:val="clear" w:pos="360"/>
        </w:tabs>
        <w:rPr>
          <w:kern w:val="22"/>
          <w:szCs w:val="22"/>
          <w:lang w:val="fr-FR"/>
        </w:rPr>
      </w:pPr>
      <w:r>
        <w:rPr>
          <w:kern w:val="22"/>
          <w:szCs w:val="22"/>
          <w:lang w:val="fr-FR"/>
        </w:rPr>
        <w:t>L’Organe subsidiaire chargé de l’application souhaitera peut-être recommander que la Conférence des Parties siégeant en tant que réunion des Parties au Protocole, à sa dixième réunion, adopte une décision libellée comme suit :</w:t>
      </w:r>
    </w:p>
    <w:p w:rsidR="002F76BB" w:rsidRPr="00F10E52" w:rsidRDefault="00F10E52" w:rsidP="003E01D9">
      <w:pPr>
        <w:tabs>
          <w:tab w:val="left" w:pos="709"/>
        </w:tabs>
        <w:autoSpaceDE w:val="0"/>
        <w:autoSpaceDN w:val="0"/>
        <w:adjustRightInd w:val="0"/>
        <w:ind w:firstLine="720"/>
        <w:rPr>
          <w:rFonts w:eastAsiaTheme="minorEastAsia"/>
          <w:kern w:val="22"/>
          <w:szCs w:val="22"/>
          <w:lang w:val="fr-FR"/>
        </w:rPr>
      </w:pPr>
      <w:r>
        <w:rPr>
          <w:i/>
          <w:iCs/>
          <w:kern w:val="22"/>
          <w:szCs w:val="22"/>
          <w:lang w:val="fr-FR"/>
        </w:rPr>
        <w:t>La Conférence des Parties siégeant en tant que réunion des Parties au Protocole de Cartagena sur la prévention des risques biotechnologiques,</w:t>
      </w:r>
    </w:p>
    <w:p w:rsidR="001B3D79" w:rsidRPr="00F10E52" w:rsidRDefault="00F10E52" w:rsidP="003E01D9">
      <w:pPr>
        <w:pStyle w:val="ListParagraph"/>
        <w:tabs>
          <w:tab w:val="left" w:pos="709"/>
        </w:tabs>
        <w:autoSpaceDE w:val="0"/>
        <w:autoSpaceDN w:val="0"/>
        <w:adjustRightInd w:val="0"/>
        <w:spacing w:after="240" w:line="240" w:lineRule="auto"/>
        <w:ind w:left="0"/>
        <w:contextualSpacing w:val="0"/>
        <w:jc w:val="both"/>
        <w:rPr>
          <w:rFonts w:ascii="Times New Roman" w:hAnsi="Times New Roman" w:cs="Times New Roman"/>
          <w:kern w:val="22"/>
          <w:lang w:val="fr-FR"/>
        </w:rPr>
      </w:pPr>
      <w:r>
        <w:rPr>
          <w:rFonts w:ascii="Times New Roman" w:eastAsia="Times New Roman" w:hAnsi="Times New Roman" w:cs="Times New Roman"/>
          <w:kern w:val="22"/>
          <w:lang w:val="fr-FR"/>
        </w:rPr>
        <w:tab/>
      </w:r>
      <w:r>
        <w:rPr>
          <w:rFonts w:ascii="Times New Roman" w:eastAsia="Times New Roman" w:hAnsi="Times New Roman" w:cs="Times New Roman"/>
          <w:i/>
          <w:iCs/>
          <w:kern w:val="22"/>
          <w:lang w:val="fr-FR"/>
        </w:rPr>
        <w:t>Rappelant</w:t>
      </w:r>
      <w:r>
        <w:rPr>
          <w:rFonts w:ascii="Times New Roman" w:eastAsia="Times New Roman" w:hAnsi="Times New Roman" w:cs="Times New Roman"/>
          <w:kern w:val="22"/>
          <w:lang w:val="fr-FR"/>
        </w:rPr>
        <w:t xml:space="preserve"> la décision</w:t>
      </w:r>
      <w:r w:rsidR="008B7DA6">
        <w:rPr>
          <w:rFonts w:ascii="Times New Roman" w:eastAsia="Times New Roman" w:hAnsi="Times New Roman" w:cs="Times New Roman"/>
          <w:kern w:val="22"/>
          <w:lang w:val="fr-FR"/>
        </w:rPr>
        <w:t> </w:t>
      </w:r>
      <w:r>
        <w:rPr>
          <w:rFonts w:ascii="Times New Roman" w:eastAsia="Times New Roman" w:hAnsi="Times New Roman" w:cs="Times New Roman"/>
          <w:kern w:val="22"/>
          <w:lang w:val="fr-FR"/>
        </w:rPr>
        <w:t>CP-9/7</w:t>
      </w:r>
      <w:r w:rsidR="00F44FCA">
        <w:rPr>
          <w:rFonts w:ascii="Times New Roman" w:eastAsia="Times New Roman" w:hAnsi="Times New Roman" w:cs="Times New Roman"/>
          <w:kern w:val="22"/>
          <w:lang w:val="fr-FR"/>
        </w:rPr>
        <w:t>,</w:t>
      </w:r>
      <w:r>
        <w:rPr>
          <w:rFonts w:ascii="Times New Roman" w:eastAsia="Times New Roman" w:hAnsi="Times New Roman" w:cs="Times New Roman"/>
          <w:kern w:val="22"/>
          <w:lang w:val="fr-FR"/>
        </w:rPr>
        <w:t xml:space="preserve"> dans laquelle elle a décidé d’élaborer un plan de mise en œuvre du Protocole de Cartagena basé sur le cadre mondial de la biodiversité pour l’après-2020 et complémentaire de celui-ci,</w:t>
      </w:r>
    </w:p>
    <w:p w:rsidR="00EF426A" w:rsidRPr="00F10E52" w:rsidRDefault="00F10E52" w:rsidP="003E01D9">
      <w:pPr>
        <w:pStyle w:val="ListParagraph"/>
        <w:tabs>
          <w:tab w:val="left" w:pos="709"/>
        </w:tabs>
        <w:autoSpaceDE w:val="0"/>
        <w:autoSpaceDN w:val="0"/>
        <w:adjustRightInd w:val="0"/>
        <w:spacing w:after="240" w:line="240" w:lineRule="auto"/>
        <w:ind w:left="0"/>
        <w:contextualSpacing w:val="0"/>
        <w:jc w:val="both"/>
        <w:rPr>
          <w:rFonts w:ascii="Times New Roman" w:hAnsi="Times New Roman" w:cs="Times New Roman"/>
          <w:kern w:val="22"/>
          <w:lang w:val="fr-FR"/>
        </w:rPr>
      </w:pPr>
      <w:r>
        <w:rPr>
          <w:rFonts w:ascii="Times New Roman" w:eastAsia="Times New Roman" w:hAnsi="Times New Roman" w:cs="Times New Roman"/>
          <w:kern w:val="22"/>
          <w:lang w:val="fr-FR"/>
        </w:rPr>
        <w:lastRenderedPageBreak/>
        <w:tab/>
      </w:r>
      <w:r>
        <w:rPr>
          <w:rFonts w:ascii="Times New Roman" w:eastAsia="Times New Roman" w:hAnsi="Times New Roman" w:cs="Times New Roman"/>
          <w:i/>
          <w:iCs/>
          <w:kern w:val="22"/>
          <w:lang w:val="fr-FR"/>
        </w:rPr>
        <w:t>Rappelant également</w:t>
      </w:r>
      <w:r>
        <w:rPr>
          <w:rFonts w:ascii="Times New Roman" w:eastAsia="Times New Roman" w:hAnsi="Times New Roman" w:cs="Times New Roman"/>
          <w:kern w:val="22"/>
          <w:lang w:val="fr-FR"/>
        </w:rPr>
        <w:t xml:space="preserve"> la décision</w:t>
      </w:r>
      <w:r w:rsidR="008B7DA6">
        <w:rPr>
          <w:rFonts w:ascii="Times New Roman" w:eastAsia="Times New Roman" w:hAnsi="Times New Roman" w:cs="Times New Roman"/>
          <w:kern w:val="22"/>
          <w:lang w:val="fr-FR"/>
        </w:rPr>
        <w:t> </w:t>
      </w:r>
      <w:r>
        <w:rPr>
          <w:rFonts w:ascii="Times New Roman" w:eastAsia="Times New Roman" w:hAnsi="Times New Roman" w:cs="Times New Roman"/>
          <w:kern w:val="22"/>
          <w:lang w:val="fr-FR"/>
        </w:rPr>
        <w:t>CP-9/3, dans laquelle elle a reconnu la nécessité d’élaborer un plan d’action spécifique pour le renforcement des capacités en vue de l’application du Protocole de Cartagena et de son Protocole additionnel, compatible avec le plan de mise en œuvre et complémentaire du cadre stratégique à long terme pour le renforcement des capacités afin de soutenir l’application du cadre mondial de la biodiversité pour l’après-2020,</w:t>
      </w:r>
    </w:p>
    <w:p w:rsidR="00A24F19" w:rsidRPr="00F10E52" w:rsidRDefault="00F10E52" w:rsidP="004966AC">
      <w:pPr>
        <w:pStyle w:val="ListParagraph"/>
        <w:tabs>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Accueillant favorablement</w:t>
      </w:r>
      <w:r>
        <w:rPr>
          <w:rFonts w:ascii="Times New Roman" w:eastAsia="Times New Roman" w:hAnsi="Times New Roman" w:cs="Times New Roman"/>
          <w:kern w:val="22"/>
          <w:lang w:val="fr-FR"/>
        </w:rPr>
        <w:t xml:space="preserve"> la contribution </w:t>
      </w:r>
      <w:r w:rsidR="006E188D">
        <w:rPr>
          <w:rFonts w:ascii="Times New Roman" w:eastAsia="Times New Roman" w:hAnsi="Times New Roman" w:cs="Times New Roman"/>
          <w:kern w:val="22"/>
          <w:lang w:val="fr-FR"/>
        </w:rPr>
        <w:t xml:space="preserve">du Groupe de liaison sur le Protocole de Cartagena </w:t>
      </w:r>
      <w:r>
        <w:rPr>
          <w:rFonts w:ascii="Times New Roman" w:eastAsia="Times New Roman" w:hAnsi="Times New Roman" w:cs="Times New Roman"/>
          <w:kern w:val="22"/>
          <w:lang w:val="fr-FR"/>
        </w:rPr>
        <w:t>à l’élaboration du plan de mise en œuvre et du plan d’action pour le renforcement des capacités, et l’examen par l’Organe subsi</w:t>
      </w:r>
      <w:r w:rsidR="00A20ADB">
        <w:rPr>
          <w:rFonts w:ascii="Times New Roman" w:eastAsia="Times New Roman" w:hAnsi="Times New Roman" w:cs="Times New Roman"/>
          <w:kern w:val="22"/>
          <w:lang w:val="fr-FR"/>
        </w:rPr>
        <w:t>diaire chargé de l’application,</w:t>
      </w:r>
    </w:p>
    <w:p w:rsidR="00D9199C" w:rsidRPr="00F10E52" w:rsidRDefault="00F10E52" w:rsidP="004966AC">
      <w:pPr>
        <w:pStyle w:val="ListParagraph"/>
        <w:tabs>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Reconnaissant</w:t>
      </w:r>
      <w:r>
        <w:rPr>
          <w:rFonts w:ascii="Times New Roman" w:eastAsia="Times New Roman" w:hAnsi="Times New Roman" w:cs="Times New Roman"/>
          <w:kern w:val="22"/>
          <w:lang w:val="fr-FR"/>
        </w:rPr>
        <w:t xml:space="preserve"> la complémentarité du plan de mise en œuvre et du plan d’action pour le renforcement des capacités avec le cadre mondial de la biodiversité pour l’après-2020 et le cadre stratégique à long terme pour le renforcement des capacités afin de soutenir la mise en œuvre du cadre mondial de la biodiversité pour l’après-2020,</w:t>
      </w:r>
    </w:p>
    <w:p w:rsidR="008B6F3A" w:rsidRPr="00F10E52" w:rsidRDefault="00F10E52" w:rsidP="004966AC">
      <w:pPr>
        <w:pStyle w:val="ListParagraph"/>
        <w:numPr>
          <w:ilvl w:val="6"/>
          <w:numId w:val="4"/>
        </w:numPr>
        <w:tabs>
          <w:tab w:val="clear" w:pos="2520"/>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Adopte</w:t>
      </w:r>
      <w:r>
        <w:rPr>
          <w:rFonts w:ascii="Times New Roman" w:eastAsia="Times New Roman" w:hAnsi="Times New Roman" w:cs="Times New Roman"/>
          <w:kern w:val="22"/>
          <w:lang w:val="fr-FR"/>
        </w:rPr>
        <w:t xml:space="preserve"> le plan de mise en œuvre et le plan d’action pour le renforcement des capacités 2021-2030 figurant en annexe de la présente décision</w:t>
      </w:r>
      <w:r w:rsidR="008B7DA6">
        <w:rPr>
          <w:rFonts w:ascii="Times New Roman" w:eastAsia="Times New Roman" w:hAnsi="Times New Roman" w:cs="Times New Roman"/>
          <w:kern w:val="22"/>
          <w:lang w:val="fr-FR"/>
        </w:rPr>
        <w:t> </w:t>
      </w:r>
      <w:r>
        <w:rPr>
          <w:rFonts w:ascii="Times New Roman" w:eastAsia="Times New Roman" w:hAnsi="Times New Roman" w:cs="Times New Roman"/>
          <w:kern w:val="22"/>
          <w:lang w:val="fr-FR"/>
        </w:rPr>
        <w:t>;</w:t>
      </w:r>
    </w:p>
    <w:p w:rsidR="00054FD0" w:rsidRPr="00F10E52" w:rsidRDefault="00F10E52" w:rsidP="004966AC">
      <w:pPr>
        <w:pStyle w:val="ListParagraph"/>
        <w:numPr>
          <w:ilvl w:val="6"/>
          <w:numId w:val="4"/>
        </w:numPr>
        <w:tabs>
          <w:tab w:val="clear" w:pos="2520"/>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Prie instamment</w:t>
      </w:r>
      <w:r>
        <w:rPr>
          <w:rFonts w:ascii="Times New Roman" w:eastAsia="Times New Roman" w:hAnsi="Times New Roman" w:cs="Times New Roman"/>
          <w:kern w:val="22"/>
          <w:lang w:val="fr-FR"/>
        </w:rPr>
        <w:t xml:space="preserve"> les Parties et </w:t>
      </w:r>
      <w:r>
        <w:rPr>
          <w:rFonts w:ascii="Times New Roman" w:eastAsia="Times New Roman" w:hAnsi="Times New Roman" w:cs="Times New Roman"/>
          <w:i/>
          <w:iCs/>
          <w:kern w:val="22"/>
          <w:lang w:val="fr-FR"/>
        </w:rPr>
        <w:t xml:space="preserve">invite </w:t>
      </w:r>
      <w:r>
        <w:rPr>
          <w:rFonts w:ascii="Times New Roman" w:eastAsia="Times New Roman" w:hAnsi="Times New Roman" w:cs="Times New Roman"/>
          <w:kern w:val="22"/>
          <w:lang w:val="fr-FR"/>
        </w:rPr>
        <w:t xml:space="preserve">les autres gouvernements à </w:t>
      </w:r>
      <w:r w:rsidR="009D4693">
        <w:rPr>
          <w:rFonts w:ascii="Times New Roman" w:eastAsia="Times New Roman" w:hAnsi="Times New Roman" w:cs="Times New Roman"/>
          <w:kern w:val="22"/>
          <w:lang w:val="fr-FR"/>
        </w:rPr>
        <w:t>passer en revue</w:t>
      </w:r>
      <w:r>
        <w:rPr>
          <w:rFonts w:ascii="Times New Roman" w:eastAsia="Times New Roman" w:hAnsi="Times New Roman" w:cs="Times New Roman"/>
          <w:kern w:val="22"/>
          <w:lang w:val="fr-FR"/>
        </w:rPr>
        <w:t xml:space="preserve"> et mettre en cohérence, le cas échéant, leurs plans d’action et programmes nationaux relatifs à la mise en œuvre du Protocole, y compris leurs stratégies et plans d’action nationaux pour la biodiversité, avec le plan de mise en œuvre et le plan d’action pour le renforcement des capacités</w:t>
      </w:r>
      <w:r w:rsidR="008B7DA6">
        <w:rPr>
          <w:rFonts w:ascii="Times New Roman" w:eastAsia="Times New Roman" w:hAnsi="Times New Roman" w:cs="Times New Roman"/>
          <w:kern w:val="22"/>
          <w:lang w:val="fr-FR"/>
        </w:rPr>
        <w:t> </w:t>
      </w:r>
      <w:r>
        <w:rPr>
          <w:rFonts w:ascii="Times New Roman" w:eastAsia="Times New Roman" w:hAnsi="Times New Roman" w:cs="Times New Roman"/>
          <w:kern w:val="22"/>
          <w:lang w:val="fr-FR"/>
        </w:rPr>
        <w:t>;</w:t>
      </w:r>
    </w:p>
    <w:p w:rsidR="00295528" w:rsidRPr="00F10E52" w:rsidRDefault="00F10E52" w:rsidP="004966AC">
      <w:pPr>
        <w:pStyle w:val="ListParagraph"/>
        <w:numPr>
          <w:ilvl w:val="6"/>
          <w:numId w:val="4"/>
        </w:numPr>
        <w:tabs>
          <w:tab w:val="clear" w:pos="2520"/>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 xml:space="preserve">Prie instamment également </w:t>
      </w:r>
      <w:r>
        <w:rPr>
          <w:rFonts w:ascii="Times New Roman" w:eastAsia="Times New Roman" w:hAnsi="Times New Roman" w:cs="Times New Roman"/>
          <w:kern w:val="22"/>
          <w:lang w:val="fr-FR"/>
        </w:rPr>
        <w:t xml:space="preserve">les Parties et </w:t>
      </w:r>
      <w:r>
        <w:rPr>
          <w:rFonts w:ascii="Times New Roman" w:eastAsia="Times New Roman" w:hAnsi="Times New Roman" w:cs="Times New Roman"/>
          <w:i/>
          <w:iCs/>
          <w:kern w:val="22"/>
          <w:lang w:val="fr-FR"/>
        </w:rPr>
        <w:t xml:space="preserve">invite </w:t>
      </w:r>
      <w:r>
        <w:rPr>
          <w:rFonts w:ascii="Times New Roman" w:eastAsia="Times New Roman" w:hAnsi="Times New Roman" w:cs="Times New Roman"/>
          <w:kern w:val="22"/>
          <w:lang w:val="fr-FR"/>
        </w:rPr>
        <w:t xml:space="preserve">les autres gouvernements et les donateurs à allouer les ressources adéquates nécessaires pour </w:t>
      </w:r>
      <w:r w:rsidR="00220A47">
        <w:rPr>
          <w:rFonts w:ascii="Times New Roman" w:eastAsia="Times New Roman" w:hAnsi="Times New Roman" w:cs="Times New Roman"/>
          <w:kern w:val="22"/>
          <w:lang w:val="fr-FR"/>
        </w:rPr>
        <w:t>faciliter</w:t>
      </w:r>
      <w:r>
        <w:rPr>
          <w:rFonts w:ascii="Times New Roman" w:eastAsia="Times New Roman" w:hAnsi="Times New Roman" w:cs="Times New Roman"/>
          <w:kern w:val="22"/>
          <w:lang w:val="fr-FR"/>
        </w:rPr>
        <w:t xml:space="preserve"> l’application du plan de mise en œuvre et du plan d’action pour le renforcement des capacités, et </w:t>
      </w:r>
      <w:r>
        <w:rPr>
          <w:rFonts w:ascii="Times New Roman" w:eastAsia="Times New Roman" w:hAnsi="Times New Roman" w:cs="Times New Roman"/>
          <w:i/>
          <w:iCs/>
          <w:kern w:val="22"/>
          <w:lang w:val="fr-FR"/>
        </w:rPr>
        <w:t>reconnaît</w:t>
      </w:r>
      <w:r>
        <w:rPr>
          <w:rFonts w:ascii="Times New Roman" w:eastAsia="Times New Roman" w:hAnsi="Times New Roman" w:cs="Times New Roman"/>
          <w:kern w:val="22"/>
          <w:lang w:val="fr-FR"/>
        </w:rPr>
        <w:t xml:space="preserve"> en particulier le rôle du Fonds pour l’environnement mondial en tant que mécanisme de financement du Protocole ;</w:t>
      </w:r>
    </w:p>
    <w:p w:rsidR="00565933" w:rsidRPr="00F10E52" w:rsidRDefault="00F10E52" w:rsidP="00541AA0">
      <w:pPr>
        <w:pStyle w:val="ListParagraph"/>
        <w:numPr>
          <w:ilvl w:val="6"/>
          <w:numId w:val="4"/>
        </w:numPr>
        <w:tabs>
          <w:tab w:val="clear" w:pos="2520"/>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 xml:space="preserve">Décide </w:t>
      </w:r>
      <w:r>
        <w:rPr>
          <w:rFonts w:ascii="Times New Roman" w:eastAsia="Times New Roman" w:hAnsi="Times New Roman" w:cs="Times New Roman"/>
          <w:kern w:val="22"/>
          <w:lang w:val="fr-FR"/>
        </w:rPr>
        <w:t xml:space="preserve">que </w:t>
      </w:r>
      <w:r w:rsidR="00292118">
        <w:rPr>
          <w:rFonts w:ascii="Times New Roman" w:eastAsia="Times New Roman" w:hAnsi="Times New Roman" w:cs="Times New Roman"/>
          <w:kern w:val="22"/>
          <w:lang w:val="fr-FR"/>
        </w:rPr>
        <w:t>les données</w:t>
      </w:r>
      <w:r>
        <w:rPr>
          <w:rFonts w:ascii="Times New Roman" w:eastAsia="Times New Roman" w:hAnsi="Times New Roman" w:cs="Times New Roman"/>
          <w:kern w:val="22"/>
          <w:lang w:val="fr-FR"/>
        </w:rPr>
        <w:t xml:space="preserve"> de référence pour le plan de mise en œuvre et le plan d’action pour le renforcement des capacités comprend</w:t>
      </w:r>
      <w:r w:rsidR="00292118">
        <w:rPr>
          <w:rFonts w:ascii="Times New Roman" w:eastAsia="Times New Roman" w:hAnsi="Times New Roman" w:cs="Times New Roman"/>
          <w:kern w:val="22"/>
          <w:lang w:val="fr-FR"/>
        </w:rPr>
        <w:t>ront</w:t>
      </w:r>
      <w:r>
        <w:rPr>
          <w:rFonts w:ascii="Times New Roman" w:eastAsia="Times New Roman" w:hAnsi="Times New Roman" w:cs="Times New Roman"/>
          <w:kern w:val="22"/>
          <w:lang w:val="fr-FR"/>
        </w:rPr>
        <w:t xml:space="preserve"> </w:t>
      </w:r>
      <w:r w:rsidR="00A17A25">
        <w:rPr>
          <w:rFonts w:ascii="Times New Roman" w:eastAsia="Times New Roman" w:hAnsi="Times New Roman" w:cs="Times New Roman"/>
          <w:kern w:val="22"/>
          <w:lang w:val="fr-FR"/>
        </w:rPr>
        <w:t>d</w:t>
      </w:r>
      <w:r>
        <w:rPr>
          <w:rFonts w:ascii="Times New Roman" w:eastAsia="Times New Roman" w:hAnsi="Times New Roman" w:cs="Times New Roman"/>
          <w:kern w:val="22"/>
          <w:lang w:val="fr-FR"/>
        </w:rPr>
        <w:t>es informations recueillies au cours</w:t>
      </w:r>
      <w:r w:rsidR="00A17A25">
        <w:rPr>
          <w:rFonts w:ascii="Times New Roman" w:eastAsia="Times New Roman" w:hAnsi="Times New Roman" w:cs="Times New Roman"/>
          <w:kern w:val="22"/>
          <w:lang w:val="fr-FR"/>
        </w:rPr>
        <w:t xml:space="preserve"> du quatrième cycle de rapport</w:t>
      </w:r>
      <w:r>
        <w:rPr>
          <w:rStyle w:val="FootnoteReference"/>
          <w:rFonts w:ascii="Times New Roman" w:hAnsi="Times New Roman" w:cs="Times New Roman"/>
          <w:kern w:val="22"/>
          <w:u w:val="none"/>
          <w:vertAlign w:val="superscript"/>
          <w:lang w:val="en-GB"/>
        </w:rPr>
        <w:footnoteReference w:id="13"/>
      </w:r>
      <w:r w:rsidR="00A17A25">
        <w:rPr>
          <w:rFonts w:ascii="Times New Roman" w:eastAsia="Times New Roman" w:hAnsi="Times New Roman" w:cs="Times New Roman"/>
          <w:kern w:val="22"/>
          <w:lang w:val="fr-FR"/>
        </w:rPr>
        <w:t> </w:t>
      </w:r>
      <w:r w:rsidR="00A17A25" w:rsidRPr="00A17A25">
        <w:rPr>
          <w:rFonts w:ascii="Times New Roman" w:eastAsia="Times New Roman" w:hAnsi="Times New Roman" w:cs="Times New Roman"/>
          <w:kern w:val="22"/>
          <w:lang w:val="fr-FR"/>
        </w:rPr>
        <w:t>;</w:t>
      </w:r>
    </w:p>
    <w:p w:rsidR="00054FD0" w:rsidRPr="00F10E52" w:rsidRDefault="00F10E52" w:rsidP="00541AA0">
      <w:pPr>
        <w:pStyle w:val="ListParagraph"/>
        <w:numPr>
          <w:ilvl w:val="6"/>
          <w:numId w:val="4"/>
        </w:numPr>
        <w:tabs>
          <w:tab w:val="clear" w:pos="2520"/>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 xml:space="preserve">Demande </w:t>
      </w:r>
      <w:r>
        <w:rPr>
          <w:rFonts w:ascii="Times New Roman" w:eastAsia="Times New Roman" w:hAnsi="Times New Roman" w:cs="Times New Roman"/>
          <w:kern w:val="22"/>
          <w:lang w:val="fr-FR"/>
        </w:rPr>
        <w:t xml:space="preserve">à la Secrétaire exécutive d’inclure dans le modèle de rapport </w:t>
      </w:r>
      <w:r w:rsidR="00A17A25">
        <w:rPr>
          <w:rFonts w:ascii="Times New Roman" w:eastAsia="Times New Roman" w:hAnsi="Times New Roman" w:cs="Times New Roman"/>
          <w:kern w:val="22"/>
          <w:lang w:val="fr-FR"/>
        </w:rPr>
        <w:t>du</w:t>
      </w:r>
      <w:r>
        <w:rPr>
          <w:rFonts w:ascii="Times New Roman" w:eastAsia="Times New Roman" w:hAnsi="Times New Roman" w:cs="Times New Roman"/>
          <w:kern w:val="22"/>
          <w:lang w:val="fr-FR"/>
        </w:rPr>
        <w:t xml:space="preserve"> cinquième rapport national sur la mise en œuvre du Protocole de Cartagena sur la prévention des risques biotechnologiques des questions permettant d’obtenir des informations sur les indicateurs du plan de mise en œuvre et du plan d’action pour le renforcement des capacités</w:t>
      </w:r>
      <w:r w:rsidR="008B7DA6">
        <w:rPr>
          <w:rFonts w:ascii="Times New Roman" w:eastAsia="Times New Roman" w:hAnsi="Times New Roman" w:cs="Times New Roman"/>
          <w:kern w:val="22"/>
          <w:lang w:val="fr-FR"/>
        </w:rPr>
        <w:t> </w:t>
      </w:r>
      <w:r w:rsidR="00A20ADB">
        <w:rPr>
          <w:rFonts w:ascii="Times New Roman" w:eastAsia="Times New Roman" w:hAnsi="Times New Roman" w:cs="Times New Roman"/>
          <w:kern w:val="22"/>
          <w:lang w:val="fr-FR"/>
        </w:rPr>
        <w:t>;</w:t>
      </w:r>
    </w:p>
    <w:p w:rsidR="001C63BD" w:rsidRPr="00F10E52" w:rsidRDefault="00F10E52" w:rsidP="00541AA0">
      <w:pPr>
        <w:pStyle w:val="ListParagraph"/>
        <w:numPr>
          <w:ilvl w:val="6"/>
          <w:numId w:val="4"/>
        </w:numPr>
        <w:tabs>
          <w:tab w:val="clear" w:pos="2520"/>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lang w:val="fr-FR"/>
        </w:rPr>
      </w:pPr>
      <w:r>
        <w:rPr>
          <w:rFonts w:ascii="Times New Roman" w:eastAsia="Times New Roman" w:hAnsi="Times New Roman" w:cs="Times New Roman"/>
          <w:i/>
          <w:iCs/>
          <w:kern w:val="22"/>
          <w:lang w:val="fr-FR"/>
        </w:rPr>
        <w:t xml:space="preserve">Décide de </w:t>
      </w:r>
      <w:r>
        <w:rPr>
          <w:rFonts w:ascii="Times New Roman" w:eastAsia="Times New Roman" w:hAnsi="Times New Roman" w:cs="Times New Roman"/>
          <w:kern w:val="22"/>
          <w:lang w:val="fr-FR"/>
        </w:rPr>
        <w:t xml:space="preserve">procéder à une évaluation à mi-parcours du plan de mise en œuvre et du plan d’action pour le renforcement </w:t>
      </w:r>
      <w:r w:rsidR="00144BB4">
        <w:rPr>
          <w:rFonts w:ascii="Times New Roman" w:eastAsia="Times New Roman" w:hAnsi="Times New Roman" w:cs="Times New Roman"/>
          <w:kern w:val="22"/>
          <w:lang w:val="fr-FR"/>
        </w:rPr>
        <w:t xml:space="preserve">des capacités parallèlement </w:t>
      </w:r>
      <w:r w:rsidR="00ED12ED">
        <w:rPr>
          <w:rFonts w:ascii="Times New Roman" w:eastAsia="Times New Roman" w:hAnsi="Times New Roman" w:cs="Times New Roman"/>
          <w:kern w:val="22"/>
          <w:lang w:val="fr-FR"/>
        </w:rPr>
        <w:t>au</w:t>
      </w:r>
      <w:r>
        <w:rPr>
          <w:rFonts w:ascii="Times New Roman" w:eastAsia="Times New Roman" w:hAnsi="Times New Roman" w:cs="Times New Roman"/>
          <w:kern w:val="22"/>
          <w:lang w:val="fr-FR"/>
        </w:rPr>
        <w:t xml:space="preserve"> cinquième </w:t>
      </w:r>
      <w:r w:rsidR="00ED12ED" w:rsidRPr="00ED12ED">
        <w:rPr>
          <w:rFonts w:ascii="Times New Roman" w:eastAsia="Times New Roman" w:hAnsi="Times New Roman" w:cs="Times New Roman"/>
          <w:kern w:val="22"/>
          <w:lang w:val="fr-FR"/>
        </w:rPr>
        <w:t xml:space="preserve">exercice d’évaluation et </w:t>
      </w:r>
      <w:r w:rsidR="00ED12ED">
        <w:rPr>
          <w:rFonts w:ascii="Times New Roman" w:eastAsia="Times New Roman" w:hAnsi="Times New Roman" w:cs="Times New Roman"/>
          <w:kern w:val="22"/>
          <w:lang w:val="fr-FR"/>
        </w:rPr>
        <w:t>d’</w:t>
      </w:r>
      <w:r w:rsidR="00ED12ED" w:rsidRPr="00ED12ED">
        <w:rPr>
          <w:rFonts w:ascii="Times New Roman" w:eastAsia="Times New Roman" w:hAnsi="Times New Roman" w:cs="Times New Roman"/>
          <w:kern w:val="22"/>
          <w:lang w:val="fr-FR"/>
        </w:rPr>
        <w:t>examen</w:t>
      </w:r>
      <w:r>
        <w:rPr>
          <w:rFonts w:ascii="Times New Roman" w:eastAsia="Times New Roman" w:hAnsi="Times New Roman" w:cs="Times New Roman"/>
          <w:kern w:val="22"/>
          <w:lang w:val="fr-FR"/>
        </w:rPr>
        <w:t>.</w:t>
      </w:r>
    </w:p>
    <w:p w:rsidR="002F76BB" w:rsidRPr="00F10E52" w:rsidRDefault="002F76BB" w:rsidP="0098318F">
      <w:pPr>
        <w:rPr>
          <w:rFonts w:eastAsiaTheme="minorEastAsia"/>
          <w:kern w:val="22"/>
          <w:lang w:val="fr-FR"/>
        </w:rPr>
      </w:pPr>
    </w:p>
    <w:p w:rsidR="00AD1AFA" w:rsidRPr="00F10E52" w:rsidRDefault="00AD1AFA" w:rsidP="00862D3F">
      <w:pPr>
        <w:pStyle w:val="Para1"/>
        <w:jc w:val="center"/>
        <w:rPr>
          <w:kern w:val="22"/>
          <w:szCs w:val="22"/>
          <w:shd w:val="clear" w:color="auto" w:fill="FFFFFF"/>
          <w:lang w:val="fr-FR"/>
        </w:rPr>
      </w:pPr>
    </w:p>
    <w:p w:rsidR="00FC0B19" w:rsidRPr="00F10E52" w:rsidRDefault="00FC0B19" w:rsidP="002F76BB">
      <w:pPr>
        <w:pStyle w:val="Para1"/>
        <w:rPr>
          <w:kern w:val="22"/>
          <w:szCs w:val="22"/>
          <w:lang w:val="fr-FR"/>
        </w:rPr>
        <w:sectPr w:rsidR="00FC0B19" w:rsidRPr="00F10E52" w:rsidSect="0085638D">
          <w:headerReference w:type="even" r:id="rId22"/>
          <w:headerReference w:type="default" r:id="rId23"/>
          <w:footerReference w:type="even" r:id="rId24"/>
          <w:footerReference w:type="default" r:id="rId25"/>
          <w:headerReference w:type="first" r:id="rId26"/>
          <w:footerReference w:type="first" r:id="rId27"/>
          <w:pgSz w:w="12240" w:h="15840"/>
          <w:pgMar w:top="567" w:right="1389" w:bottom="1134" w:left="1389" w:header="709" w:footer="709" w:gutter="0"/>
          <w:cols w:space="708"/>
          <w:titlePg/>
          <w:docGrid w:linePitch="360"/>
        </w:sectPr>
      </w:pPr>
    </w:p>
    <w:p w:rsidR="00FC0B19" w:rsidRPr="00F10E52" w:rsidRDefault="00F10E52" w:rsidP="00FC0B19">
      <w:pPr>
        <w:pStyle w:val="Heading1"/>
        <w:rPr>
          <w:b w:val="0"/>
          <w:bCs/>
          <w:i/>
          <w:iCs/>
          <w:kern w:val="22"/>
          <w:lang w:val="fr-FR"/>
        </w:rPr>
      </w:pPr>
      <w:r>
        <w:rPr>
          <w:b w:val="0"/>
          <w:bCs/>
          <w:i/>
          <w:iCs/>
          <w:kern w:val="22"/>
          <w:szCs w:val="22"/>
          <w:lang w:val="fr-FR"/>
        </w:rPr>
        <w:lastRenderedPageBreak/>
        <w:t>A</w:t>
      </w:r>
      <w:r>
        <w:rPr>
          <w:b w:val="0"/>
          <w:bCs/>
          <w:i/>
          <w:iCs/>
          <w:caps w:val="0"/>
          <w:kern w:val="22"/>
          <w:szCs w:val="22"/>
          <w:lang w:val="fr-FR"/>
        </w:rPr>
        <w:t>nnexe</w:t>
      </w:r>
    </w:p>
    <w:p w:rsidR="003261DC" w:rsidRDefault="00F10E52" w:rsidP="007A53A0">
      <w:pPr>
        <w:pStyle w:val="Heading1"/>
        <w:contextualSpacing/>
        <w:rPr>
          <w:bCs/>
          <w:kern w:val="22"/>
          <w:szCs w:val="22"/>
          <w:lang w:val="fr-FR"/>
        </w:rPr>
      </w:pPr>
      <w:r>
        <w:rPr>
          <w:bCs/>
          <w:kern w:val="22"/>
          <w:szCs w:val="22"/>
          <w:lang w:val="fr-FR"/>
        </w:rPr>
        <w:t xml:space="preserve">PLAN DE MISE EN ŒUVRE DU Protocole de Cartagena </w:t>
      </w:r>
    </w:p>
    <w:p w:rsidR="00FC0B19" w:rsidRPr="00F10E52" w:rsidRDefault="00F10E52" w:rsidP="007A53A0">
      <w:pPr>
        <w:pStyle w:val="Heading1"/>
        <w:contextualSpacing/>
        <w:rPr>
          <w:kern w:val="22"/>
          <w:lang w:val="fr-FR"/>
        </w:rPr>
      </w:pPr>
      <w:r>
        <w:rPr>
          <w:bCs/>
          <w:kern w:val="22"/>
          <w:szCs w:val="22"/>
          <w:lang w:val="fr-FR"/>
        </w:rPr>
        <w:t>et plan d’action pour le renforcement des capacités (2021-2030)</w:t>
      </w:r>
    </w:p>
    <w:p w:rsidR="00FC0B19" w:rsidRPr="00F10E52" w:rsidRDefault="00F10E52" w:rsidP="00292118">
      <w:pPr>
        <w:pStyle w:val="Heading1"/>
        <w:suppressLineNumbers/>
        <w:suppressAutoHyphens/>
        <w:ind w:left="1134" w:hanging="567"/>
        <w:jc w:val="left"/>
        <w:rPr>
          <w:kern w:val="22"/>
          <w:lang w:val="fr-FR"/>
        </w:rPr>
      </w:pPr>
      <w:r>
        <w:rPr>
          <w:bCs/>
          <w:kern w:val="22"/>
          <w:szCs w:val="22"/>
          <w:lang w:val="fr-FR"/>
        </w:rPr>
        <w:t>I.</w:t>
      </w:r>
      <w:r>
        <w:rPr>
          <w:bCs/>
          <w:kern w:val="22"/>
          <w:szCs w:val="22"/>
          <w:lang w:val="fr-FR"/>
        </w:rPr>
        <w:tab/>
      </w:r>
      <w:r w:rsidR="00292118">
        <w:rPr>
          <w:bCs/>
          <w:kern w:val="22"/>
          <w:szCs w:val="22"/>
          <w:lang w:val="fr-FR"/>
        </w:rPr>
        <w:tab/>
      </w:r>
      <w:r>
        <w:rPr>
          <w:bCs/>
          <w:kern w:val="22"/>
          <w:szCs w:val="22"/>
          <w:lang w:val="fr-FR"/>
        </w:rPr>
        <w:t>Objectif du plan de mise en œuvre et du plan d’action pour le renforcement des capacités</w:t>
      </w:r>
    </w:p>
    <w:p w:rsidR="00FC0B19" w:rsidRPr="00F10E52" w:rsidRDefault="00F10E52" w:rsidP="007A53A0">
      <w:pPr>
        <w:numPr>
          <w:ilvl w:val="0"/>
          <w:numId w:val="12"/>
        </w:numPr>
        <w:ind w:left="0" w:firstLine="0"/>
        <w:rPr>
          <w:kern w:val="22"/>
          <w:lang w:val="fr-FR"/>
        </w:rPr>
      </w:pPr>
      <w:r>
        <w:rPr>
          <w:kern w:val="22"/>
          <w:szCs w:val="22"/>
          <w:lang w:val="fr-FR"/>
        </w:rPr>
        <w:t xml:space="preserve">Le Plan de mise en œuvre a été élaboré </w:t>
      </w:r>
      <w:r w:rsidR="003261DC">
        <w:rPr>
          <w:kern w:val="22"/>
          <w:szCs w:val="22"/>
          <w:lang w:val="fr-FR"/>
        </w:rPr>
        <w:t>pour constituer le</w:t>
      </w:r>
      <w:r>
        <w:rPr>
          <w:kern w:val="22"/>
          <w:szCs w:val="22"/>
          <w:lang w:val="fr-FR"/>
        </w:rPr>
        <w:t xml:space="preserve"> cadre des grands </w:t>
      </w:r>
      <w:r w:rsidR="003261DC">
        <w:rPr>
          <w:kern w:val="22"/>
          <w:szCs w:val="22"/>
          <w:lang w:val="fr-FR"/>
        </w:rPr>
        <w:t>résultats</w:t>
      </w:r>
      <w:r>
        <w:rPr>
          <w:kern w:val="22"/>
          <w:szCs w:val="22"/>
          <w:lang w:val="fr-FR"/>
        </w:rPr>
        <w:t xml:space="preserve"> et réalisations souhaitables pour aider les Parties à mettre en œuvre le Protocole et mesurer les progrès à cet égard pour la période</w:t>
      </w:r>
      <w:r w:rsidR="008B7DA6">
        <w:rPr>
          <w:kern w:val="22"/>
          <w:szCs w:val="22"/>
          <w:lang w:val="fr-FR"/>
        </w:rPr>
        <w:t> </w:t>
      </w:r>
      <w:r>
        <w:rPr>
          <w:kern w:val="22"/>
          <w:szCs w:val="22"/>
          <w:lang w:val="fr-FR"/>
        </w:rPr>
        <w:t>2021-2030.</w:t>
      </w:r>
    </w:p>
    <w:p w:rsidR="00FC0B19" w:rsidRPr="00F10E52" w:rsidRDefault="00F10E52" w:rsidP="007A53A0">
      <w:pPr>
        <w:numPr>
          <w:ilvl w:val="0"/>
          <w:numId w:val="12"/>
        </w:numPr>
        <w:ind w:left="0" w:firstLine="0"/>
        <w:rPr>
          <w:kern w:val="22"/>
          <w:lang w:val="fr-FR"/>
        </w:rPr>
      </w:pPr>
      <w:r>
        <w:rPr>
          <w:kern w:val="22"/>
          <w:szCs w:val="22"/>
          <w:lang w:val="fr-FR"/>
        </w:rPr>
        <w:t>Le plan d’action pour le renforcement des capacités a pour objectif de faciliter le développement et le renforcement des capacités des Parties à appliquer le Protocole en : a) identifiant les domaines clés de renforcement des capacités liés aux différents buts du Plan de mise en œuvre</w:t>
      </w:r>
      <w:r w:rsidR="008B7DA6">
        <w:rPr>
          <w:kern w:val="22"/>
          <w:szCs w:val="22"/>
          <w:lang w:val="fr-FR"/>
        </w:rPr>
        <w:t> </w:t>
      </w:r>
      <w:r>
        <w:rPr>
          <w:kern w:val="22"/>
          <w:szCs w:val="22"/>
          <w:lang w:val="fr-FR"/>
        </w:rPr>
        <w:t>; b) facilitant la participation des partenaires, y compris des donateurs</w:t>
      </w:r>
      <w:r w:rsidR="008B7DA6">
        <w:rPr>
          <w:kern w:val="22"/>
          <w:szCs w:val="22"/>
          <w:lang w:val="fr-FR"/>
        </w:rPr>
        <w:t> </w:t>
      </w:r>
      <w:r>
        <w:rPr>
          <w:kern w:val="22"/>
          <w:szCs w:val="22"/>
          <w:lang w:val="fr-FR"/>
        </w:rPr>
        <w:t>; c) favorisant une approche cohérente et coordonnée du renforcement des capacités pour la mise en œuvre du Protocole</w:t>
      </w:r>
      <w:r w:rsidR="008B7DA6">
        <w:rPr>
          <w:kern w:val="22"/>
          <w:szCs w:val="22"/>
          <w:lang w:val="fr-FR"/>
        </w:rPr>
        <w:t> </w:t>
      </w:r>
      <w:r>
        <w:rPr>
          <w:kern w:val="22"/>
          <w:szCs w:val="22"/>
          <w:lang w:val="fr-FR"/>
        </w:rPr>
        <w:t xml:space="preserve">; et d) encourageant la coopération et la coordination régionales et internationales. Le </w:t>
      </w:r>
      <w:r w:rsidR="003261DC">
        <w:rPr>
          <w:kern w:val="22"/>
          <w:szCs w:val="22"/>
          <w:lang w:val="fr-FR"/>
        </w:rPr>
        <w:t xml:space="preserve">plan </w:t>
      </w:r>
      <w:r>
        <w:rPr>
          <w:kern w:val="22"/>
          <w:szCs w:val="22"/>
          <w:lang w:val="fr-FR"/>
        </w:rPr>
        <w:t xml:space="preserve">d’action pour le renforcement des capacités couvre la même période que le </w:t>
      </w:r>
      <w:r w:rsidR="003261DC">
        <w:rPr>
          <w:kern w:val="22"/>
          <w:szCs w:val="22"/>
          <w:lang w:val="fr-FR"/>
        </w:rPr>
        <w:t xml:space="preserve">plan </w:t>
      </w:r>
      <w:r>
        <w:rPr>
          <w:kern w:val="22"/>
          <w:szCs w:val="22"/>
          <w:lang w:val="fr-FR"/>
        </w:rPr>
        <w:t>de</w:t>
      </w:r>
      <w:r w:rsidR="00A20ADB">
        <w:rPr>
          <w:kern w:val="22"/>
          <w:szCs w:val="22"/>
          <w:lang w:val="fr-FR"/>
        </w:rPr>
        <w:t xml:space="preserve"> mise en œuvre, de 2021 à 2030.</w:t>
      </w:r>
    </w:p>
    <w:p w:rsidR="00FC0B19" w:rsidRPr="00F10E52" w:rsidRDefault="00F10E52" w:rsidP="007A53A0">
      <w:pPr>
        <w:numPr>
          <w:ilvl w:val="0"/>
          <w:numId w:val="12"/>
        </w:numPr>
        <w:ind w:left="0" w:firstLine="0"/>
        <w:rPr>
          <w:b/>
          <w:kern w:val="22"/>
          <w:lang w:val="fr-FR"/>
        </w:rPr>
      </w:pPr>
      <w:r>
        <w:rPr>
          <w:kern w:val="22"/>
          <w:szCs w:val="22"/>
          <w:lang w:val="fr-FR"/>
        </w:rPr>
        <w:t xml:space="preserve">Le </w:t>
      </w:r>
      <w:r w:rsidR="003261DC">
        <w:rPr>
          <w:kern w:val="22"/>
          <w:szCs w:val="22"/>
          <w:lang w:val="fr-FR"/>
        </w:rPr>
        <w:t xml:space="preserve">plan </w:t>
      </w:r>
      <w:r>
        <w:rPr>
          <w:kern w:val="22"/>
          <w:szCs w:val="22"/>
          <w:lang w:val="fr-FR"/>
        </w:rPr>
        <w:t xml:space="preserve">de mise en œuvre s’adresse principalement aux Parties. Néanmoins, il est reconnu que les non-Parties et les parties prenantes de différents secteurs, les organisations, les peuples autochtones et communautés locales </w:t>
      </w:r>
      <w:r w:rsidR="003261DC">
        <w:rPr>
          <w:kern w:val="22"/>
          <w:szCs w:val="22"/>
          <w:lang w:val="fr-FR"/>
        </w:rPr>
        <w:t>ainsi que</w:t>
      </w:r>
      <w:r>
        <w:rPr>
          <w:kern w:val="22"/>
          <w:szCs w:val="22"/>
          <w:lang w:val="fr-FR"/>
        </w:rPr>
        <w:t xml:space="preserve"> les donateurs peuvent soutenir la mise en œuvre du Protocole et entreprendre des activités de renforcement des capacités, y compris celles décrites dans le Plan d’action pour</w:t>
      </w:r>
      <w:r w:rsidR="00A20ADB">
        <w:rPr>
          <w:kern w:val="22"/>
          <w:szCs w:val="22"/>
          <w:lang w:val="fr-FR"/>
        </w:rPr>
        <w:t xml:space="preserve"> le renforcement des capacités.</w:t>
      </w:r>
    </w:p>
    <w:p w:rsidR="00FC0B19" w:rsidRPr="00F10E52" w:rsidRDefault="00F10E52" w:rsidP="00292118">
      <w:pPr>
        <w:pStyle w:val="Heading1"/>
        <w:suppressLineNumbers/>
        <w:suppressAutoHyphens/>
        <w:ind w:left="1134" w:hanging="567"/>
        <w:jc w:val="left"/>
        <w:rPr>
          <w:kern w:val="22"/>
          <w:lang w:val="fr-FR"/>
        </w:rPr>
      </w:pPr>
      <w:r>
        <w:rPr>
          <w:bCs/>
          <w:kern w:val="22"/>
          <w:szCs w:val="22"/>
          <w:lang w:val="fr-FR"/>
        </w:rPr>
        <w:t>II.</w:t>
      </w:r>
      <w:r>
        <w:rPr>
          <w:bCs/>
          <w:kern w:val="22"/>
          <w:szCs w:val="22"/>
          <w:lang w:val="fr-FR"/>
        </w:rPr>
        <w:tab/>
        <w:t>Lien avec le cadre mondial de la biodiversité pour l’après-2020, le cadre stratégique à long terme pour le renforcement des capacités de la Convention et de ses Protocoles et le Programme de développement durable à l’horizon</w:t>
      </w:r>
      <w:r w:rsidR="008B7DA6">
        <w:rPr>
          <w:bCs/>
          <w:kern w:val="22"/>
          <w:szCs w:val="22"/>
          <w:lang w:val="fr-FR"/>
        </w:rPr>
        <w:t> </w:t>
      </w:r>
      <w:r w:rsidR="00A20ADB">
        <w:rPr>
          <w:bCs/>
          <w:kern w:val="22"/>
          <w:szCs w:val="22"/>
          <w:lang w:val="fr-FR"/>
        </w:rPr>
        <w:t>2030</w:t>
      </w:r>
    </w:p>
    <w:p w:rsidR="00FC0B19" w:rsidRPr="00F10E52" w:rsidRDefault="00F10E52" w:rsidP="00FC0B19">
      <w:pPr>
        <w:numPr>
          <w:ilvl w:val="0"/>
          <w:numId w:val="12"/>
        </w:numPr>
        <w:ind w:left="0" w:firstLine="0"/>
        <w:rPr>
          <w:kern w:val="22"/>
          <w:lang w:val="fr-FR"/>
        </w:rPr>
      </w:pPr>
      <w:r>
        <w:rPr>
          <w:kern w:val="22"/>
          <w:szCs w:val="22"/>
          <w:lang w:val="fr-FR"/>
        </w:rPr>
        <w:t xml:space="preserve">Le plan de mise en œuvre est basé sur le cadre mondial de la biodiversité pour l’après-2020 et </w:t>
      </w:r>
      <w:r w:rsidR="003261DC">
        <w:rPr>
          <w:kern w:val="22"/>
          <w:szCs w:val="22"/>
          <w:lang w:val="fr-FR"/>
        </w:rPr>
        <w:t xml:space="preserve">est </w:t>
      </w:r>
      <w:r>
        <w:rPr>
          <w:kern w:val="22"/>
          <w:szCs w:val="22"/>
          <w:lang w:val="fr-FR"/>
        </w:rPr>
        <w:t>complémentaire à celui-ci, car ses buts, objectifs et résultats contribuent à la réalisation de la vision</w:t>
      </w:r>
      <w:r w:rsidR="008B7DA6">
        <w:rPr>
          <w:kern w:val="22"/>
          <w:szCs w:val="22"/>
          <w:lang w:val="fr-FR"/>
        </w:rPr>
        <w:t> </w:t>
      </w:r>
      <w:r>
        <w:rPr>
          <w:kern w:val="22"/>
          <w:szCs w:val="22"/>
          <w:lang w:val="fr-FR"/>
        </w:rPr>
        <w:t>2050 du cadre «</w:t>
      </w:r>
      <w:r w:rsidR="008B7DA6">
        <w:rPr>
          <w:kern w:val="22"/>
          <w:szCs w:val="22"/>
          <w:lang w:val="fr-FR"/>
        </w:rPr>
        <w:t> </w:t>
      </w:r>
      <w:r>
        <w:rPr>
          <w:kern w:val="22"/>
          <w:szCs w:val="22"/>
          <w:lang w:val="fr-FR"/>
        </w:rPr>
        <w:t>D’ici à 2050, la diversité biologique est valorisée, conservée, restaurée et utilisée avec sagesse, en assurant le maintien des services fournis par les écosystèmes, en maintenant la planète en bonne santé et en procurant des avantages essentiels à tous les peuples</w:t>
      </w:r>
      <w:r w:rsidR="008B7DA6">
        <w:rPr>
          <w:kern w:val="22"/>
          <w:szCs w:val="22"/>
          <w:lang w:val="fr-FR"/>
        </w:rPr>
        <w:t> </w:t>
      </w:r>
      <w:r>
        <w:rPr>
          <w:kern w:val="22"/>
          <w:szCs w:val="22"/>
          <w:lang w:val="fr-FR"/>
        </w:rPr>
        <w:t>»</w:t>
      </w:r>
      <w:r w:rsidR="003261DC">
        <w:rPr>
          <w:kern w:val="22"/>
          <w:szCs w:val="22"/>
          <w:lang w:val="fr-FR"/>
        </w:rPr>
        <w:t xml:space="preserve"> et de sa mission</w:t>
      </w:r>
      <w:r>
        <w:rPr>
          <w:kern w:val="22"/>
          <w:szCs w:val="22"/>
          <w:lang w:val="fr-FR"/>
        </w:rPr>
        <w:t xml:space="preserve"> « Prendre d’urgence des mesures dans l’ensemble de la société pour mettre la biodiversité sur la voie du rétablissement, au profit de la planète et des populations</w:t>
      </w:r>
      <w:r w:rsidR="008B7DA6">
        <w:rPr>
          <w:kern w:val="22"/>
          <w:szCs w:val="22"/>
          <w:lang w:val="fr-FR"/>
        </w:rPr>
        <w:t> »</w:t>
      </w:r>
      <w:r>
        <w:rPr>
          <w:kern w:val="22"/>
          <w:szCs w:val="22"/>
          <w:lang w:val="fr-FR"/>
        </w:rPr>
        <w:t xml:space="preserve">. Le plan de mise en œuvre est destiné à faciliter la mise en œuvre du Protocole de Cartagena et s’adresse aux </w:t>
      </w:r>
      <w:r w:rsidR="003261DC">
        <w:rPr>
          <w:kern w:val="22"/>
          <w:szCs w:val="22"/>
          <w:lang w:val="fr-FR"/>
        </w:rPr>
        <w:t xml:space="preserve">Parties </w:t>
      </w:r>
      <w:r>
        <w:rPr>
          <w:kern w:val="22"/>
          <w:szCs w:val="22"/>
          <w:lang w:val="fr-FR"/>
        </w:rPr>
        <w:t>au Protocole de Cartagena. Le plan de mise en œuvre peut également aider et guider les Parties à atteindre des buts et des cibles en matière de prévention des risques biotechnologiques dans le cadre mondial de la b</w:t>
      </w:r>
      <w:r w:rsidR="00A20ADB">
        <w:rPr>
          <w:kern w:val="22"/>
          <w:szCs w:val="22"/>
          <w:lang w:val="fr-FR"/>
        </w:rPr>
        <w:t>iodiversité pour l’après-2020.</w:t>
      </w:r>
    </w:p>
    <w:p w:rsidR="00FC0B19" w:rsidRPr="00F10E52" w:rsidRDefault="00F10E52" w:rsidP="007A53A0">
      <w:pPr>
        <w:numPr>
          <w:ilvl w:val="0"/>
          <w:numId w:val="12"/>
        </w:numPr>
        <w:ind w:left="0" w:firstLine="0"/>
        <w:rPr>
          <w:rFonts w:eastAsia="MS Mincho"/>
          <w:kern w:val="22"/>
          <w:lang w:val="fr-FR" w:eastAsia="ja-JP"/>
        </w:rPr>
      </w:pPr>
      <w:r>
        <w:rPr>
          <w:kern w:val="22"/>
          <w:szCs w:val="22"/>
          <w:lang w:val="fr-FR"/>
        </w:rPr>
        <w:t>Le plan d’action pour le renforcement des capacités a été élaboré conformément au plan de mise en œuvre, en donnant des exemples d’activités de renforcement des capacités pour chaque but du plan de mise en œuvre. Le plan d’action est complémentaire du plan de mise en œuvre</w:t>
      </w:r>
      <w:r w:rsidR="00144BB4">
        <w:rPr>
          <w:kern w:val="22"/>
          <w:szCs w:val="22"/>
          <w:lang w:val="fr-FR"/>
        </w:rPr>
        <w:t>,</w:t>
      </w:r>
      <w:r>
        <w:rPr>
          <w:kern w:val="22"/>
          <w:szCs w:val="22"/>
          <w:lang w:val="fr-FR"/>
        </w:rPr>
        <w:t xml:space="preserve"> car les activités de renforcement des capacités peuvent soutenir </w:t>
      </w:r>
      <w:r w:rsidR="003261DC">
        <w:rPr>
          <w:kern w:val="22"/>
          <w:szCs w:val="22"/>
          <w:lang w:val="fr-FR"/>
        </w:rPr>
        <w:t>l’atteinte</w:t>
      </w:r>
      <w:r>
        <w:rPr>
          <w:kern w:val="22"/>
          <w:szCs w:val="22"/>
          <w:lang w:val="fr-FR"/>
        </w:rPr>
        <w:t xml:space="preserve"> des buts et des résultats du plan de mise en œuvre. De plus, afin d’assurer la cohérence et d’éviter d’éventuelles redondances, le but</w:t>
      </w:r>
      <w:r w:rsidR="008B7DA6">
        <w:rPr>
          <w:kern w:val="22"/>
          <w:szCs w:val="22"/>
          <w:lang w:val="fr-FR"/>
        </w:rPr>
        <w:t> </w:t>
      </w:r>
      <w:r>
        <w:rPr>
          <w:kern w:val="22"/>
          <w:szCs w:val="22"/>
          <w:lang w:val="fr-FR"/>
        </w:rPr>
        <w:t>B.1. du plan de mise en œuvre traite du renforcement des capacités en général et renvoie aux activités spécifiques de renforcement des capacités décrites dans le plan d’action pour le renforcement des capacités.</w:t>
      </w:r>
    </w:p>
    <w:p w:rsidR="00974541" w:rsidRPr="00F10E52" w:rsidRDefault="00F10E52" w:rsidP="00FC0B19">
      <w:pPr>
        <w:numPr>
          <w:ilvl w:val="0"/>
          <w:numId w:val="12"/>
        </w:numPr>
        <w:ind w:left="0" w:firstLine="0"/>
        <w:rPr>
          <w:kern w:val="22"/>
          <w:lang w:val="fr-FR"/>
        </w:rPr>
      </w:pPr>
      <w:r>
        <w:rPr>
          <w:kern w:val="22"/>
          <w:szCs w:val="22"/>
          <w:lang w:val="fr-FR"/>
        </w:rPr>
        <w:t xml:space="preserve">Le plan d’action pour le renforcement des capacités est complémentaire du cadre stratégique à long terme pour le renforcement des capacités. Ce dernier traite un certain nombre d’aspects pertinents pour le plan d’action, tels que les principes généraux, les approches et les stratégies pour améliorer le renforcement des capacités, qui devraient être pris en considération lors de la planification des activités de renforcement des capacités </w:t>
      </w:r>
      <w:r w:rsidR="003261DC">
        <w:rPr>
          <w:kern w:val="22"/>
          <w:szCs w:val="22"/>
          <w:lang w:val="fr-FR"/>
        </w:rPr>
        <w:t>basées sur le</w:t>
      </w:r>
      <w:r>
        <w:rPr>
          <w:kern w:val="22"/>
          <w:szCs w:val="22"/>
          <w:lang w:val="fr-FR"/>
        </w:rPr>
        <w:t xml:space="preserve"> plan d’action. [</w:t>
      </w:r>
      <w:r>
        <w:rPr>
          <w:i/>
          <w:iCs/>
          <w:kern w:val="22"/>
          <w:szCs w:val="22"/>
          <w:lang w:val="fr-FR"/>
        </w:rPr>
        <w:t xml:space="preserve">À actualiser à la lumière de l’élaboration du cadre </w:t>
      </w:r>
      <w:r>
        <w:rPr>
          <w:i/>
          <w:iCs/>
          <w:kern w:val="22"/>
          <w:szCs w:val="22"/>
          <w:lang w:val="fr-FR"/>
        </w:rPr>
        <w:lastRenderedPageBreak/>
        <w:t>stratégique à long terme pour le renforcement des capacités en soutien à la mise en œuvre du cadre mondial de la biodiversité pour l’après-2020.</w:t>
      </w:r>
      <w:r>
        <w:rPr>
          <w:kern w:val="22"/>
          <w:szCs w:val="22"/>
          <w:lang w:val="fr-FR"/>
        </w:rPr>
        <w:t>]</w:t>
      </w:r>
    </w:p>
    <w:p w:rsidR="00AF7618" w:rsidRPr="00F10E52" w:rsidRDefault="00F10E52" w:rsidP="007A53A0">
      <w:pPr>
        <w:numPr>
          <w:ilvl w:val="0"/>
          <w:numId w:val="12"/>
        </w:numPr>
        <w:ind w:left="0" w:firstLine="0"/>
        <w:rPr>
          <w:kern w:val="22"/>
          <w:lang w:val="fr-FR"/>
        </w:rPr>
      </w:pPr>
      <w:r>
        <w:rPr>
          <w:kern w:val="22"/>
          <w:szCs w:val="22"/>
          <w:lang w:val="fr-FR"/>
        </w:rPr>
        <w:t>Le plan de mise en œuvre et le plan d’action pour le renforcement des capacités peuvent également aider les Parties à atteindre les Objectifs de développement durable, notamment l’Objectif</w:t>
      </w:r>
      <w:r w:rsidR="008B7DA6">
        <w:rPr>
          <w:kern w:val="22"/>
          <w:szCs w:val="22"/>
          <w:lang w:val="fr-FR"/>
        </w:rPr>
        <w:t> </w:t>
      </w:r>
      <w:r>
        <w:rPr>
          <w:kern w:val="22"/>
          <w:szCs w:val="22"/>
          <w:lang w:val="fr-FR"/>
        </w:rPr>
        <w:t>2 (</w:t>
      </w:r>
      <w:r w:rsidRPr="00A37A0D">
        <w:rPr>
          <w:iCs/>
          <w:kern w:val="22"/>
          <w:szCs w:val="22"/>
          <w:lang w:val="fr-FR"/>
        </w:rPr>
        <w:t>Éliminer la faim, assurer la sécurité alimentaire, améliorer la nutrition et promouvoir l’agriculture durable</w:t>
      </w:r>
      <w:r w:rsidRPr="00A37A0D">
        <w:rPr>
          <w:kern w:val="22"/>
          <w:szCs w:val="22"/>
          <w:lang w:val="fr-FR"/>
        </w:rPr>
        <w:t>) et l’Objectif</w:t>
      </w:r>
      <w:r w:rsidR="008B7DA6" w:rsidRPr="00A37A0D">
        <w:rPr>
          <w:kern w:val="22"/>
          <w:szCs w:val="22"/>
          <w:lang w:val="fr-FR"/>
        </w:rPr>
        <w:t> </w:t>
      </w:r>
      <w:r w:rsidRPr="00A37A0D">
        <w:rPr>
          <w:kern w:val="22"/>
          <w:szCs w:val="22"/>
          <w:lang w:val="fr-FR"/>
        </w:rPr>
        <w:t>3 (</w:t>
      </w:r>
      <w:r w:rsidRPr="00A37A0D">
        <w:rPr>
          <w:iCs/>
          <w:kern w:val="22"/>
          <w:szCs w:val="22"/>
          <w:lang w:val="fr-FR"/>
        </w:rPr>
        <w:t>Permettre à tous de vivre en bonne santé et promouvoir le bien-être de tous à tout âge</w:t>
      </w:r>
      <w:r w:rsidRPr="00A37A0D">
        <w:rPr>
          <w:kern w:val="22"/>
          <w:szCs w:val="22"/>
          <w:lang w:val="fr-FR"/>
        </w:rPr>
        <w:t>).</w:t>
      </w:r>
    </w:p>
    <w:p w:rsidR="00FC0B19" w:rsidRPr="00F10E52" w:rsidRDefault="00FC0B19" w:rsidP="00974541">
      <w:pPr>
        <w:rPr>
          <w:lang w:val="fr-FR"/>
        </w:rPr>
      </w:pPr>
    </w:p>
    <w:p w:rsidR="00FC0B19" w:rsidRPr="00F10E52" w:rsidRDefault="00F10E52" w:rsidP="00292118">
      <w:pPr>
        <w:pStyle w:val="Heading1"/>
        <w:suppressLineNumbers/>
        <w:suppressAutoHyphens/>
        <w:ind w:left="1134" w:hanging="567"/>
        <w:jc w:val="left"/>
        <w:rPr>
          <w:kern w:val="22"/>
          <w:lang w:val="fr-FR"/>
        </w:rPr>
      </w:pPr>
      <w:r>
        <w:rPr>
          <w:bCs/>
          <w:kern w:val="22"/>
          <w:szCs w:val="22"/>
          <w:lang w:val="fr-FR"/>
        </w:rPr>
        <w:t>III.</w:t>
      </w:r>
      <w:r>
        <w:rPr>
          <w:bCs/>
          <w:kern w:val="22"/>
          <w:szCs w:val="22"/>
          <w:lang w:val="fr-FR"/>
        </w:rPr>
        <w:tab/>
        <w:t>Examen du plan de mise en œuvre et d</w:t>
      </w:r>
      <w:r w:rsidR="003261DC">
        <w:rPr>
          <w:bCs/>
          <w:kern w:val="22"/>
          <w:szCs w:val="22"/>
          <w:lang w:val="fr-FR"/>
        </w:rPr>
        <w:t>u</w:t>
      </w:r>
      <w:r>
        <w:rPr>
          <w:bCs/>
          <w:kern w:val="22"/>
          <w:szCs w:val="22"/>
          <w:lang w:val="fr-FR"/>
        </w:rPr>
        <w:t xml:space="preserve"> plan d’action pour le renforcement des capacités </w:t>
      </w:r>
    </w:p>
    <w:p w:rsidR="00FC0B19" w:rsidRPr="00F10E52" w:rsidRDefault="00F10E52" w:rsidP="007A53A0">
      <w:pPr>
        <w:numPr>
          <w:ilvl w:val="0"/>
          <w:numId w:val="12"/>
        </w:numPr>
        <w:ind w:left="0" w:firstLine="0"/>
        <w:rPr>
          <w:kern w:val="22"/>
          <w:lang w:val="fr-FR"/>
        </w:rPr>
      </w:pPr>
      <w:r>
        <w:rPr>
          <w:kern w:val="22"/>
          <w:szCs w:val="22"/>
          <w:lang w:val="fr-FR"/>
        </w:rPr>
        <w:t>Dans l’Appendice, un tableau récapitulatif des buts, objectifs, indicateurs et résultats du plan de mise en œuvre est présenté parallèlement aux domaines clés de renforcement des capacités et aux exemples d’activités de renforcement des capacités du plan d’action pour le renforcement des capacités. Cette présentation vise à montrer la cohérence et la complémentarité entre les deux pla</w:t>
      </w:r>
      <w:r w:rsidR="00A20ADB">
        <w:rPr>
          <w:kern w:val="22"/>
          <w:szCs w:val="22"/>
          <w:lang w:val="fr-FR"/>
        </w:rPr>
        <w:t>ns et à éviter les redondances.</w:t>
      </w:r>
    </w:p>
    <w:p w:rsidR="00FC0B19" w:rsidRPr="00F10E52" w:rsidRDefault="00F10E52" w:rsidP="001452C7">
      <w:pPr>
        <w:pStyle w:val="Heading2"/>
        <w:rPr>
          <w:i/>
          <w:kern w:val="22"/>
          <w:lang w:val="fr-FR"/>
        </w:rPr>
      </w:pPr>
      <w:r>
        <w:rPr>
          <w:kern w:val="22"/>
          <w:szCs w:val="22"/>
          <w:lang w:val="fr-FR"/>
        </w:rPr>
        <w:t>A.</w:t>
      </w:r>
      <w:r>
        <w:rPr>
          <w:kern w:val="22"/>
          <w:szCs w:val="22"/>
          <w:lang w:val="fr-FR"/>
        </w:rPr>
        <w:tab/>
        <w:t>Plan de mise en œuvre</w:t>
      </w:r>
    </w:p>
    <w:p w:rsidR="00FC0B19" w:rsidRPr="00F10E52" w:rsidRDefault="00F10E52" w:rsidP="00FC0B19">
      <w:pPr>
        <w:numPr>
          <w:ilvl w:val="0"/>
          <w:numId w:val="12"/>
        </w:numPr>
        <w:ind w:left="0" w:firstLine="0"/>
        <w:rPr>
          <w:kern w:val="22"/>
          <w:lang w:val="fr-FR"/>
        </w:rPr>
      </w:pPr>
      <w:r>
        <w:rPr>
          <w:kern w:val="22"/>
          <w:szCs w:val="22"/>
          <w:lang w:val="fr-FR"/>
        </w:rPr>
        <w:t xml:space="preserve">Le plan de mise en œuvre comprend des </w:t>
      </w:r>
      <w:r w:rsidRPr="00A37A0D">
        <w:rPr>
          <w:bCs/>
          <w:i/>
          <w:kern w:val="22"/>
          <w:szCs w:val="22"/>
          <w:lang w:val="fr-FR"/>
        </w:rPr>
        <w:t>buts</w:t>
      </w:r>
      <w:r>
        <w:rPr>
          <w:kern w:val="22"/>
          <w:szCs w:val="22"/>
          <w:lang w:val="fr-FR"/>
        </w:rPr>
        <w:t xml:space="preserve">, représentant les </w:t>
      </w:r>
      <w:r w:rsidR="003261DC">
        <w:rPr>
          <w:kern w:val="22"/>
          <w:szCs w:val="22"/>
          <w:lang w:val="fr-FR"/>
        </w:rPr>
        <w:t xml:space="preserve">grandes </w:t>
      </w:r>
      <w:r>
        <w:rPr>
          <w:kern w:val="22"/>
          <w:szCs w:val="22"/>
          <w:lang w:val="fr-FR"/>
        </w:rPr>
        <w:t>réalisations souhaitables des Parties. Ces buts sont organisés selon des «</w:t>
      </w:r>
      <w:r w:rsidR="008B7DA6">
        <w:rPr>
          <w:kern w:val="22"/>
          <w:szCs w:val="22"/>
          <w:lang w:val="fr-FR"/>
        </w:rPr>
        <w:t> </w:t>
      </w:r>
      <w:r>
        <w:rPr>
          <w:kern w:val="22"/>
          <w:szCs w:val="22"/>
          <w:lang w:val="fr-FR"/>
        </w:rPr>
        <w:t>domaines de mise en œuvre</w:t>
      </w:r>
      <w:r w:rsidR="008B7DA6">
        <w:rPr>
          <w:kern w:val="22"/>
          <w:szCs w:val="22"/>
          <w:lang w:val="fr-FR"/>
        </w:rPr>
        <w:t> </w:t>
      </w:r>
      <w:r>
        <w:rPr>
          <w:kern w:val="22"/>
          <w:szCs w:val="22"/>
          <w:lang w:val="fr-FR"/>
        </w:rPr>
        <w:t>» et un «</w:t>
      </w:r>
      <w:r w:rsidR="008B7DA6">
        <w:rPr>
          <w:kern w:val="22"/>
          <w:szCs w:val="22"/>
          <w:lang w:val="fr-FR"/>
        </w:rPr>
        <w:t> </w:t>
      </w:r>
      <w:r>
        <w:rPr>
          <w:kern w:val="22"/>
          <w:szCs w:val="22"/>
          <w:lang w:val="fr-FR"/>
        </w:rPr>
        <w:t>environnement favorable</w:t>
      </w:r>
      <w:r w:rsidR="008B7DA6">
        <w:rPr>
          <w:kern w:val="22"/>
          <w:szCs w:val="22"/>
          <w:lang w:val="fr-FR"/>
        </w:rPr>
        <w:t> </w:t>
      </w:r>
      <w:r>
        <w:rPr>
          <w:kern w:val="22"/>
          <w:szCs w:val="22"/>
          <w:lang w:val="fr-FR"/>
        </w:rPr>
        <w:t>». Les «</w:t>
      </w:r>
      <w:r w:rsidR="008B7DA6">
        <w:rPr>
          <w:kern w:val="22"/>
          <w:szCs w:val="22"/>
          <w:lang w:val="fr-FR"/>
        </w:rPr>
        <w:t> </w:t>
      </w:r>
      <w:r>
        <w:rPr>
          <w:kern w:val="22"/>
          <w:szCs w:val="22"/>
          <w:lang w:val="fr-FR"/>
        </w:rPr>
        <w:t>domaines de mise en œuvre</w:t>
      </w:r>
      <w:r w:rsidR="008B7DA6">
        <w:rPr>
          <w:kern w:val="22"/>
          <w:szCs w:val="22"/>
          <w:lang w:val="fr-FR"/>
        </w:rPr>
        <w:t> </w:t>
      </w:r>
      <w:r>
        <w:rPr>
          <w:kern w:val="22"/>
          <w:szCs w:val="22"/>
          <w:lang w:val="fr-FR"/>
        </w:rPr>
        <w:t>» sont constitués de buts concernant des éléments clés pour la mise en œuvre du Protocole. L</w:t>
      </w:r>
      <w:r w:rsidR="00144BB4">
        <w:rPr>
          <w:kern w:val="22"/>
          <w:szCs w:val="22"/>
          <w:lang w:val="fr-FR"/>
        </w:rPr>
        <w:t>’</w:t>
      </w:r>
      <w:r>
        <w:rPr>
          <w:kern w:val="22"/>
          <w:szCs w:val="22"/>
          <w:lang w:val="fr-FR"/>
        </w:rPr>
        <w:t>«</w:t>
      </w:r>
      <w:r w:rsidR="008B7DA6">
        <w:rPr>
          <w:kern w:val="22"/>
          <w:szCs w:val="22"/>
          <w:lang w:val="fr-FR"/>
        </w:rPr>
        <w:t> </w:t>
      </w:r>
      <w:r>
        <w:rPr>
          <w:kern w:val="22"/>
          <w:szCs w:val="22"/>
          <w:lang w:val="fr-FR"/>
        </w:rPr>
        <w:t>environnement favorable</w:t>
      </w:r>
      <w:r w:rsidR="008B7DA6">
        <w:rPr>
          <w:kern w:val="22"/>
          <w:szCs w:val="22"/>
          <w:lang w:val="fr-FR"/>
        </w:rPr>
        <w:t> </w:t>
      </w:r>
      <w:r>
        <w:rPr>
          <w:kern w:val="22"/>
          <w:szCs w:val="22"/>
          <w:lang w:val="fr-FR"/>
        </w:rPr>
        <w:t>» comprend des buts transversaux liés à l’appui à la mise en œuvre, c.-à-d. le renforcement des capacités, la mobilisation des ressources, la coopération ainsi que la sensibilisation, l’éducation et la participation du public. Les buts de «</w:t>
      </w:r>
      <w:r w:rsidR="008B7DA6">
        <w:rPr>
          <w:kern w:val="22"/>
          <w:szCs w:val="22"/>
          <w:lang w:val="fr-FR"/>
        </w:rPr>
        <w:t> </w:t>
      </w:r>
      <w:r>
        <w:rPr>
          <w:kern w:val="22"/>
          <w:szCs w:val="22"/>
          <w:lang w:val="fr-FR"/>
        </w:rPr>
        <w:t>l’environnement favorable</w:t>
      </w:r>
      <w:r w:rsidR="008B7DA6">
        <w:rPr>
          <w:kern w:val="22"/>
          <w:szCs w:val="22"/>
          <w:lang w:val="fr-FR"/>
        </w:rPr>
        <w:t> </w:t>
      </w:r>
      <w:r>
        <w:rPr>
          <w:kern w:val="22"/>
          <w:szCs w:val="22"/>
          <w:lang w:val="fr-FR"/>
        </w:rPr>
        <w:t>» représentent des réalisations transversales qui bénéficient à divers buts liés à la mise en œuvre et peuvent être lus conjointement avec les buts liés aux «</w:t>
      </w:r>
      <w:r w:rsidR="008B7DA6">
        <w:rPr>
          <w:kern w:val="22"/>
          <w:szCs w:val="22"/>
          <w:lang w:val="fr-FR"/>
        </w:rPr>
        <w:t> </w:t>
      </w:r>
      <w:r>
        <w:rPr>
          <w:kern w:val="22"/>
          <w:szCs w:val="22"/>
          <w:lang w:val="fr-FR"/>
        </w:rPr>
        <w:t>domaines de mise en œuvre</w:t>
      </w:r>
      <w:r w:rsidR="008B7DA6">
        <w:rPr>
          <w:kern w:val="22"/>
          <w:szCs w:val="22"/>
          <w:lang w:val="fr-FR"/>
        </w:rPr>
        <w:t> </w:t>
      </w:r>
      <w:r>
        <w:rPr>
          <w:kern w:val="22"/>
          <w:szCs w:val="22"/>
          <w:lang w:val="fr-FR"/>
        </w:rPr>
        <w:t xml:space="preserve">». </w:t>
      </w:r>
      <w:r w:rsidR="009C6AAF">
        <w:rPr>
          <w:kern w:val="22"/>
          <w:szCs w:val="22"/>
          <w:lang w:val="fr-FR"/>
        </w:rPr>
        <w:t xml:space="preserve">À chaque </w:t>
      </w:r>
      <w:r>
        <w:rPr>
          <w:kern w:val="22"/>
          <w:szCs w:val="22"/>
          <w:lang w:val="fr-FR"/>
        </w:rPr>
        <w:t xml:space="preserve">but </w:t>
      </w:r>
      <w:r w:rsidR="009C6AAF">
        <w:rPr>
          <w:kern w:val="22"/>
          <w:szCs w:val="22"/>
          <w:lang w:val="fr-FR"/>
        </w:rPr>
        <w:t>correspondent</w:t>
      </w:r>
      <w:r>
        <w:rPr>
          <w:kern w:val="22"/>
          <w:szCs w:val="22"/>
          <w:lang w:val="fr-FR"/>
        </w:rPr>
        <w:t xml:space="preserve"> des objectifs, des résultats et des indicateurs.</w:t>
      </w:r>
    </w:p>
    <w:p w:rsidR="00FC0B19" w:rsidRPr="00C061D4" w:rsidRDefault="00F10E52" w:rsidP="00FC0B19">
      <w:pPr>
        <w:numPr>
          <w:ilvl w:val="0"/>
          <w:numId w:val="12"/>
        </w:numPr>
        <w:ind w:left="0" w:firstLine="0"/>
        <w:rPr>
          <w:kern w:val="22"/>
        </w:rPr>
      </w:pPr>
      <w:r>
        <w:rPr>
          <w:kern w:val="22"/>
          <w:szCs w:val="22"/>
          <w:lang w:val="fr-FR"/>
        </w:rPr>
        <w:t xml:space="preserve">Les </w:t>
      </w:r>
      <w:r w:rsidRPr="00A37A0D">
        <w:rPr>
          <w:bCs/>
          <w:i/>
          <w:kern w:val="22"/>
          <w:szCs w:val="22"/>
          <w:lang w:val="fr-FR"/>
        </w:rPr>
        <w:t>objectifs</w:t>
      </w:r>
      <w:r>
        <w:rPr>
          <w:kern w:val="22"/>
          <w:szCs w:val="22"/>
          <w:lang w:val="fr-FR"/>
        </w:rPr>
        <w:t xml:space="preserve"> décrivent les principales réalisations </w:t>
      </w:r>
      <w:r w:rsidR="003261DC">
        <w:rPr>
          <w:kern w:val="22"/>
          <w:szCs w:val="22"/>
          <w:lang w:val="fr-FR"/>
        </w:rPr>
        <w:t xml:space="preserve">nécessaires </w:t>
      </w:r>
      <w:r>
        <w:rPr>
          <w:kern w:val="22"/>
          <w:szCs w:val="22"/>
          <w:lang w:val="fr-FR"/>
        </w:rPr>
        <w:t>pour atteindre le but auquel ils se rapportent. Ils ne visent pas à fournir une liste exhaustive des réalisations pouvant être pertinentes pour atteindre le but. Ils suivent les dispositions du Protocole, y compris les obligations et autres dispositions, ainsi que les orientations fournies par les décisions de la Conférence des Parties siégeant en tant que réunion des Parties au Protocole. La plupart des buts c</w:t>
      </w:r>
      <w:r w:rsidR="00A20ADB">
        <w:rPr>
          <w:kern w:val="22"/>
          <w:szCs w:val="22"/>
          <w:lang w:val="fr-FR"/>
        </w:rPr>
        <w:t>omprennent plusieurs objectifs.</w:t>
      </w:r>
    </w:p>
    <w:p w:rsidR="00FC0B19" w:rsidRPr="00F10E52" w:rsidRDefault="00F10E52" w:rsidP="00FC0B19">
      <w:pPr>
        <w:numPr>
          <w:ilvl w:val="0"/>
          <w:numId w:val="12"/>
        </w:numPr>
        <w:ind w:left="0" w:firstLine="0"/>
        <w:rPr>
          <w:kern w:val="22"/>
          <w:lang w:val="fr-FR"/>
        </w:rPr>
      </w:pPr>
      <w:r>
        <w:rPr>
          <w:kern w:val="22"/>
          <w:szCs w:val="22"/>
          <w:lang w:val="fr-FR"/>
        </w:rPr>
        <w:t xml:space="preserve">Les </w:t>
      </w:r>
      <w:r w:rsidRPr="00A37A0D">
        <w:rPr>
          <w:bCs/>
          <w:i/>
          <w:kern w:val="22"/>
          <w:szCs w:val="22"/>
          <w:lang w:val="fr-FR"/>
        </w:rPr>
        <w:t>indicateurs</w:t>
      </w:r>
      <w:r>
        <w:rPr>
          <w:kern w:val="22"/>
          <w:szCs w:val="22"/>
          <w:lang w:val="fr-FR"/>
        </w:rPr>
        <w:t xml:space="preserve"> sont conçus pour mesurer les progrès vers les objectifs. Les indicateurs se veulent simples, mesurables et pertinents pa</w:t>
      </w:r>
      <w:r w:rsidR="00A20ADB">
        <w:rPr>
          <w:kern w:val="22"/>
          <w:szCs w:val="22"/>
          <w:lang w:val="fr-FR"/>
        </w:rPr>
        <w:t>r rapport à l’objectif associé.</w:t>
      </w:r>
    </w:p>
    <w:p w:rsidR="00FC0B19" w:rsidRPr="00F10E52" w:rsidRDefault="00F10E52" w:rsidP="001452C7">
      <w:pPr>
        <w:numPr>
          <w:ilvl w:val="0"/>
          <w:numId w:val="12"/>
        </w:numPr>
        <w:ind w:left="0" w:firstLine="0"/>
        <w:rPr>
          <w:kern w:val="22"/>
          <w:lang w:val="fr-FR"/>
        </w:rPr>
      </w:pPr>
      <w:r>
        <w:rPr>
          <w:kern w:val="22"/>
          <w:szCs w:val="22"/>
          <w:lang w:val="fr-FR"/>
        </w:rPr>
        <w:t xml:space="preserve">Les </w:t>
      </w:r>
      <w:r w:rsidRPr="00A37A0D">
        <w:rPr>
          <w:bCs/>
          <w:i/>
          <w:kern w:val="22"/>
          <w:szCs w:val="22"/>
          <w:lang w:val="fr-FR"/>
        </w:rPr>
        <w:t>résultats</w:t>
      </w:r>
      <w:r>
        <w:rPr>
          <w:kern w:val="22"/>
          <w:szCs w:val="22"/>
          <w:lang w:val="fr-FR"/>
        </w:rPr>
        <w:t xml:space="preserve"> décrivent quel sera l’effet de l’atteinte du but.</w:t>
      </w:r>
    </w:p>
    <w:p w:rsidR="00FC0B19" w:rsidRPr="00F10E52" w:rsidRDefault="00F10E52" w:rsidP="001452C7">
      <w:pPr>
        <w:pStyle w:val="Heading2"/>
        <w:rPr>
          <w:kern w:val="22"/>
          <w:lang w:val="fr-FR"/>
        </w:rPr>
      </w:pPr>
      <w:r>
        <w:rPr>
          <w:kern w:val="22"/>
          <w:szCs w:val="22"/>
          <w:lang w:val="fr-FR"/>
        </w:rPr>
        <w:t>B.</w:t>
      </w:r>
      <w:r>
        <w:rPr>
          <w:kern w:val="22"/>
          <w:szCs w:val="22"/>
          <w:lang w:val="fr-FR"/>
        </w:rPr>
        <w:tab/>
        <w:t>Plan d’action pour le renforcement des capacités</w:t>
      </w:r>
    </w:p>
    <w:p w:rsidR="00FC0B19" w:rsidRPr="00F10E52" w:rsidRDefault="00F10E52" w:rsidP="001452C7">
      <w:pPr>
        <w:numPr>
          <w:ilvl w:val="0"/>
          <w:numId w:val="12"/>
        </w:numPr>
        <w:ind w:left="0" w:firstLine="0"/>
        <w:rPr>
          <w:kern w:val="22"/>
          <w:lang w:val="fr-FR"/>
        </w:rPr>
      </w:pPr>
      <w:r>
        <w:rPr>
          <w:kern w:val="22"/>
          <w:szCs w:val="22"/>
          <w:lang w:val="fr-FR"/>
        </w:rPr>
        <w:t xml:space="preserve">Le plan d’action pour le renforcement des capacités décrit les </w:t>
      </w:r>
      <w:r w:rsidRPr="00A37A0D">
        <w:rPr>
          <w:bCs/>
          <w:i/>
          <w:kern w:val="22"/>
          <w:szCs w:val="22"/>
          <w:lang w:val="fr-FR"/>
        </w:rPr>
        <w:t>domaines clés pour le renforcement des capacités</w:t>
      </w:r>
      <w:r>
        <w:rPr>
          <w:kern w:val="22"/>
          <w:szCs w:val="22"/>
          <w:lang w:val="fr-FR"/>
        </w:rPr>
        <w:t xml:space="preserve"> liés à chaque but du plan de mise en œuvre. </w:t>
      </w:r>
      <w:r w:rsidR="001A1F48">
        <w:rPr>
          <w:kern w:val="22"/>
          <w:szCs w:val="22"/>
          <w:lang w:val="fr-FR"/>
        </w:rPr>
        <w:t>C</w:t>
      </w:r>
      <w:r>
        <w:rPr>
          <w:kern w:val="22"/>
          <w:szCs w:val="22"/>
          <w:lang w:val="fr-FR"/>
        </w:rPr>
        <w:t>es domaines clés sont cohérents avec les objectifs du plan de mise en œuvre et comprennent les domaines pour lesquels des activités de renforcemen</w:t>
      </w:r>
      <w:r w:rsidR="00A20ADB">
        <w:rPr>
          <w:kern w:val="22"/>
          <w:szCs w:val="22"/>
          <w:lang w:val="fr-FR"/>
        </w:rPr>
        <w:t>t des capacités sont proposées.</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rPr>
        <w:t xml:space="preserve">Le plan d’action fournit également une liste d’exemples </w:t>
      </w:r>
      <w:r w:rsidRPr="00A37A0D">
        <w:rPr>
          <w:kern w:val="22"/>
          <w:szCs w:val="22"/>
          <w:lang w:val="fr-FR"/>
        </w:rPr>
        <w:t>d’</w:t>
      </w:r>
      <w:r w:rsidRPr="00A37A0D">
        <w:rPr>
          <w:bCs/>
          <w:i/>
          <w:kern w:val="22"/>
          <w:szCs w:val="22"/>
          <w:lang w:val="fr-FR"/>
        </w:rPr>
        <w:t>activités de renforcement des capacités</w:t>
      </w:r>
      <w:r>
        <w:rPr>
          <w:kern w:val="22"/>
          <w:szCs w:val="22"/>
          <w:lang w:val="fr-FR"/>
        </w:rPr>
        <w:t xml:space="preserve">, qui </w:t>
      </w:r>
      <w:r w:rsidR="00144BB4">
        <w:rPr>
          <w:kern w:val="22"/>
          <w:szCs w:val="22"/>
          <w:lang w:val="fr-FR"/>
        </w:rPr>
        <w:t>a été élaborée</w:t>
      </w:r>
      <w:r>
        <w:rPr>
          <w:kern w:val="22"/>
          <w:szCs w:val="22"/>
          <w:lang w:val="fr-FR"/>
        </w:rPr>
        <w:t xml:space="preserve"> en tenant compte des activités de renforcement des capacités toujours pertinentes incluses, entre autres, dans le Cadre et le Plan d’action pour le renforcement des capacités en vue de l’application effective du Protocole de Cartagena (2012-2020), ainsi que dans le programme de travail sur la sensibilisation, l’éducatio</w:t>
      </w:r>
      <w:r w:rsidR="001A1F48">
        <w:rPr>
          <w:kern w:val="22"/>
          <w:szCs w:val="22"/>
          <w:lang w:val="fr-FR"/>
        </w:rPr>
        <w:t>n et la participation du public</w:t>
      </w:r>
      <w:r>
        <w:rPr>
          <w:rStyle w:val="FootnoteReference"/>
          <w:kern w:val="22"/>
          <w:u w:val="none"/>
          <w:vertAlign w:val="superscript"/>
        </w:rPr>
        <w:footnoteReference w:id="14"/>
      </w:r>
      <w:r w:rsidR="001A1F48" w:rsidRPr="001A1F48">
        <w:rPr>
          <w:kern w:val="22"/>
          <w:szCs w:val="22"/>
          <w:lang w:val="fr-FR"/>
        </w:rPr>
        <w:t>.</w:t>
      </w:r>
      <w:r>
        <w:rPr>
          <w:kern w:val="22"/>
          <w:szCs w:val="22"/>
          <w:lang w:val="fr-FR"/>
        </w:rPr>
        <w:t xml:space="preserve"> Certains domaines clés pour le renforcement </w:t>
      </w:r>
      <w:r>
        <w:rPr>
          <w:kern w:val="22"/>
          <w:szCs w:val="22"/>
          <w:lang w:val="fr-FR"/>
        </w:rPr>
        <w:lastRenderedPageBreak/>
        <w:t>des capacités et les activités de renforcement des capacités sont pertinents pour de multiples buts. C’est le cas des buts</w:t>
      </w:r>
      <w:r w:rsidR="008B7DA6">
        <w:rPr>
          <w:kern w:val="22"/>
          <w:szCs w:val="22"/>
          <w:lang w:val="fr-FR"/>
        </w:rPr>
        <w:t> </w:t>
      </w:r>
      <w:r>
        <w:rPr>
          <w:kern w:val="22"/>
          <w:szCs w:val="22"/>
          <w:lang w:val="fr-FR"/>
        </w:rPr>
        <w:t>A.6, A.7 et A.8 relatifs aux différents aspects de la détection et de l’identification des organismes vivants modifiés. Par conséquent, les domaines clés pour le renforcement des capacités et les activités de renforcement des capacités sont présentés comme s’appliquant aux trois buts.</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rPr>
        <w:t>Les domaines clés et les activités de renforcement des capacités décrits dans le plan d’action pour le renforcement des capacités ne sont pas censés être normatifs ou exhaustifs. Les domaines clés sont présentés à titre indicatif comme des domaines dans lesquels des capacités peuvent être nécessaires et sur lesquels les interventions de renforcement des capacités peuvent se concentrer, en fonction des circonstances et des besoins nationaux. Les activités de renforcement des capacités sont des exemples des types d’activités qui pourraient être entreprises pour atteindre les buts et les résultats du plan de mise en œuvre. Il est reconnu que les circonstances et les besoins nationaux et régionaux devraient finalement déterminer la conception et la réalisation des activités de renforcement des capacités, en tenant également compte des orientations stratégiques fournies dans le cadre stratégique à long terme pour le renforcement des capacit</w:t>
      </w:r>
      <w:r w:rsidR="00A20ADB">
        <w:rPr>
          <w:kern w:val="22"/>
          <w:szCs w:val="22"/>
          <w:lang w:val="fr-FR"/>
        </w:rPr>
        <w:t>és, le cas échéant.</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eastAsia="ja-JP"/>
        </w:rPr>
        <w:t>Les informations sur les activités de renforcement des capacités entreprises ou les ressources ou matériels de renforcement des capacités élaborés dans le cadre du plan d’action pour le renforcement des capacités devraient être partagées à travers le Centre d’échange pour la prévention des risques biotechnologiques.</w:t>
      </w:r>
    </w:p>
    <w:p w:rsidR="00FC0B19" w:rsidRPr="00F10E52" w:rsidRDefault="00E73325" w:rsidP="00FC0B19">
      <w:pPr>
        <w:spacing w:after="200" w:line="276" w:lineRule="auto"/>
        <w:rPr>
          <w:rFonts w:eastAsia="MS Mincho"/>
          <w:i/>
          <w:iCs/>
          <w:kern w:val="22"/>
          <w:lang w:val="fr-FR" w:eastAsia="ja-JP"/>
        </w:rPr>
      </w:pPr>
      <w:r>
        <w:rPr>
          <w:i/>
          <w:iCs/>
          <w:kern w:val="22"/>
          <w:szCs w:val="22"/>
          <w:lang w:val="fr-FR" w:eastAsia="ja-JP"/>
        </w:rPr>
        <w:t>Intervenants en</w:t>
      </w:r>
      <w:r w:rsidR="00F10E52">
        <w:rPr>
          <w:i/>
          <w:iCs/>
          <w:kern w:val="22"/>
          <w:szCs w:val="22"/>
          <w:lang w:val="fr-FR" w:eastAsia="ja-JP"/>
        </w:rPr>
        <w:t xml:space="preserve"> renforcement des capacités et publics cibles</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rPr>
        <w:t>Les activités de renforcement des capacités peuvent être menées à différents niveaux, notamment aux niveaux</w:t>
      </w:r>
      <w:r w:rsidR="00A20ADB">
        <w:rPr>
          <w:kern w:val="22"/>
          <w:szCs w:val="22"/>
          <w:lang w:val="fr-FR"/>
        </w:rPr>
        <w:t xml:space="preserve"> national, régional et mondial.</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eastAsia="ja-JP"/>
        </w:rPr>
        <w:t xml:space="preserve">Divers acteurs peuvent être associés pour faciliter l’exécution des activités de renforcement des capacités, notamment les gouvernements, les organismes de recherche, les organisations non gouvernementales, le secteur privé et le Secrétariat. L’identification des acteurs à cet égard dépend largement des circonstances, des besoins et des priorités à l’échelle nationale. Dans ce contexte, les activités de renforcement des capacités décrites dans le tableau ci-dessous n’identifient pas les acteurs qui pourraient mener les activités </w:t>
      </w:r>
      <w:r w:rsidR="00A20ADB">
        <w:rPr>
          <w:kern w:val="22"/>
          <w:szCs w:val="22"/>
          <w:lang w:val="fr-FR" w:eastAsia="ja-JP"/>
        </w:rPr>
        <w:t>de renforcement des capacités.</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eastAsia="ja-JP"/>
        </w:rPr>
        <w:t>De même, un éventail de publics cibles pourrait bénéficier d’activités spécifiques de renforcement des capacités, en fonction des circonstances, des besoins et des priorités à l’échelle nationale. Ces publics pourraient inclure, entre autres, des décideurs, des autorités administratives, des techniciens de laboratoire et des douaniers.</w:t>
      </w:r>
    </w:p>
    <w:p w:rsidR="00FC0B19" w:rsidRPr="00F10E52" w:rsidRDefault="00F10E52" w:rsidP="001452C7">
      <w:pPr>
        <w:numPr>
          <w:ilvl w:val="0"/>
          <w:numId w:val="12"/>
        </w:numPr>
        <w:ind w:left="0" w:firstLine="0"/>
        <w:rPr>
          <w:rFonts w:eastAsia="MS Mincho"/>
          <w:kern w:val="22"/>
          <w:lang w:val="fr-FR" w:eastAsia="ja-JP"/>
        </w:rPr>
      </w:pPr>
      <w:r>
        <w:rPr>
          <w:kern w:val="22"/>
          <w:szCs w:val="22"/>
          <w:lang w:val="fr-FR" w:eastAsia="ja-JP"/>
        </w:rPr>
        <w:t xml:space="preserve">Lors de la conception d’interventions de renforcement des capacités dans les </w:t>
      </w:r>
      <w:r w:rsidR="0045335F">
        <w:rPr>
          <w:kern w:val="22"/>
          <w:szCs w:val="22"/>
          <w:lang w:val="fr-FR" w:eastAsia="ja-JP"/>
        </w:rPr>
        <w:t xml:space="preserve">différents </w:t>
      </w:r>
      <w:r>
        <w:rPr>
          <w:kern w:val="22"/>
          <w:szCs w:val="22"/>
          <w:lang w:val="fr-FR" w:eastAsia="ja-JP"/>
        </w:rPr>
        <w:t>domaines ou sur la base des exemples d’activités décrites dans le plan d’action pour le renforcement des capacités, les acteurs et les publics cibles doivent être identifiés. Comme indiqué dans les buts de</w:t>
      </w:r>
      <w:r w:rsidR="0045335F">
        <w:rPr>
          <w:kern w:val="22"/>
          <w:szCs w:val="22"/>
          <w:lang w:val="fr-FR" w:eastAsia="ja-JP"/>
        </w:rPr>
        <w:t xml:space="preserve"> la partie « E</w:t>
      </w:r>
      <w:r>
        <w:rPr>
          <w:kern w:val="22"/>
          <w:szCs w:val="22"/>
          <w:lang w:val="fr-FR" w:eastAsia="ja-JP"/>
        </w:rPr>
        <w:t xml:space="preserve">nvironnement favorable » du plan de mise en œuvre et du plan d’action pour le renforcement des capacités, la coopération et la collaboration ainsi que la fourniture de ressources adéquates sont des conditions préalables pour entreprendre des activités de renforcement des capacités </w:t>
      </w:r>
      <w:r w:rsidR="0045335F">
        <w:rPr>
          <w:kern w:val="22"/>
          <w:szCs w:val="22"/>
          <w:lang w:val="fr-FR" w:eastAsia="ja-JP"/>
        </w:rPr>
        <w:t>permettant de soutenir</w:t>
      </w:r>
      <w:r w:rsidR="00A20ADB">
        <w:rPr>
          <w:kern w:val="22"/>
          <w:szCs w:val="22"/>
          <w:lang w:val="fr-FR" w:eastAsia="ja-JP"/>
        </w:rPr>
        <w:t xml:space="preserve"> la mise en œuvre du Protocole.</w:t>
      </w:r>
    </w:p>
    <w:p w:rsidR="00FC0B19" w:rsidRPr="00F10E52" w:rsidRDefault="00F10E52" w:rsidP="0033004C">
      <w:pPr>
        <w:pStyle w:val="Heading2"/>
        <w:ind w:left="1701" w:right="248" w:hanging="567"/>
        <w:jc w:val="left"/>
        <w:rPr>
          <w:kern w:val="22"/>
          <w:lang w:val="fr-FR"/>
        </w:rPr>
      </w:pPr>
      <w:r>
        <w:rPr>
          <w:kern w:val="22"/>
          <w:szCs w:val="22"/>
          <w:lang w:val="fr-FR"/>
        </w:rPr>
        <w:t>C.</w:t>
      </w:r>
      <w:r>
        <w:rPr>
          <w:kern w:val="22"/>
          <w:szCs w:val="22"/>
          <w:lang w:val="fr-FR"/>
        </w:rPr>
        <w:tab/>
        <w:t xml:space="preserve">Composante relative au Protocole additionnel de Nagoya </w:t>
      </w:r>
      <w:r w:rsidR="008B7DA6">
        <w:rPr>
          <w:kern w:val="22"/>
          <w:szCs w:val="22"/>
          <w:lang w:val="fr-FR"/>
        </w:rPr>
        <w:t>–</w:t>
      </w:r>
      <w:r>
        <w:rPr>
          <w:kern w:val="22"/>
          <w:szCs w:val="22"/>
          <w:lang w:val="fr-FR"/>
        </w:rPr>
        <w:t xml:space="preserve"> Kuala Lumpur sur la responsabilité et la réparation</w:t>
      </w:r>
    </w:p>
    <w:p w:rsidR="00FC0B19" w:rsidRPr="009C6AAF" w:rsidRDefault="00F10E52" w:rsidP="001452C7">
      <w:pPr>
        <w:numPr>
          <w:ilvl w:val="0"/>
          <w:numId w:val="12"/>
        </w:numPr>
        <w:ind w:left="0" w:firstLine="0"/>
        <w:rPr>
          <w:kern w:val="22"/>
          <w:lang w:val="fr-FR"/>
        </w:rPr>
      </w:pPr>
      <w:r>
        <w:rPr>
          <w:kern w:val="22"/>
          <w:szCs w:val="22"/>
          <w:lang w:val="fr-FR" w:eastAsia="ja-JP"/>
        </w:rPr>
        <w:t xml:space="preserve">Le Protocole additionnel de Nagoya </w:t>
      </w:r>
      <w:r w:rsidR="008B7DA6">
        <w:rPr>
          <w:kern w:val="22"/>
          <w:szCs w:val="22"/>
          <w:lang w:val="fr-FR" w:eastAsia="ja-JP"/>
        </w:rPr>
        <w:t>–</w:t>
      </w:r>
      <w:r>
        <w:rPr>
          <w:kern w:val="22"/>
          <w:szCs w:val="22"/>
          <w:lang w:val="fr-FR" w:eastAsia="ja-JP"/>
        </w:rPr>
        <w:t xml:space="preserve"> Kuala Lumpur sur la responsabilité et la réparation a été adopté par la Conférence des Parties siégeant en tant que réunion des Parties au Protocole en 2010 (décision BS-V/11). Le Plan stratégique du Protocole, également adopté en 2010, comprenait des éléments sur la responsabilité et la réparation et </w:t>
      </w:r>
      <w:r w:rsidR="009C6AAF">
        <w:rPr>
          <w:kern w:val="22"/>
          <w:szCs w:val="22"/>
          <w:lang w:val="fr-FR" w:eastAsia="ja-JP"/>
        </w:rPr>
        <w:t xml:space="preserve">sur </w:t>
      </w:r>
      <w:r>
        <w:rPr>
          <w:kern w:val="22"/>
          <w:szCs w:val="22"/>
          <w:lang w:val="fr-FR" w:eastAsia="ja-JP"/>
        </w:rPr>
        <w:t>le Protocole additionnel. Le Protocole additionnel est entré en vigueur le 5</w:t>
      </w:r>
      <w:r w:rsidR="008B7DA6">
        <w:rPr>
          <w:kern w:val="22"/>
          <w:szCs w:val="22"/>
          <w:lang w:val="fr-FR" w:eastAsia="ja-JP"/>
        </w:rPr>
        <w:t> </w:t>
      </w:r>
      <w:r>
        <w:rPr>
          <w:kern w:val="22"/>
          <w:szCs w:val="22"/>
          <w:lang w:val="fr-FR" w:eastAsia="ja-JP"/>
        </w:rPr>
        <w:t>mars</w:t>
      </w:r>
      <w:r w:rsidR="008B7DA6">
        <w:rPr>
          <w:kern w:val="22"/>
          <w:szCs w:val="22"/>
          <w:lang w:val="fr-FR" w:eastAsia="ja-JP"/>
        </w:rPr>
        <w:t> </w:t>
      </w:r>
      <w:r>
        <w:rPr>
          <w:kern w:val="22"/>
          <w:szCs w:val="22"/>
          <w:lang w:val="fr-FR" w:eastAsia="ja-JP"/>
        </w:rPr>
        <w:t>2018.</w:t>
      </w:r>
    </w:p>
    <w:p w:rsidR="00FC0B19" w:rsidRPr="00F10E52" w:rsidRDefault="00747E00" w:rsidP="001452C7">
      <w:pPr>
        <w:numPr>
          <w:ilvl w:val="0"/>
          <w:numId w:val="12"/>
        </w:numPr>
        <w:ind w:left="0" w:firstLine="0"/>
        <w:rPr>
          <w:rFonts w:eastAsia="MS Mincho"/>
          <w:kern w:val="22"/>
          <w:lang w:val="fr-FR" w:eastAsia="ja-JP"/>
        </w:rPr>
      </w:pPr>
      <w:r>
        <w:rPr>
          <w:kern w:val="22"/>
          <w:szCs w:val="22"/>
          <w:lang w:val="fr-FR"/>
        </w:rPr>
        <w:lastRenderedPageBreak/>
        <w:t>Une composante</w:t>
      </w:r>
      <w:r w:rsidR="00F10E52">
        <w:rPr>
          <w:kern w:val="22"/>
          <w:szCs w:val="22"/>
          <w:lang w:val="fr-FR"/>
        </w:rPr>
        <w:t xml:space="preserve"> sur le Protocole additionnel a été inclus</w:t>
      </w:r>
      <w:r>
        <w:rPr>
          <w:kern w:val="22"/>
          <w:szCs w:val="22"/>
          <w:lang w:val="fr-FR"/>
        </w:rPr>
        <w:t>e</w:t>
      </w:r>
      <w:r w:rsidR="00F10E52">
        <w:rPr>
          <w:kern w:val="22"/>
          <w:szCs w:val="22"/>
          <w:lang w:val="fr-FR"/>
        </w:rPr>
        <w:t xml:space="preserve"> dans l’appendice ci-dessous. L’inclusion d</w:t>
      </w:r>
      <w:r w:rsidR="0045335F">
        <w:rPr>
          <w:kern w:val="22"/>
          <w:szCs w:val="22"/>
          <w:lang w:val="fr-FR"/>
        </w:rPr>
        <w:t>e cet</w:t>
      </w:r>
      <w:r>
        <w:rPr>
          <w:kern w:val="22"/>
          <w:szCs w:val="22"/>
          <w:lang w:val="fr-FR"/>
        </w:rPr>
        <w:t>te</w:t>
      </w:r>
      <w:r w:rsidR="0045335F">
        <w:rPr>
          <w:kern w:val="22"/>
          <w:szCs w:val="22"/>
          <w:lang w:val="fr-FR"/>
        </w:rPr>
        <w:t xml:space="preserve"> </w:t>
      </w:r>
      <w:r>
        <w:rPr>
          <w:kern w:val="22"/>
          <w:szCs w:val="22"/>
          <w:lang w:val="fr-FR"/>
        </w:rPr>
        <w:t>composante</w:t>
      </w:r>
      <w:r w:rsidR="00F10E52">
        <w:rPr>
          <w:kern w:val="22"/>
          <w:szCs w:val="22"/>
          <w:lang w:val="fr-FR"/>
        </w:rPr>
        <w:t xml:space="preserve"> vise à soutenir la mise en œuvre du Protocole de Cartagena et à contribuer à la mise en œuvre effective du Protocole additionnel, tout en reconnaissant qu’il s’agit d’instruments juridiques distincts et que les obligations découlant de ces instruments ne lient les Parti</w:t>
      </w:r>
      <w:r w:rsidR="00A20ADB">
        <w:rPr>
          <w:kern w:val="22"/>
          <w:szCs w:val="22"/>
          <w:lang w:val="fr-FR"/>
        </w:rPr>
        <w:t>es qu’à l’instrument considéré.</w:t>
      </w:r>
    </w:p>
    <w:p w:rsidR="00FC0B19" w:rsidRPr="00C061D4" w:rsidRDefault="00F10E52" w:rsidP="0061456E">
      <w:pPr>
        <w:pStyle w:val="Heading1"/>
        <w:rPr>
          <w:kern w:val="22"/>
        </w:rPr>
      </w:pPr>
      <w:r>
        <w:rPr>
          <w:bCs/>
          <w:kern w:val="22"/>
          <w:szCs w:val="22"/>
          <w:lang w:val="fr-FR"/>
        </w:rPr>
        <w:t>IV.</w:t>
      </w:r>
      <w:r>
        <w:rPr>
          <w:bCs/>
          <w:kern w:val="22"/>
          <w:szCs w:val="22"/>
          <w:lang w:val="fr-FR"/>
        </w:rPr>
        <w:tab/>
        <w:t>Évaluation et examen</w:t>
      </w:r>
    </w:p>
    <w:p w:rsidR="00FC0B19" w:rsidRPr="00F10E52" w:rsidRDefault="00F10E52" w:rsidP="0098131D">
      <w:pPr>
        <w:numPr>
          <w:ilvl w:val="0"/>
          <w:numId w:val="12"/>
        </w:numPr>
        <w:ind w:left="0" w:firstLine="0"/>
        <w:rPr>
          <w:kern w:val="22"/>
          <w:lang w:val="fr-FR"/>
        </w:rPr>
      </w:pPr>
      <w:r>
        <w:rPr>
          <w:kern w:val="22"/>
          <w:szCs w:val="22"/>
          <w:lang w:val="fr-FR"/>
        </w:rPr>
        <w:t>La Conférence des Parties siégeant en tant que réunion des Parties au Protocole de Cartagena pourra décider d’entreprendre une évaluation à mi-parcours et une évaluation finale du plan de mise en œuvre et du plan d’action pour le renforcement des capacités. Ces évaluations pourront s’appuyer sur des informations fournies par les Parties dans leurs rapports nationaux, des informations sur les activités de renforcement des capacités et des informations du Centre d’échange pour la prévention des risques biotechnologiques, entre autres. Ces informations pourront être utilisées pour évaluer dans quelle mesure les objectifs du plan de mise en œuvre sont atteints, y compris à travers les activités de renforcement des capacités.</w:t>
      </w:r>
    </w:p>
    <w:p w:rsidR="00FC0B19" w:rsidRPr="00F10E52" w:rsidRDefault="00F10E52" w:rsidP="001452C7">
      <w:pPr>
        <w:numPr>
          <w:ilvl w:val="0"/>
          <w:numId w:val="12"/>
        </w:numPr>
        <w:ind w:left="0" w:firstLine="0"/>
        <w:rPr>
          <w:kern w:val="22"/>
          <w:lang w:val="fr-FR"/>
        </w:rPr>
      </w:pPr>
      <w:r>
        <w:rPr>
          <w:kern w:val="22"/>
          <w:szCs w:val="22"/>
          <w:lang w:val="fr-FR"/>
        </w:rPr>
        <w:t xml:space="preserve">Les résultats </w:t>
      </w:r>
      <w:r w:rsidR="00ED12ED">
        <w:rPr>
          <w:kern w:val="22"/>
          <w:szCs w:val="22"/>
          <w:lang w:val="fr-FR"/>
        </w:rPr>
        <w:t>du</w:t>
      </w:r>
      <w:r w:rsidR="007F10D2">
        <w:rPr>
          <w:kern w:val="22"/>
          <w:szCs w:val="22"/>
          <w:lang w:val="fr-FR"/>
        </w:rPr>
        <w:t xml:space="preserve"> </w:t>
      </w:r>
      <w:r w:rsidR="00ED12ED" w:rsidRPr="00ED12ED">
        <w:rPr>
          <w:kern w:val="22"/>
          <w:szCs w:val="22"/>
          <w:lang w:val="fr-FR"/>
        </w:rPr>
        <w:t xml:space="preserve">quatrième exercice d’évaluation et </w:t>
      </w:r>
      <w:r w:rsidR="00ED12ED">
        <w:rPr>
          <w:kern w:val="22"/>
          <w:szCs w:val="22"/>
          <w:lang w:val="fr-FR"/>
        </w:rPr>
        <w:t>d’</w:t>
      </w:r>
      <w:r w:rsidR="00ED12ED" w:rsidRPr="00ED12ED">
        <w:rPr>
          <w:kern w:val="22"/>
          <w:szCs w:val="22"/>
          <w:lang w:val="fr-FR"/>
        </w:rPr>
        <w:t xml:space="preserve">examen </w:t>
      </w:r>
      <w:r>
        <w:rPr>
          <w:kern w:val="22"/>
          <w:szCs w:val="22"/>
          <w:lang w:val="fr-FR"/>
        </w:rPr>
        <w:t>de l’efficacité du Protocole de Cartagena et l’évaluation finale du Plan stratégique du Protocole de Cartagena seront utilisés pour établir une base de référence permettant de mesurer les progrès accomplis dans l’atteinte des</w:t>
      </w:r>
      <w:r w:rsidR="00A20ADB">
        <w:rPr>
          <w:kern w:val="22"/>
          <w:szCs w:val="22"/>
          <w:lang w:val="fr-FR"/>
        </w:rPr>
        <w:t xml:space="preserve"> buts du plan de mise en œuvre.</w:t>
      </w:r>
    </w:p>
    <w:p w:rsidR="00FC0B19" w:rsidRPr="00F10E52" w:rsidRDefault="00FC0B19" w:rsidP="00FC0B19">
      <w:pPr>
        <w:rPr>
          <w:kern w:val="22"/>
          <w:lang w:val="fr-FR"/>
        </w:rPr>
      </w:pPr>
    </w:p>
    <w:p w:rsidR="00FC0B19" w:rsidRPr="00C061D4" w:rsidRDefault="00F10E52" w:rsidP="0098131D">
      <w:pPr>
        <w:pStyle w:val="Heading1"/>
        <w:numPr>
          <w:ilvl w:val="0"/>
          <w:numId w:val="5"/>
        </w:numPr>
        <w:tabs>
          <w:tab w:val="clear" w:pos="720"/>
        </w:tabs>
        <w:rPr>
          <w:kern w:val="22"/>
        </w:rPr>
      </w:pPr>
      <w:r>
        <w:rPr>
          <w:bCs/>
          <w:kern w:val="22"/>
          <w:szCs w:val="22"/>
          <w:lang w:val="fr-FR"/>
        </w:rPr>
        <w:t>Priorités et programmation</w:t>
      </w:r>
    </w:p>
    <w:p w:rsidR="00FC0B19" w:rsidRPr="00F10E52" w:rsidRDefault="00F10E52" w:rsidP="0061456E">
      <w:pPr>
        <w:numPr>
          <w:ilvl w:val="0"/>
          <w:numId w:val="12"/>
        </w:numPr>
        <w:ind w:left="0" w:firstLine="0"/>
        <w:rPr>
          <w:kern w:val="22"/>
          <w:lang w:val="fr-FR"/>
        </w:rPr>
      </w:pPr>
      <w:r>
        <w:rPr>
          <w:kern w:val="22"/>
          <w:szCs w:val="22"/>
          <w:lang w:val="fr-FR" w:eastAsia="ja-JP"/>
        </w:rPr>
        <w:t>La Conférence des Parties siégeant en tant que réunion des Parties au Protocole de Cartagena peut périodiquement fixer des priorités pour la planification et la programmation des travaux à entreprendre dans le délai prévu par le plan de mise en œuvre. Cela pourrait inclure l’identification d’étapes conduisant à l’atteinte des buts du plan de mise en œuvre.</w:t>
      </w:r>
    </w:p>
    <w:p w:rsidR="00FC0B19" w:rsidRPr="00F10E52" w:rsidRDefault="00F10E52" w:rsidP="00FC0B19">
      <w:pPr>
        <w:numPr>
          <w:ilvl w:val="0"/>
          <w:numId w:val="12"/>
        </w:numPr>
        <w:ind w:left="0" w:firstLine="0"/>
        <w:rPr>
          <w:kern w:val="22"/>
          <w:lang w:val="fr-FR"/>
        </w:rPr>
      </w:pPr>
      <w:r>
        <w:rPr>
          <w:kern w:val="22"/>
          <w:szCs w:val="22"/>
          <w:lang w:val="fr-FR"/>
        </w:rPr>
        <w:t xml:space="preserve">En décidant des priorités et de la programmation, la Conférence des Parties siégeant en tant que réunion des Parties au Protocole de Cartagena souhaitera peut-être prendre en considération les </w:t>
      </w:r>
      <w:r w:rsidR="00747E00">
        <w:rPr>
          <w:kern w:val="22"/>
          <w:szCs w:val="22"/>
          <w:lang w:val="fr-FR"/>
        </w:rPr>
        <w:t>évolutions</w:t>
      </w:r>
      <w:r>
        <w:rPr>
          <w:kern w:val="22"/>
          <w:szCs w:val="22"/>
          <w:lang w:val="fr-FR"/>
        </w:rPr>
        <w:t xml:space="preserve"> et les progrès dans le domaine de la prévention des risques biotechnologiques et de la biotechnologie. À cet égard, le plan de mise en œuvre et le plan d’action pour le renforcement des capacités ont adopté une approche selon laquelle les organismes développés grâce aux nouvelles technologies constituant des «</w:t>
      </w:r>
      <w:r w:rsidR="008B7DA6">
        <w:rPr>
          <w:kern w:val="22"/>
          <w:szCs w:val="22"/>
          <w:lang w:val="fr-FR"/>
        </w:rPr>
        <w:t> </w:t>
      </w:r>
      <w:r>
        <w:rPr>
          <w:kern w:val="22"/>
          <w:szCs w:val="22"/>
          <w:lang w:val="fr-FR"/>
        </w:rPr>
        <w:t>organismes vivants modifiés</w:t>
      </w:r>
      <w:r w:rsidR="008B7DA6">
        <w:rPr>
          <w:kern w:val="22"/>
          <w:szCs w:val="22"/>
          <w:lang w:val="fr-FR"/>
        </w:rPr>
        <w:t> </w:t>
      </w:r>
      <w:r>
        <w:rPr>
          <w:kern w:val="22"/>
          <w:szCs w:val="22"/>
          <w:lang w:val="fr-FR"/>
        </w:rPr>
        <w:t>» tels que définis dans le Protocole sont traités dans les deux plans.</w:t>
      </w:r>
    </w:p>
    <w:p w:rsidR="00FC0B19" w:rsidRPr="00C061D4" w:rsidRDefault="00F10E52" w:rsidP="0061456E">
      <w:pPr>
        <w:pStyle w:val="Heading1"/>
        <w:numPr>
          <w:ilvl w:val="0"/>
          <w:numId w:val="5"/>
        </w:numPr>
        <w:tabs>
          <w:tab w:val="clear" w:pos="720"/>
        </w:tabs>
        <w:rPr>
          <w:kern w:val="22"/>
        </w:rPr>
      </w:pPr>
      <w:r>
        <w:rPr>
          <w:bCs/>
          <w:kern w:val="22"/>
          <w:szCs w:val="22"/>
          <w:lang w:val="fr-FR"/>
        </w:rPr>
        <w:t>Ressources</w:t>
      </w:r>
    </w:p>
    <w:p w:rsidR="00FC0B19" w:rsidRPr="00F10E52" w:rsidRDefault="00F10E52" w:rsidP="001452C7">
      <w:pPr>
        <w:numPr>
          <w:ilvl w:val="0"/>
          <w:numId w:val="12"/>
        </w:numPr>
        <w:ind w:left="0" w:firstLine="0"/>
        <w:rPr>
          <w:kern w:val="22"/>
          <w:lang w:val="fr-FR"/>
        </w:rPr>
      </w:pPr>
      <w:r>
        <w:rPr>
          <w:kern w:val="22"/>
          <w:szCs w:val="22"/>
          <w:lang w:val="fr-FR"/>
        </w:rPr>
        <w:t xml:space="preserve">La réussite de la mise en œuvre du Protocole dépend dans une large mesure de l’accès à des ressources humaines, techniques et financières adéquates et </w:t>
      </w:r>
      <w:r w:rsidR="00353F7B">
        <w:rPr>
          <w:kern w:val="22"/>
          <w:szCs w:val="22"/>
          <w:lang w:val="fr-FR"/>
        </w:rPr>
        <w:t xml:space="preserve">à </w:t>
      </w:r>
      <w:r>
        <w:rPr>
          <w:kern w:val="22"/>
          <w:szCs w:val="22"/>
          <w:lang w:val="fr-FR"/>
        </w:rPr>
        <w:t>une coopération efficace. Le plan de mise en œuvre et le plan d’action pour le renforcement des capacités visent à soutenir les Parties à cet égard, en particulier dans le cadre des buts liés à la création d’un environnement favorable.</w:t>
      </w:r>
    </w:p>
    <w:p w:rsidR="00FC0B19" w:rsidRPr="00C061D4" w:rsidRDefault="00F10E52" w:rsidP="0061456E">
      <w:pPr>
        <w:pStyle w:val="Heading1"/>
        <w:numPr>
          <w:ilvl w:val="0"/>
          <w:numId w:val="5"/>
        </w:numPr>
        <w:tabs>
          <w:tab w:val="clear" w:pos="720"/>
        </w:tabs>
        <w:rPr>
          <w:kern w:val="22"/>
        </w:rPr>
      </w:pPr>
      <w:r>
        <w:rPr>
          <w:bCs/>
          <w:kern w:val="22"/>
          <w:szCs w:val="22"/>
          <w:lang w:val="fr-FR"/>
        </w:rPr>
        <w:t>Rôle du Secrétariat</w:t>
      </w:r>
    </w:p>
    <w:p w:rsidR="00FC0B19" w:rsidRPr="00F10E52" w:rsidRDefault="00F10E52" w:rsidP="001452C7">
      <w:pPr>
        <w:numPr>
          <w:ilvl w:val="0"/>
          <w:numId w:val="12"/>
        </w:numPr>
        <w:ind w:left="0" w:firstLine="0"/>
        <w:rPr>
          <w:kern w:val="22"/>
          <w:lang w:val="fr-FR"/>
        </w:rPr>
      </w:pPr>
      <w:r>
        <w:rPr>
          <w:kern w:val="22"/>
          <w:szCs w:val="22"/>
          <w:lang w:val="fr-FR"/>
        </w:rPr>
        <w:t>Le plan de mise en œuvre et le plan d’action pour le renforcement des capacités s’adressant principalement aux Parties, le Secrétariat de la Convention sur la diversité biologique soutiendra les Parties dans leurs efforts de mise en œuvre le Protocole, conformément aux orientations de la Conférence des Parties siégeant en tant que réunion des Parties au Protocole de Cartagena et conformément à l’Article</w:t>
      </w:r>
      <w:r w:rsidR="008B7DA6">
        <w:rPr>
          <w:kern w:val="22"/>
          <w:szCs w:val="22"/>
          <w:lang w:val="fr-FR"/>
        </w:rPr>
        <w:t> </w:t>
      </w:r>
      <w:r>
        <w:rPr>
          <w:kern w:val="22"/>
          <w:szCs w:val="22"/>
          <w:lang w:val="fr-FR"/>
        </w:rPr>
        <w:t>31 du Protocole de Cartagena et à l’Article</w:t>
      </w:r>
      <w:r w:rsidR="008B7DA6">
        <w:rPr>
          <w:kern w:val="22"/>
          <w:szCs w:val="22"/>
          <w:lang w:val="fr-FR"/>
        </w:rPr>
        <w:t> </w:t>
      </w:r>
      <w:r>
        <w:rPr>
          <w:kern w:val="22"/>
          <w:szCs w:val="22"/>
          <w:lang w:val="fr-FR"/>
        </w:rPr>
        <w:t>24 de la Convention sur la diversité biologique. Ce soutien comprend la gestion et le maintien du Centre d’échange pour la prévention des risques biotechnologiques ainsi que la réalisation d’activités, incluant des activités de renforcement des capacités, comme demandé par la Conférence des Parties siégeant en tant que réuni</w:t>
      </w:r>
      <w:r w:rsidR="00A20ADB">
        <w:rPr>
          <w:kern w:val="22"/>
          <w:szCs w:val="22"/>
          <w:lang w:val="fr-FR"/>
        </w:rPr>
        <w:t>on des Parties au Protocole.</w:t>
      </w:r>
    </w:p>
    <w:p w:rsidR="00FC0B19" w:rsidRPr="00F10E52" w:rsidRDefault="00FC0B19" w:rsidP="00FC0B19">
      <w:pPr>
        <w:rPr>
          <w:kern w:val="22"/>
          <w:lang w:val="fr-FR"/>
        </w:rPr>
      </w:pPr>
    </w:p>
    <w:p w:rsidR="00FC0B19" w:rsidRPr="00F10E52" w:rsidRDefault="00FC0B19" w:rsidP="00FC0B19">
      <w:pPr>
        <w:rPr>
          <w:kern w:val="22"/>
          <w:lang w:val="fr-FR"/>
        </w:rPr>
        <w:sectPr w:rsidR="00FC0B19" w:rsidRPr="00F10E52" w:rsidSect="0085638D">
          <w:pgSz w:w="12240" w:h="15840"/>
          <w:pgMar w:top="567" w:right="1389" w:bottom="1134" w:left="1389" w:header="709" w:footer="709" w:gutter="0"/>
          <w:cols w:space="708"/>
          <w:titlePg/>
          <w:docGrid w:linePitch="360"/>
        </w:sectPr>
      </w:pPr>
    </w:p>
    <w:p w:rsidR="000E2816" w:rsidRPr="00C061D4" w:rsidRDefault="00F10E52" w:rsidP="00253C3E">
      <w:pPr>
        <w:jc w:val="center"/>
        <w:rPr>
          <w:bCs/>
          <w:i/>
          <w:iCs/>
          <w:kern w:val="22"/>
        </w:rPr>
      </w:pPr>
      <w:r>
        <w:rPr>
          <w:bCs/>
          <w:i/>
          <w:iCs/>
          <w:kern w:val="22"/>
          <w:szCs w:val="22"/>
          <w:lang w:val="fr-FR"/>
        </w:rPr>
        <w:lastRenderedPageBreak/>
        <w:t>Appendice</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800"/>
        <w:gridCol w:w="2329"/>
        <w:gridCol w:w="2948"/>
        <w:gridCol w:w="2151"/>
        <w:gridCol w:w="2330"/>
        <w:gridCol w:w="2860"/>
      </w:tblGrid>
      <w:tr w:rsidR="00173EB8" w:rsidRPr="001945CD" w:rsidTr="003D2615">
        <w:trPr>
          <w:trHeight w:val="545"/>
          <w:tblHeader/>
        </w:trPr>
        <w:tc>
          <w:tcPr>
            <w:tcW w:w="9198" w:type="dxa"/>
            <w:gridSpan w:val="4"/>
            <w:tcBorders>
              <w:bottom w:val="single" w:sz="4" w:space="0" w:color="auto"/>
            </w:tcBorders>
            <w:shd w:val="clear" w:color="auto" w:fill="auto"/>
          </w:tcPr>
          <w:p w:rsidR="000E2816" w:rsidRPr="00F10E52" w:rsidRDefault="00F10E52" w:rsidP="001D7B49">
            <w:pPr>
              <w:spacing w:before="240"/>
              <w:jc w:val="center"/>
              <w:rPr>
                <w:rFonts w:eastAsia="MS Mincho"/>
                <w:b/>
                <w:bCs/>
                <w:kern w:val="22"/>
                <w:szCs w:val="22"/>
                <w:lang w:val="fr-FR"/>
              </w:rPr>
            </w:pPr>
            <w:r>
              <w:rPr>
                <w:b/>
                <w:bCs/>
                <w:kern w:val="22"/>
                <w:szCs w:val="22"/>
                <w:lang w:val="fr-FR"/>
              </w:rPr>
              <w:t>Plan de mise en œuvre</w:t>
            </w:r>
          </w:p>
        </w:tc>
        <w:tc>
          <w:tcPr>
            <w:tcW w:w="5220" w:type="dxa"/>
            <w:gridSpan w:val="2"/>
            <w:tcBorders>
              <w:bottom w:val="single" w:sz="4" w:space="0" w:color="auto"/>
            </w:tcBorders>
            <w:shd w:val="clear" w:color="auto" w:fill="auto"/>
          </w:tcPr>
          <w:p w:rsidR="000E2816" w:rsidRPr="00F10E52" w:rsidRDefault="00F10E52" w:rsidP="006B322C">
            <w:pPr>
              <w:spacing w:before="240"/>
              <w:jc w:val="center"/>
              <w:rPr>
                <w:rFonts w:eastAsia="MS Mincho"/>
                <w:b/>
                <w:iCs/>
                <w:kern w:val="22"/>
                <w:szCs w:val="22"/>
                <w:lang w:val="fr-FR"/>
              </w:rPr>
            </w:pPr>
            <w:r>
              <w:rPr>
                <w:b/>
                <w:bCs/>
                <w:iCs/>
                <w:kern w:val="22"/>
                <w:szCs w:val="22"/>
                <w:lang w:val="fr-FR"/>
              </w:rPr>
              <w:t>Plan d’action pour le renforcement des capacités</w:t>
            </w:r>
          </w:p>
        </w:tc>
      </w:tr>
      <w:tr w:rsidR="00173EB8" w:rsidRPr="001945CD" w:rsidTr="003D2615">
        <w:tblPrEx>
          <w:shd w:val="clear" w:color="auto" w:fill="auto"/>
        </w:tblPrEx>
        <w:trPr>
          <w:trHeight w:val="503"/>
          <w:tblHeader/>
        </w:trPr>
        <w:tc>
          <w:tcPr>
            <w:tcW w:w="1728" w:type="dxa"/>
            <w:tcBorders>
              <w:bottom w:val="nil"/>
            </w:tcBorders>
            <w:shd w:val="clear" w:color="auto" w:fill="auto"/>
          </w:tcPr>
          <w:p w:rsidR="000E2816" w:rsidRPr="00C061D4" w:rsidRDefault="00F10E52" w:rsidP="001D7B49">
            <w:pPr>
              <w:rPr>
                <w:rFonts w:eastAsia="MS Mincho"/>
                <w:bCs/>
                <w:kern w:val="22"/>
                <w:sz w:val="20"/>
                <w:szCs w:val="20"/>
              </w:rPr>
            </w:pPr>
            <w:r>
              <w:rPr>
                <w:b/>
                <w:bCs/>
                <w:kern w:val="22"/>
                <w:sz w:val="20"/>
                <w:szCs w:val="20"/>
                <w:lang w:val="fr-FR"/>
              </w:rPr>
              <w:t>Buts</w:t>
            </w:r>
          </w:p>
        </w:tc>
        <w:tc>
          <w:tcPr>
            <w:tcW w:w="2340" w:type="dxa"/>
            <w:tcBorders>
              <w:bottom w:val="nil"/>
            </w:tcBorders>
            <w:shd w:val="clear" w:color="auto" w:fill="auto"/>
          </w:tcPr>
          <w:p w:rsidR="000E2816" w:rsidRPr="00C061D4" w:rsidRDefault="00F10E52" w:rsidP="006B322C">
            <w:pPr>
              <w:rPr>
                <w:rFonts w:eastAsia="MS Mincho"/>
                <w:b/>
                <w:iCs/>
                <w:kern w:val="22"/>
                <w:sz w:val="20"/>
                <w:szCs w:val="20"/>
              </w:rPr>
            </w:pPr>
            <w:r>
              <w:rPr>
                <w:b/>
                <w:bCs/>
                <w:iCs/>
                <w:kern w:val="22"/>
                <w:sz w:val="20"/>
                <w:szCs w:val="20"/>
                <w:lang w:val="fr-FR"/>
              </w:rPr>
              <w:t>Objectifs</w:t>
            </w:r>
          </w:p>
        </w:tc>
        <w:tc>
          <w:tcPr>
            <w:tcW w:w="2970" w:type="dxa"/>
            <w:tcBorders>
              <w:bottom w:val="nil"/>
            </w:tcBorders>
            <w:shd w:val="clear" w:color="auto" w:fill="auto"/>
          </w:tcPr>
          <w:p w:rsidR="000E2816" w:rsidRPr="00C061D4" w:rsidRDefault="00F10E52" w:rsidP="006B322C">
            <w:pPr>
              <w:rPr>
                <w:rFonts w:eastAsia="MS Mincho"/>
                <w:b/>
                <w:iCs/>
                <w:kern w:val="22"/>
                <w:sz w:val="20"/>
                <w:szCs w:val="20"/>
              </w:rPr>
            </w:pPr>
            <w:r>
              <w:rPr>
                <w:b/>
                <w:bCs/>
                <w:iCs/>
                <w:kern w:val="22"/>
                <w:sz w:val="20"/>
                <w:szCs w:val="20"/>
                <w:lang w:val="fr-FR"/>
              </w:rPr>
              <w:t>Indicateurs</w:t>
            </w:r>
          </w:p>
        </w:tc>
        <w:tc>
          <w:tcPr>
            <w:tcW w:w="2160" w:type="dxa"/>
            <w:tcBorders>
              <w:bottom w:val="nil"/>
            </w:tcBorders>
            <w:shd w:val="clear" w:color="auto" w:fill="auto"/>
          </w:tcPr>
          <w:p w:rsidR="000E2816" w:rsidRPr="00C061D4" w:rsidRDefault="00F10E52" w:rsidP="006B322C">
            <w:pPr>
              <w:rPr>
                <w:rFonts w:eastAsia="MS Mincho"/>
                <w:b/>
                <w:bCs/>
                <w:kern w:val="22"/>
                <w:sz w:val="20"/>
                <w:szCs w:val="20"/>
              </w:rPr>
            </w:pPr>
            <w:r>
              <w:rPr>
                <w:b/>
                <w:bCs/>
                <w:kern w:val="22"/>
                <w:sz w:val="20"/>
                <w:szCs w:val="20"/>
                <w:lang w:val="fr-FR"/>
              </w:rPr>
              <w:t>Résultats</w:t>
            </w:r>
          </w:p>
        </w:tc>
        <w:tc>
          <w:tcPr>
            <w:tcW w:w="2340" w:type="dxa"/>
            <w:tcBorders>
              <w:bottom w:val="nil"/>
            </w:tcBorders>
            <w:shd w:val="clear" w:color="auto" w:fill="auto"/>
          </w:tcPr>
          <w:p w:rsidR="000E2816" w:rsidRPr="00F10E52" w:rsidRDefault="00F10E52" w:rsidP="006B322C">
            <w:pPr>
              <w:rPr>
                <w:rFonts w:eastAsia="MS Mincho"/>
                <w:b/>
                <w:iCs/>
                <w:kern w:val="22"/>
                <w:sz w:val="20"/>
                <w:szCs w:val="20"/>
                <w:lang w:val="fr-FR"/>
              </w:rPr>
            </w:pPr>
            <w:r>
              <w:rPr>
                <w:b/>
                <w:bCs/>
                <w:iCs/>
                <w:kern w:val="22"/>
                <w:sz w:val="20"/>
                <w:szCs w:val="20"/>
                <w:lang w:val="fr-FR"/>
              </w:rPr>
              <w:t xml:space="preserve">Domaines clés pour le renforcement des capacités </w:t>
            </w:r>
          </w:p>
        </w:tc>
        <w:tc>
          <w:tcPr>
            <w:tcW w:w="2880" w:type="dxa"/>
            <w:tcBorders>
              <w:bottom w:val="nil"/>
            </w:tcBorders>
            <w:shd w:val="clear" w:color="auto" w:fill="auto"/>
          </w:tcPr>
          <w:p w:rsidR="000E2816" w:rsidRPr="00F10E52" w:rsidRDefault="00F10E52" w:rsidP="006B322C">
            <w:pPr>
              <w:rPr>
                <w:rFonts w:eastAsia="MS Mincho"/>
                <w:b/>
                <w:iCs/>
                <w:kern w:val="22"/>
                <w:sz w:val="20"/>
                <w:szCs w:val="20"/>
                <w:lang w:val="fr-FR"/>
              </w:rPr>
            </w:pPr>
            <w:r>
              <w:rPr>
                <w:b/>
                <w:bCs/>
                <w:iCs/>
                <w:kern w:val="22"/>
                <w:sz w:val="20"/>
                <w:szCs w:val="20"/>
                <w:lang w:val="fr-FR"/>
              </w:rPr>
              <w:t>Activités de renforcement des capacités</w:t>
            </w:r>
          </w:p>
        </w:tc>
      </w:tr>
      <w:tr w:rsidR="00173EB8" w:rsidRPr="001945CD" w:rsidTr="003D2615">
        <w:tblPrEx>
          <w:shd w:val="clear" w:color="auto" w:fill="auto"/>
        </w:tblPrEx>
        <w:trPr>
          <w:trHeight w:val="675"/>
        </w:trPr>
        <w:tc>
          <w:tcPr>
            <w:tcW w:w="1728" w:type="dxa"/>
            <w:tcBorders>
              <w:top w:val="nil"/>
              <w:bottom w:val="single" w:sz="4" w:space="0" w:color="auto"/>
            </w:tcBorders>
            <w:shd w:val="clear" w:color="auto" w:fill="auto"/>
          </w:tcPr>
          <w:p w:rsidR="000E2816" w:rsidRPr="00C061D4" w:rsidRDefault="00F10E52" w:rsidP="00DC732B">
            <w:pPr>
              <w:jc w:val="left"/>
              <w:rPr>
                <w:rFonts w:eastAsia="MS Mincho"/>
                <w:b/>
                <w:bCs/>
                <w:kern w:val="22"/>
                <w:sz w:val="18"/>
                <w:szCs w:val="18"/>
              </w:rPr>
            </w:pPr>
            <w:r>
              <w:rPr>
                <w:i/>
                <w:iCs/>
                <w:kern w:val="22"/>
                <w:sz w:val="18"/>
                <w:szCs w:val="18"/>
                <w:lang w:val="fr-FR"/>
              </w:rPr>
              <w:t>(Réalisations souhaitables)</w:t>
            </w:r>
          </w:p>
        </w:tc>
        <w:tc>
          <w:tcPr>
            <w:tcW w:w="2340" w:type="dxa"/>
            <w:tcBorders>
              <w:top w:val="nil"/>
              <w:bottom w:val="single" w:sz="4" w:space="0" w:color="auto"/>
            </w:tcBorders>
          </w:tcPr>
          <w:p w:rsidR="000E2816" w:rsidRPr="00F10E52" w:rsidRDefault="00F10E52" w:rsidP="00DC732B">
            <w:pPr>
              <w:jc w:val="left"/>
              <w:rPr>
                <w:rFonts w:eastAsia="MS Mincho"/>
                <w:b/>
                <w:iCs/>
                <w:kern w:val="22"/>
                <w:sz w:val="18"/>
                <w:szCs w:val="18"/>
                <w:lang w:val="fr-FR"/>
              </w:rPr>
            </w:pPr>
            <w:r>
              <w:rPr>
                <w:i/>
                <w:iCs/>
                <w:kern w:val="22"/>
                <w:sz w:val="18"/>
                <w:szCs w:val="18"/>
                <w:lang w:val="fr-FR"/>
              </w:rPr>
              <w:t>(Ce qui doit être accompli pour atteindre chaque but)</w:t>
            </w:r>
          </w:p>
        </w:tc>
        <w:tc>
          <w:tcPr>
            <w:tcW w:w="2970" w:type="dxa"/>
            <w:tcBorders>
              <w:top w:val="nil"/>
              <w:bottom w:val="single" w:sz="4" w:space="0" w:color="auto"/>
            </w:tcBorders>
            <w:shd w:val="clear" w:color="auto" w:fill="auto"/>
          </w:tcPr>
          <w:p w:rsidR="000E2816" w:rsidRPr="00F10E52" w:rsidRDefault="00F10E52" w:rsidP="00353F7B">
            <w:pPr>
              <w:jc w:val="left"/>
              <w:rPr>
                <w:rFonts w:eastAsia="MS Mincho"/>
                <w:b/>
                <w:iCs/>
                <w:kern w:val="22"/>
                <w:sz w:val="18"/>
                <w:szCs w:val="18"/>
                <w:lang w:val="fr-FR"/>
              </w:rPr>
            </w:pPr>
            <w:r>
              <w:rPr>
                <w:i/>
                <w:iCs/>
                <w:kern w:val="22"/>
                <w:sz w:val="18"/>
                <w:szCs w:val="18"/>
                <w:lang w:val="fr-FR"/>
              </w:rPr>
              <w:t>(</w:t>
            </w:r>
            <w:r w:rsidR="00353F7B">
              <w:rPr>
                <w:i/>
                <w:iCs/>
                <w:kern w:val="22"/>
                <w:sz w:val="18"/>
                <w:szCs w:val="18"/>
                <w:lang w:val="fr-FR"/>
              </w:rPr>
              <w:t>Permettent de mesurer</w:t>
            </w:r>
            <w:r>
              <w:rPr>
                <w:i/>
                <w:iCs/>
                <w:kern w:val="22"/>
                <w:sz w:val="18"/>
                <w:szCs w:val="18"/>
                <w:lang w:val="fr-FR"/>
              </w:rPr>
              <w:t xml:space="preserve"> les progrès vers </w:t>
            </w:r>
            <w:r w:rsidR="00353F7B">
              <w:rPr>
                <w:i/>
                <w:iCs/>
                <w:kern w:val="22"/>
                <w:sz w:val="18"/>
                <w:szCs w:val="18"/>
                <w:lang w:val="fr-FR"/>
              </w:rPr>
              <w:t>l’atteinte d</w:t>
            </w:r>
            <w:r>
              <w:rPr>
                <w:i/>
                <w:iCs/>
                <w:kern w:val="22"/>
                <w:sz w:val="18"/>
                <w:szCs w:val="18"/>
                <w:lang w:val="fr-FR"/>
              </w:rPr>
              <w:t>es objectifs)</w:t>
            </w:r>
          </w:p>
        </w:tc>
        <w:tc>
          <w:tcPr>
            <w:tcW w:w="2160" w:type="dxa"/>
            <w:tcBorders>
              <w:top w:val="nil"/>
              <w:bottom w:val="single" w:sz="4" w:space="0" w:color="auto"/>
            </w:tcBorders>
            <w:shd w:val="clear" w:color="auto" w:fill="auto"/>
          </w:tcPr>
          <w:p w:rsidR="000E2816" w:rsidRPr="00F10E52" w:rsidRDefault="00F10E52" w:rsidP="00DC732B">
            <w:pPr>
              <w:jc w:val="left"/>
              <w:rPr>
                <w:rFonts w:eastAsia="MS Mincho"/>
                <w:b/>
                <w:bCs/>
                <w:kern w:val="22"/>
                <w:sz w:val="18"/>
                <w:szCs w:val="18"/>
                <w:lang w:val="fr-FR"/>
              </w:rPr>
            </w:pPr>
            <w:r>
              <w:rPr>
                <w:i/>
                <w:iCs/>
                <w:kern w:val="22"/>
                <w:sz w:val="18"/>
                <w:szCs w:val="18"/>
                <w:lang w:val="fr-FR"/>
              </w:rPr>
              <w:t>(L’effet de l’atteinte de chaque but)</w:t>
            </w:r>
          </w:p>
        </w:tc>
        <w:tc>
          <w:tcPr>
            <w:tcW w:w="2340" w:type="dxa"/>
            <w:tcBorders>
              <w:top w:val="nil"/>
              <w:bottom w:val="single" w:sz="4" w:space="0" w:color="auto"/>
            </w:tcBorders>
            <w:shd w:val="clear" w:color="auto" w:fill="auto"/>
          </w:tcPr>
          <w:p w:rsidR="000E2816" w:rsidRPr="00F10E52" w:rsidRDefault="00F10E52" w:rsidP="00353F7B">
            <w:pPr>
              <w:jc w:val="left"/>
              <w:rPr>
                <w:rFonts w:eastAsia="MS Mincho"/>
                <w:b/>
                <w:iCs/>
                <w:kern w:val="22"/>
                <w:sz w:val="18"/>
                <w:szCs w:val="18"/>
                <w:lang w:val="fr-FR"/>
              </w:rPr>
            </w:pPr>
            <w:r>
              <w:rPr>
                <w:i/>
                <w:iCs/>
                <w:kern w:val="22"/>
                <w:sz w:val="18"/>
                <w:szCs w:val="18"/>
                <w:lang w:val="fr-FR"/>
              </w:rPr>
              <w:t xml:space="preserve">(Domaines clés </w:t>
            </w:r>
            <w:r w:rsidR="00353F7B">
              <w:rPr>
                <w:i/>
                <w:iCs/>
                <w:kern w:val="22"/>
                <w:sz w:val="18"/>
                <w:szCs w:val="18"/>
                <w:lang w:val="fr-FR"/>
              </w:rPr>
              <w:t>pouvant nécessiter des</w:t>
            </w:r>
            <w:r>
              <w:rPr>
                <w:i/>
                <w:iCs/>
                <w:kern w:val="22"/>
                <w:sz w:val="18"/>
                <w:szCs w:val="18"/>
                <w:lang w:val="fr-FR"/>
              </w:rPr>
              <w:t xml:space="preserve"> capacités)</w:t>
            </w:r>
          </w:p>
        </w:tc>
        <w:tc>
          <w:tcPr>
            <w:tcW w:w="2880" w:type="dxa"/>
            <w:tcBorders>
              <w:top w:val="nil"/>
              <w:bottom w:val="single" w:sz="4" w:space="0" w:color="auto"/>
            </w:tcBorders>
            <w:shd w:val="clear" w:color="auto" w:fill="auto"/>
          </w:tcPr>
          <w:p w:rsidR="000E2816" w:rsidRPr="00F10E52" w:rsidRDefault="00F10E52" w:rsidP="00353F7B">
            <w:pPr>
              <w:jc w:val="left"/>
              <w:rPr>
                <w:rFonts w:eastAsia="MS Mincho"/>
                <w:b/>
                <w:iCs/>
                <w:kern w:val="22"/>
                <w:sz w:val="18"/>
                <w:szCs w:val="18"/>
                <w:lang w:val="fr-FR"/>
              </w:rPr>
            </w:pPr>
            <w:r>
              <w:rPr>
                <w:i/>
                <w:iCs/>
                <w:kern w:val="22"/>
                <w:sz w:val="18"/>
                <w:szCs w:val="18"/>
                <w:lang w:val="fr-FR"/>
              </w:rPr>
              <w:t>(Exemples d’activités de renforcement des capacités proposées dans les domaines clés)</w:t>
            </w:r>
          </w:p>
        </w:tc>
      </w:tr>
      <w:tr w:rsidR="00173EB8" w:rsidRPr="001945CD" w:rsidTr="003D2615">
        <w:tblPrEx>
          <w:shd w:val="clear" w:color="auto" w:fill="auto"/>
        </w:tblPrEx>
        <w:tc>
          <w:tcPr>
            <w:tcW w:w="14418" w:type="dxa"/>
            <w:gridSpan w:val="6"/>
            <w:tcBorders>
              <w:top w:val="single" w:sz="4" w:space="0" w:color="auto"/>
              <w:bottom w:val="single" w:sz="4" w:space="0" w:color="auto"/>
            </w:tcBorders>
            <w:shd w:val="clear" w:color="auto" w:fill="auto"/>
          </w:tcPr>
          <w:p w:rsidR="000E2816" w:rsidRPr="00F10E52" w:rsidRDefault="00F10E52" w:rsidP="00FF62A3">
            <w:pPr>
              <w:numPr>
                <w:ilvl w:val="0"/>
                <w:numId w:val="15"/>
              </w:numPr>
              <w:spacing w:before="240" w:after="240"/>
              <w:ind w:left="714" w:hanging="357"/>
              <w:jc w:val="center"/>
              <w:rPr>
                <w:rFonts w:eastAsia="MS Mincho"/>
                <w:kern w:val="22"/>
                <w:sz w:val="20"/>
                <w:szCs w:val="20"/>
                <w:lang w:val="fr-FR"/>
              </w:rPr>
            </w:pPr>
            <w:r>
              <w:rPr>
                <w:b/>
                <w:bCs/>
                <w:kern w:val="22"/>
                <w:sz w:val="20"/>
                <w:szCs w:val="20"/>
                <w:lang w:val="fr-FR"/>
              </w:rPr>
              <w:t>Domaines de mise en œuvre</w:t>
            </w:r>
          </w:p>
        </w:tc>
      </w:tr>
      <w:tr w:rsidR="00173EB8" w:rsidRPr="001945CD" w:rsidTr="003D2615">
        <w:tblPrEx>
          <w:shd w:val="clear" w:color="auto" w:fill="auto"/>
        </w:tblPrEx>
        <w:tc>
          <w:tcPr>
            <w:tcW w:w="1728" w:type="dxa"/>
            <w:tcBorders>
              <w:top w:val="single" w:sz="4" w:space="0" w:color="auto"/>
              <w:bottom w:val="single" w:sz="4" w:space="0" w:color="auto"/>
            </w:tcBorders>
            <w:shd w:val="clear" w:color="auto" w:fill="auto"/>
          </w:tcPr>
          <w:p w:rsidR="000E2816" w:rsidRPr="00F10E52" w:rsidRDefault="00F10E52" w:rsidP="006B322C">
            <w:pPr>
              <w:jc w:val="left"/>
              <w:rPr>
                <w:rFonts w:eastAsia="MS Mincho"/>
                <w:b/>
                <w:kern w:val="22"/>
                <w:sz w:val="20"/>
                <w:szCs w:val="20"/>
                <w:lang w:val="fr-FR"/>
              </w:rPr>
            </w:pPr>
            <w:r>
              <w:rPr>
                <w:b/>
                <w:bCs/>
                <w:kern w:val="22"/>
                <w:sz w:val="20"/>
                <w:szCs w:val="20"/>
                <w:lang w:val="fr-FR"/>
              </w:rPr>
              <w:t>A.1. Les Parties ont mis en place des cadres nationaux fonctionnels de prévention des risques biotechnologiques</w:t>
            </w:r>
            <w:r w:rsidR="001E5C22">
              <w:rPr>
                <w:b/>
                <w:bCs/>
                <w:kern w:val="22"/>
                <w:sz w:val="20"/>
                <w:szCs w:val="20"/>
                <w:lang w:val="fr-FR"/>
              </w:rPr>
              <w:t>.</w:t>
            </w:r>
          </w:p>
          <w:p w:rsidR="000E2816" w:rsidRPr="00F10E52" w:rsidRDefault="000E2816" w:rsidP="006B322C">
            <w:pPr>
              <w:jc w:val="left"/>
              <w:rPr>
                <w:rFonts w:eastAsia="MS Mincho"/>
                <w:kern w:val="22"/>
                <w:sz w:val="20"/>
                <w:szCs w:val="20"/>
                <w:lang w:val="fr-FR"/>
              </w:rPr>
            </w:pPr>
          </w:p>
        </w:tc>
        <w:tc>
          <w:tcPr>
            <w:tcW w:w="2340" w:type="dxa"/>
            <w:tcBorders>
              <w:top w:val="single" w:sz="4" w:space="0" w:color="auto"/>
              <w:bottom w:val="single" w:sz="4" w:space="0" w:color="auto"/>
            </w:tcBorders>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A.1.1. Les Parties ont adopté et mis en œuvre des mesures juridiques, administratives et d’autres mesures pour s’acquitter de leurs obligations au titre du Protocole</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A.1.2. Les Parties ont désigné des autorités nationales compétentes et des points focaux nationaux pour le Protocole ainsi qu’un point de contact pour les mesures d’urgence (Article</w:t>
            </w:r>
            <w:r w:rsidR="008B7DA6">
              <w:rPr>
                <w:kern w:val="22"/>
                <w:sz w:val="20"/>
                <w:szCs w:val="20"/>
                <w:lang w:val="fr-FR"/>
              </w:rPr>
              <w:t> </w:t>
            </w:r>
            <w:r>
              <w:rPr>
                <w:kern w:val="22"/>
                <w:sz w:val="20"/>
                <w:szCs w:val="20"/>
                <w:lang w:val="fr-FR"/>
              </w:rPr>
              <w:t>17)</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A.1.3. Les autorités nationales compétentes disposent d’un personnel correctement formé pour mener à bien leurs tâches</w:t>
            </w:r>
            <w:r w:rsidR="001E5C22">
              <w:rPr>
                <w:kern w:val="22"/>
                <w:sz w:val="20"/>
                <w:szCs w:val="20"/>
                <w:lang w:val="fr-FR"/>
              </w:rPr>
              <w:t>.</w:t>
            </w:r>
          </w:p>
        </w:tc>
        <w:tc>
          <w:tcPr>
            <w:tcW w:w="2970" w:type="dxa"/>
            <w:tcBorders>
              <w:top w:val="single" w:sz="4" w:space="0" w:color="auto"/>
              <w:bottom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a) Pourcentage de Parties ayant mis en place des mesures pour mettre en œuvre les dispositions du Protocole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b) Pourcentage de Parties ayant </w:t>
            </w:r>
            <w:r w:rsidR="00E85A62">
              <w:rPr>
                <w:kern w:val="22"/>
                <w:sz w:val="20"/>
                <w:szCs w:val="20"/>
                <w:lang w:val="fr-FR"/>
              </w:rPr>
              <w:t xml:space="preserve">désigné un point focal national, </w:t>
            </w:r>
            <w:r>
              <w:rPr>
                <w:kern w:val="22"/>
                <w:sz w:val="20"/>
                <w:szCs w:val="20"/>
                <w:lang w:val="fr-FR"/>
              </w:rPr>
              <w:t>des autorités nationales compétentes pour le Protocole ainsi qu’un point de contact pour les mesures d’urgence (Article</w:t>
            </w:r>
            <w:r w:rsidR="008B7DA6">
              <w:rPr>
                <w:kern w:val="22"/>
                <w:sz w:val="20"/>
                <w:szCs w:val="20"/>
                <w:lang w:val="fr-FR"/>
              </w:rPr>
              <w:t> </w:t>
            </w:r>
            <w:r>
              <w:rPr>
                <w:kern w:val="22"/>
                <w:sz w:val="20"/>
                <w:szCs w:val="20"/>
                <w:lang w:val="fr-FR"/>
              </w:rPr>
              <w:t>17), et en ont informé le Secrétariat</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c) Pourcentage de Parties ayant du personnel pour rendre opérationnels leurs cadres nationaux de prévention des risques biotechnologiques.</w:t>
            </w:r>
          </w:p>
        </w:tc>
        <w:tc>
          <w:tcPr>
            <w:tcW w:w="2160" w:type="dxa"/>
            <w:tcBorders>
              <w:top w:val="single" w:sz="4" w:space="0" w:color="auto"/>
              <w:bottom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Des cadres nationaux fonctionnels de prévention des risques biotechnologiques permettent aux autorités compétentes, aux points focaux nationaux et aux points de contact de recevoir les notifications au titre de l’Article</w:t>
            </w:r>
            <w:r w:rsidR="008B7DA6">
              <w:rPr>
                <w:kern w:val="22"/>
                <w:sz w:val="20"/>
                <w:szCs w:val="20"/>
                <w:lang w:val="fr-FR"/>
              </w:rPr>
              <w:t> </w:t>
            </w:r>
            <w:r>
              <w:rPr>
                <w:kern w:val="22"/>
                <w:sz w:val="20"/>
                <w:szCs w:val="20"/>
                <w:lang w:val="fr-FR"/>
              </w:rPr>
              <w:t>17 de toutes les Parties afin de s’acquitter effectivement et efficacement de leurs obligations au titre du Protocole</w:t>
            </w:r>
            <w:r w:rsidR="003522A2">
              <w:rPr>
                <w:kern w:val="22"/>
                <w:sz w:val="20"/>
                <w:szCs w:val="20"/>
                <w:lang w:val="fr-FR"/>
              </w:rPr>
              <w:t>.</w:t>
            </w:r>
          </w:p>
        </w:tc>
        <w:tc>
          <w:tcPr>
            <w:tcW w:w="2340" w:type="dxa"/>
            <w:tcBorders>
              <w:top w:val="single" w:sz="4" w:space="0" w:color="auto"/>
              <w:bottom w:val="single" w:sz="4" w:space="0" w:color="auto"/>
            </w:tcBorders>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1) Élaboration et mise en œuvre de mesures juridiques, administratives et d’autres mesures pour la mise en œuvre du Protocole</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2) Renforcement des capacités des autorités nationales compétentes.</w:t>
            </w:r>
          </w:p>
        </w:tc>
        <w:tc>
          <w:tcPr>
            <w:tcW w:w="2880" w:type="dxa"/>
            <w:tcBorders>
              <w:top w:val="single" w:sz="4" w:space="0" w:color="auto"/>
              <w:bottom w:val="single" w:sz="4" w:space="0" w:color="auto"/>
            </w:tcBorders>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 Dispenser une formation sur l’élaboration et la mise en œuvre de mesures juridiques, administratives et d’autres mesures pour la mise en œuvre du Protocole</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ii) Former le personnel des autorités nationales compétentes à l’administration du système de réglementation de la prévention des risques biotechnologiques.</w:t>
            </w:r>
          </w:p>
        </w:tc>
      </w:tr>
      <w:tr w:rsidR="00173EB8" w:rsidRPr="001945CD" w:rsidTr="006B322C">
        <w:tblPrEx>
          <w:shd w:val="clear" w:color="auto" w:fill="auto"/>
        </w:tblPrEx>
        <w:tc>
          <w:tcPr>
            <w:tcW w:w="1728" w:type="dxa"/>
            <w:tcBorders>
              <w:top w:val="single" w:sz="4" w:space="0" w:color="auto"/>
            </w:tcBorders>
            <w:shd w:val="clear" w:color="auto" w:fill="auto"/>
          </w:tcPr>
          <w:p w:rsidR="000E2816" w:rsidRPr="00F10E52" w:rsidRDefault="00F10E52" w:rsidP="006B322C">
            <w:pPr>
              <w:spacing w:before="60" w:after="60"/>
              <w:jc w:val="left"/>
              <w:rPr>
                <w:rFonts w:eastAsia="MS Mincho"/>
                <w:b/>
                <w:kern w:val="22"/>
                <w:sz w:val="20"/>
                <w:szCs w:val="20"/>
                <w:lang w:val="fr-FR"/>
              </w:rPr>
            </w:pPr>
            <w:r>
              <w:rPr>
                <w:b/>
                <w:bCs/>
                <w:kern w:val="22"/>
                <w:sz w:val="20"/>
                <w:szCs w:val="20"/>
                <w:lang w:val="fr-FR"/>
              </w:rPr>
              <w:t xml:space="preserve">A.2. Les Parties ont amélioré la disponibilité et </w:t>
            </w:r>
            <w:r>
              <w:rPr>
                <w:b/>
                <w:bCs/>
                <w:kern w:val="22"/>
                <w:sz w:val="20"/>
                <w:szCs w:val="20"/>
                <w:lang w:val="fr-FR"/>
              </w:rPr>
              <w:lastRenderedPageBreak/>
              <w:t>l’échange d’informations pertinentes par l’intermédia</w:t>
            </w:r>
            <w:r w:rsidR="005C406B">
              <w:rPr>
                <w:b/>
                <w:bCs/>
                <w:kern w:val="22"/>
                <w:sz w:val="20"/>
                <w:szCs w:val="20"/>
                <w:lang w:val="fr-FR"/>
              </w:rPr>
              <w:t>i</w:t>
            </w:r>
            <w:r>
              <w:rPr>
                <w:b/>
                <w:bCs/>
                <w:kern w:val="22"/>
                <w:sz w:val="20"/>
                <w:szCs w:val="20"/>
                <w:lang w:val="fr-FR"/>
              </w:rPr>
              <w:t>re du CEPRB</w:t>
            </w:r>
            <w:r w:rsidR="001E5C22">
              <w:rPr>
                <w:b/>
                <w:bCs/>
                <w:kern w:val="22"/>
                <w:sz w:val="20"/>
                <w:szCs w:val="20"/>
                <w:lang w:val="fr-FR"/>
              </w:rPr>
              <w:t>.</w:t>
            </w:r>
          </w:p>
        </w:tc>
        <w:tc>
          <w:tcPr>
            <w:tcW w:w="2340" w:type="dxa"/>
            <w:tcBorders>
              <w:top w:val="single" w:sz="4" w:space="0" w:color="auto"/>
            </w:tcBorders>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lastRenderedPageBreak/>
              <w:t xml:space="preserve">A.2.1. Les Parties fournissent des informations obligatoires </w:t>
            </w:r>
            <w:r>
              <w:rPr>
                <w:kern w:val="22"/>
                <w:sz w:val="20"/>
                <w:szCs w:val="20"/>
                <w:lang w:val="fr-FR"/>
              </w:rPr>
              <w:lastRenderedPageBreak/>
              <w:t>exactes et complètes au CEPRB conformément à leurs obligations au titre du Protocole</w:t>
            </w:r>
            <w:r w:rsidR="001E5C22">
              <w:rPr>
                <w:kern w:val="22"/>
                <w:sz w:val="20"/>
                <w:szCs w:val="20"/>
                <w:lang w:val="fr-FR"/>
              </w:rPr>
              <w:t> ;</w:t>
            </w:r>
          </w:p>
          <w:p w:rsidR="000E2816" w:rsidRPr="00F10E52" w:rsidRDefault="00F10E52" w:rsidP="00EF7F10">
            <w:pPr>
              <w:spacing w:before="60" w:after="60"/>
              <w:jc w:val="left"/>
              <w:rPr>
                <w:rFonts w:eastAsia="MS Mincho"/>
                <w:kern w:val="22"/>
                <w:sz w:val="20"/>
                <w:szCs w:val="20"/>
                <w:lang w:val="fr-FR"/>
              </w:rPr>
            </w:pPr>
            <w:r>
              <w:rPr>
                <w:kern w:val="22"/>
                <w:sz w:val="20"/>
                <w:szCs w:val="20"/>
                <w:lang w:val="fr-FR"/>
              </w:rPr>
              <w:t>A.2.2. Les Parties publient d’autres types d’informations relatives à la prévention des risques biotechnologiques par l’intermédia</w:t>
            </w:r>
            <w:r w:rsidR="005C406B">
              <w:rPr>
                <w:kern w:val="22"/>
                <w:sz w:val="20"/>
                <w:szCs w:val="20"/>
                <w:lang w:val="fr-FR"/>
              </w:rPr>
              <w:t>i</w:t>
            </w:r>
            <w:r>
              <w:rPr>
                <w:kern w:val="22"/>
                <w:sz w:val="20"/>
                <w:szCs w:val="20"/>
                <w:lang w:val="fr-FR"/>
              </w:rPr>
              <w:t>re du CEPRB</w:t>
            </w:r>
            <w:r w:rsidR="001E5C22">
              <w:rPr>
                <w:kern w:val="22"/>
                <w:sz w:val="20"/>
                <w:szCs w:val="20"/>
                <w:lang w:val="fr-FR"/>
              </w:rPr>
              <w:t>.</w:t>
            </w:r>
          </w:p>
        </w:tc>
        <w:tc>
          <w:tcPr>
            <w:tcW w:w="2970" w:type="dxa"/>
            <w:tcBorders>
              <w:top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 Pourcentage de Parties mettant les informations obligatoires à la disposition du CEPRB</w:t>
            </w:r>
            <w:r w:rsidR="003522A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lastRenderedPageBreak/>
              <w:t>b) Pourcentage de Parties publiant d’autres types d’informations relatives à la prévention des risques biotechnologiques par l’intermédia</w:t>
            </w:r>
            <w:r w:rsidR="005C406B">
              <w:rPr>
                <w:kern w:val="22"/>
                <w:sz w:val="20"/>
                <w:szCs w:val="20"/>
                <w:lang w:val="fr-FR"/>
              </w:rPr>
              <w:t>i</w:t>
            </w:r>
            <w:r>
              <w:rPr>
                <w:kern w:val="22"/>
                <w:sz w:val="20"/>
                <w:szCs w:val="20"/>
                <w:lang w:val="fr-FR"/>
              </w:rPr>
              <w:t>re du CEPRB</w:t>
            </w:r>
            <w:r w:rsidR="003522A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c) Nombre d’utilisateur</w:t>
            </w:r>
            <w:r w:rsidR="003522A2">
              <w:rPr>
                <w:kern w:val="22"/>
                <w:sz w:val="20"/>
                <w:szCs w:val="20"/>
                <w:lang w:val="fr-FR"/>
              </w:rPr>
              <w:t>s actifs et de visites du CEPRB.</w:t>
            </w:r>
          </w:p>
        </w:tc>
        <w:tc>
          <w:tcPr>
            <w:tcW w:w="2160" w:type="dxa"/>
            <w:tcBorders>
              <w:top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 xml:space="preserve">Le CEPRB facilite la disponibilité et l’échange </w:t>
            </w:r>
            <w:r>
              <w:rPr>
                <w:kern w:val="22"/>
                <w:sz w:val="20"/>
                <w:szCs w:val="20"/>
                <w:lang w:val="fr-FR"/>
              </w:rPr>
              <w:lastRenderedPageBreak/>
              <w:t>d’informations liées à la prévention des risques biotechnologiques et permet aux Parties de prendre des décisions éclairées</w:t>
            </w:r>
            <w:r w:rsidR="003522A2">
              <w:rPr>
                <w:kern w:val="22"/>
                <w:sz w:val="20"/>
                <w:szCs w:val="20"/>
                <w:lang w:val="fr-FR"/>
              </w:rPr>
              <w:t>.</w:t>
            </w:r>
          </w:p>
        </w:tc>
        <w:tc>
          <w:tcPr>
            <w:tcW w:w="2340" w:type="dxa"/>
            <w:tcBorders>
              <w:top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1) Publication d’informations sur le CEPRB ;</w:t>
            </w:r>
          </w:p>
          <w:p w:rsidR="000E2816" w:rsidRPr="00F10E52" w:rsidRDefault="00F10E52" w:rsidP="006B322C">
            <w:pPr>
              <w:jc w:val="left"/>
              <w:rPr>
                <w:rFonts w:eastAsia="MS Mincho"/>
                <w:strike/>
                <w:kern w:val="22"/>
                <w:sz w:val="20"/>
                <w:szCs w:val="20"/>
                <w:lang w:val="fr-FR"/>
              </w:rPr>
            </w:pPr>
            <w:r>
              <w:rPr>
                <w:kern w:val="22"/>
                <w:sz w:val="20"/>
                <w:szCs w:val="20"/>
                <w:lang w:val="fr-FR"/>
              </w:rPr>
              <w:lastRenderedPageBreak/>
              <w:t>2) Accès et utilisation des informations sur le CEPRB.</w:t>
            </w:r>
          </w:p>
        </w:tc>
        <w:tc>
          <w:tcPr>
            <w:tcW w:w="2880" w:type="dxa"/>
            <w:tcBorders>
              <w:top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 xml:space="preserve">i) Élaborer, mettre à jour et maintenir des outils de soutien interactifs, suite à la migration </w:t>
            </w:r>
            <w:r>
              <w:rPr>
                <w:kern w:val="22"/>
                <w:sz w:val="20"/>
                <w:szCs w:val="20"/>
                <w:lang w:val="fr-FR"/>
              </w:rPr>
              <w:lastRenderedPageBreak/>
              <w:t>du CEPRB vers la nouvelle plateforme</w:t>
            </w:r>
            <w:r w:rsidR="008B7DA6">
              <w:rPr>
                <w:kern w:val="22"/>
                <w:sz w:val="20"/>
                <w:szCs w:val="20"/>
                <w:lang w:val="fr-FR"/>
              </w:rPr>
              <w:t> </w:t>
            </w:r>
            <w:r w:rsidR="003D2615">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ii) Fournir une format</w:t>
            </w:r>
            <w:r w:rsidR="003D2615">
              <w:rPr>
                <w:kern w:val="22"/>
                <w:sz w:val="20"/>
                <w:szCs w:val="20"/>
                <w:lang w:val="fr-FR"/>
              </w:rPr>
              <w:t>ion sur l’utilisation du CEPRB.</w:t>
            </w:r>
          </w:p>
        </w:tc>
      </w:tr>
      <w:tr w:rsidR="00173EB8" w:rsidRPr="001945CD" w:rsidTr="006B322C">
        <w:tblPrEx>
          <w:shd w:val="clear" w:color="auto" w:fill="auto"/>
        </w:tblPrEx>
        <w:tc>
          <w:tcPr>
            <w:tcW w:w="1728" w:type="dxa"/>
            <w:tcBorders>
              <w:top w:val="single" w:sz="4" w:space="0" w:color="auto"/>
            </w:tcBorders>
            <w:shd w:val="clear" w:color="auto" w:fill="auto"/>
          </w:tcPr>
          <w:p w:rsidR="000E2816" w:rsidRPr="00F10E52" w:rsidRDefault="00F10E52" w:rsidP="006B322C">
            <w:pPr>
              <w:spacing w:before="60" w:after="60"/>
              <w:jc w:val="left"/>
              <w:rPr>
                <w:rFonts w:eastAsia="MS Mincho"/>
                <w:b/>
                <w:kern w:val="22"/>
                <w:sz w:val="20"/>
                <w:szCs w:val="20"/>
                <w:lang w:val="fr-FR"/>
              </w:rPr>
            </w:pPr>
            <w:r>
              <w:rPr>
                <w:b/>
                <w:bCs/>
                <w:kern w:val="22"/>
                <w:sz w:val="20"/>
                <w:szCs w:val="20"/>
                <w:lang w:val="fr-FR"/>
              </w:rPr>
              <w:lastRenderedPageBreak/>
              <w:t>A.3. Des informations complètes sur la mise en œuvre du Protocole sont mises à disposition par les Parties en temps opportun</w:t>
            </w:r>
            <w:r w:rsidR="001E5C22">
              <w:rPr>
                <w:b/>
                <w:bCs/>
                <w:kern w:val="22"/>
                <w:sz w:val="20"/>
                <w:szCs w:val="20"/>
                <w:lang w:val="fr-FR"/>
              </w:rPr>
              <w:t>.</w:t>
            </w:r>
          </w:p>
        </w:tc>
        <w:tc>
          <w:tcPr>
            <w:tcW w:w="2340" w:type="dxa"/>
            <w:tcBorders>
              <w:top w:val="single" w:sz="4" w:space="0" w:color="auto"/>
            </w:tcBorders>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A.3.1. Les Parties soumettent des rapports nationaux complets dans le délai imparti</w:t>
            </w:r>
            <w:r w:rsidR="001E5C22">
              <w:rPr>
                <w:kern w:val="22"/>
                <w:sz w:val="20"/>
                <w:szCs w:val="20"/>
                <w:lang w:val="fr-FR"/>
              </w:rPr>
              <w:t>.</w:t>
            </w:r>
          </w:p>
        </w:tc>
        <w:tc>
          <w:tcPr>
            <w:tcW w:w="2970" w:type="dxa"/>
            <w:tcBorders>
              <w:top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a) Pourcentage de Parties ayant soumis un rapport national complet dans le délai imparti ;</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éligibles ayant accédé au financement du FEM pour la préparation de leur rapport national en temps opportun.</w:t>
            </w:r>
          </w:p>
        </w:tc>
        <w:tc>
          <w:tcPr>
            <w:tcW w:w="2160" w:type="dxa"/>
            <w:tcBorders>
              <w:top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Des informations précises et en temps opportun sur la mise en œuvre du Protocole permettent à la Conférence des Parties siégeant en tant que réunion des Parties au Protocole de fixer des priorités et d’identifier les domaines dans lesquels un soutien est nécessaire</w:t>
            </w:r>
            <w:r w:rsidR="003522A2">
              <w:rPr>
                <w:kern w:val="22"/>
                <w:sz w:val="20"/>
                <w:szCs w:val="20"/>
                <w:lang w:val="fr-FR"/>
              </w:rPr>
              <w:t>.</w:t>
            </w:r>
          </w:p>
        </w:tc>
        <w:tc>
          <w:tcPr>
            <w:tcW w:w="234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1) Établissement et renforcement des systèmes nationaux de coordination pour recueillir des informations sur la prévention des risques biotechnologiques</w:t>
            </w:r>
            <w:r w:rsidR="008B7DA6">
              <w:rPr>
                <w:kern w:val="22"/>
                <w:sz w:val="20"/>
                <w:szCs w:val="20"/>
                <w:lang w:val="fr-FR"/>
              </w:rPr>
              <w:t> </w:t>
            </w:r>
            <w:r>
              <w:rPr>
                <w:kern w:val="22"/>
                <w:sz w:val="20"/>
                <w:szCs w:val="20"/>
                <w:lang w:val="fr-FR"/>
              </w:rPr>
              <w:t>;</w:t>
            </w:r>
          </w:p>
          <w:p w:rsidR="000E2816" w:rsidRPr="00C061D4" w:rsidRDefault="00F10E52" w:rsidP="003D2615">
            <w:pPr>
              <w:jc w:val="left"/>
              <w:rPr>
                <w:rFonts w:eastAsia="MS Mincho"/>
                <w:kern w:val="22"/>
                <w:sz w:val="20"/>
                <w:szCs w:val="20"/>
              </w:rPr>
            </w:pPr>
            <w:r>
              <w:rPr>
                <w:kern w:val="22"/>
                <w:sz w:val="20"/>
                <w:szCs w:val="20"/>
                <w:lang w:val="fr-FR"/>
              </w:rPr>
              <w:t>2) Préparation d</w:t>
            </w:r>
            <w:r w:rsidR="003D2615">
              <w:rPr>
                <w:kern w:val="22"/>
                <w:sz w:val="20"/>
                <w:szCs w:val="20"/>
                <w:lang w:val="fr-FR"/>
              </w:rPr>
              <w:t>’un rapport</w:t>
            </w:r>
            <w:r>
              <w:rPr>
                <w:kern w:val="22"/>
                <w:sz w:val="20"/>
                <w:szCs w:val="20"/>
                <w:lang w:val="fr-FR"/>
              </w:rPr>
              <w:t xml:space="preserve"> nationa</w:t>
            </w:r>
            <w:r w:rsidR="003D2615">
              <w:rPr>
                <w:kern w:val="22"/>
                <w:sz w:val="20"/>
                <w:szCs w:val="20"/>
                <w:lang w:val="fr-FR"/>
              </w:rPr>
              <w:t>l</w:t>
            </w:r>
            <w:r>
              <w:rPr>
                <w:kern w:val="22"/>
                <w:sz w:val="20"/>
                <w:szCs w:val="20"/>
                <w:lang w:val="fr-FR"/>
              </w:rPr>
              <w:t>.</w:t>
            </w:r>
          </w:p>
        </w:tc>
        <w:tc>
          <w:tcPr>
            <w:tcW w:w="288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i) Dispenser une formation sur la collecte d’informations et la gestion des données adressées aux autorités nationales compétentes pour l’établissement des rapports nationaux</w:t>
            </w:r>
            <w:r w:rsidR="008B7DA6">
              <w:rPr>
                <w:kern w:val="22"/>
                <w:sz w:val="20"/>
                <w:szCs w:val="20"/>
                <w:lang w:val="fr-FR"/>
              </w:rPr>
              <w:t> </w:t>
            </w:r>
            <w:r>
              <w:rPr>
                <w:kern w:val="22"/>
                <w:sz w:val="20"/>
                <w:szCs w:val="20"/>
                <w:lang w:val="fr-FR"/>
              </w:rPr>
              <w:t xml:space="preserve">; </w:t>
            </w:r>
          </w:p>
          <w:p w:rsidR="000E2816" w:rsidRPr="00F10E52" w:rsidRDefault="00F10E52" w:rsidP="00E85A62">
            <w:pPr>
              <w:jc w:val="left"/>
              <w:rPr>
                <w:rFonts w:eastAsia="MS Mincho"/>
                <w:kern w:val="22"/>
                <w:sz w:val="20"/>
                <w:szCs w:val="20"/>
                <w:lang w:val="fr-FR"/>
              </w:rPr>
            </w:pPr>
            <w:r>
              <w:rPr>
                <w:kern w:val="22"/>
                <w:sz w:val="20"/>
                <w:szCs w:val="20"/>
                <w:lang w:val="fr-FR"/>
              </w:rPr>
              <w:t xml:space="preserve">ii) </w:t>
            </w:r>
            <w:r w:rsidR="00E85A62">
              <w:rPr>
                <w:kern w:val="22"/>
                <w:sz w:val="20"/>
                <w:szCs w:val="20"/>
                <w:lang w:val="fr-FR"/>
              </w:rPr>
              <w:t>Concevoir</w:t>
            </w:r>
            <w:r>
              <w:rPr>
                <w:kern w:val="22"/>
                <w:sz w:val="20"/>
                <w:szCs w:val="20"/>
                <w:lang w:val="fr-FR"/>
              </w:rPr>
              <w:t xml:space="preserve"> des outils pour aider les Parties à préparer et à soumettre leurs rapports nationaux.</w:t>
            </w:r>
          </w:p>
        </w:tc>
      </w:tr>
      <w:tr w:rsidR="00173EB8" w:rsidRPr="001945CD" w:rsidTr="006B322C">
        <w:tblPrEx>
          <w:shd w:val="clear" w:color="auto" w:fill="auto"/>
        </w:tblPrEx>
        <w:tc>
          <w:tcPr>
            <w:tcW w:w="1728" w:type="dxa"/>
            <w:shd w:val="clear" w:color="auto" w:fill="auto"/>
          </w:tcPr>
          <w:p w:rsidR="000E2816" w:rsidRPr="00F10E52" w:rsidRDefault="00F10E52" w:rsidP="006B322C">
            <w:pPr>
              <w:spacing w:before="60" w:after="60"/>
              <w:jc w:val="left"/>
              <w:rPr>
                <w:rFonts w:eastAsia="MS Mincho"/>
                <w:b/>
                <w:bCs/>
                <w:kern w:val="22"/>
                <w:sz w:val="20"/>
                <w:szCs w:val="20"/>
                <w:lang w:val="fr-FR"/>
              </w:rPr>
            </w:pPr>
            <w:r>
              <w:rPr>
                <w:b/>
                <w:bCs/>
                <w:kern w:val="22"/>
                <w:sz w:val="20"/>
                <w:szCs w:val="20"/>
                <w:lang w:val="fr-FR"/>
              </w:rPr>
              <w:t>A.4. Les Parties se conforment pleinement aux exigences du Protocole</w:t>
            </w:r>
            <w:r w:rsidR="001E5C22">
              <w:rPr>
                <w:b/>
                <w:bCs/>
                <w:kern w:val="22"/>
                <w:sz w:val="20"/>
                <w:szCs w:val="20"/>
                <w:lang w:val="fr-FR"/>
              </w:rPr>
              <w:t>.</w:t>
            </w:r>
          </w:p>
        </w:tc>
        <w:tc>
          <w:tcPr>
            <w:tcW w:w="2340" w:type="dxa"/>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A.4.1. Les Parties respectent leurs obligations au titre du Protocole</w:t>
            </w:r>
            <w:r w:rsidR="001E5C22">
              <w:rPr>
                <w:kern w:val="22"/>
                <w:sz w:val="20"/>
                <w:szCs w:val="20"/>
                <w:lang w:val="fr-FR"/>
              </w:rPr>
              <w:t> ;</w:t>
            </w:r>
          </w:p>
          <w:p w:rsidR="000E2816" w:rsidRPr="00F10E52" w:rsidRDefault="00F10E52" w:rsidP="006B322C">
            <w:pPr>
              <w:spacing w:before="60" w:after="60"/>
              <w:jc w:val="left"/>
              <w:rPr>
                <w:rFonts w:eastAsia="MS Mincho"/>
                <w:b/>
                <w:bCs/>
                <w:kern w:val="22"/>
                <w:sz w:val="20"/>
                <w:szCs w:val="20"/>
                <w:lang w:val="fr-FR"/>
              </w:rPr>
            </w:pPr>
            <w:r>
              <w:rPr>
                <w:kern w:val="22"/>
                <w:sz w:val="20"/>
                <w:szCs w:val="20"/>
                <w:lang w:val="fr-FR"/>
              </w:rPr>
              <w:t xml:space="preserve">A.4.2. Les Parties résolvent les problèmes de non-respect identifiés par le Comité chargé du </w:t>
            </w:r>
            <w:r>
              <w:rPr>
                <w:kern w:val="22"/>
                <w:sz w:val="20"/>
                <w:szCs w:val="20"/>
                <w:lang w:val="fr-FR"/>
              </w:rPr>
              <w:lastRenderedPageBreak/>
              <w:t>contrôle du respect des obligations au titre du Protocole</w:t>
            </w:r>
            <w:r w:rsidR="001E5C22">
              <w:rPr>
                <w:kern w:val="22"/>
                <w:sz w:val="20"/>
                <w:szCs w:val="20"/>
                <w:lang w:val="fr-FR"/>
              </w:rPr>
              <w:t>.</w:t>
            </w:r>
          </w:p>
        </w:tc>
        <w:tc>
          <w:tcPr>
            <w:tcW w:w="2970" w:type="dxa"/>
            <w:shd w:val="clear" w:color="auto" w:fill="auto"/>
          </w:tcPr>
          <w:p w:rsidR="000E2816" w:rsidRPr="00F10E52" w:rsidRDefault="00F10E52" w:rsidP="006B322C">
            <w:pPr>
              <w:spacing w:before="60" w:after="60"/>
              <w:jc w:val="left"/>
              <w:rPr>
                <w:rFonts w:eastAsia="MS Mincho"/>
                <w:bCs/>
                <w:kern w:val="22"/>
                <w:sz w:val="20"/>
                <w:szCs w:val="20"/>
                <w:lang w:val="fr-FR"/>
              </w:rPr>
            </w:pPr>
            <w:r>
              <w:rPr>
                <w:bCs/>
                <w:kern w:val="22"/>
                <w:sz w:val="20"/>
                <w:szCs w:val="20"/>
                <w:lang w:val="fr-FR"/>
              </w:rPr>
              <w:lastRenderedPageBreak/>
              <w:t>a) Pourcentage de Parties respect</w:t>
            </w:r>
            <w:r w:rsidR="002910D1">
              <w:rPr>
                <w:bCs/>
                <w:kern w:val="22"/>
                <w:sz w:val="20"/>
                <w:szCs w:val="20"/>
                <w:lang w:val="fr-FR"/>
              </w:rPr>
              <w:t>a</w:t>
            </w:r>
            <w:r>
              <w:rPr>
                <w:bCs/>
                <w:kern w:val="22"/>
                <w:sz w:val="20"/>
                <w:szCs w:val="20"/>
                <w:lang w:val="fr-FR"/>
              </w:rPr>
              <w:t>nt leurs obligations au titre du Protocole ;</w:t>
            </w:r>
          </w:p>
          <w:p w:rsidR="000E2816" w:rsidRPr="00F10E52" w:rsidRDefault="00F10E52" w:rsidP="002910D1">
            <w:pPr>
              <w:spacing w:before="60" w:after="60"/>
              <w:jc w:val="left"/>
              <w:rPr>
                <w:rFonts w:eastAsia="MS Mincho"/>
                <w:b/>
                <w:bCs/>
                <w:kern w:val="22"/>
                <w:sz w:val="20"/>
                <w:szCs w:val="20"/>
                <w:lang w:val="fr-FR"/>
              </w:rPr>
            </w:pPr>
            <w:r>
              <w:rPr>
                <w:bCs/>
                <w:kern w:val="22"/>
                <w:sz w:val="20"/>
                <w:szCs w:val="20"/>
                <w:lang w:val="fr-FR"/>
              </w:rPr>
              <w:t xml:space="preserve">(b) Pourcentage de Parties </w:t>
            </w:r>
            <w:r w:rsidR="002910D1">
              <w:rPr>
                <w:bCs/>
                <w:kern w:val="22"/>
                <w:sz w:val="20"/>
                <w:szCs w:val="20"/>
                <w:lang w:val="fr-FR"/>
              </w:rPr>
              <w:t>ayant</w:t>
            </w:r>
            <w:r>
              <w:rPr>
                <w:bCs/>
                <w:kern w:val="22"/>
                <w:sz w:val="20"/>
                <w:szCs w:val="20"/>
                <w:lang w:val="fr-FR"/>
              </w:rPr>
              <w:t xml:space="preserve"> résolu les problèmes de non-respect identifiés par le Comité chargé du contrôle du respect des obl</w:t>
            </w:r>
            <w:r w:rsidR="003F71A6">
              <w:rPr>
                <w:bCs/>
                <w:kern w:val="22"/>
                <w:sz w:val="20"/>
                <w:szCs w:val="20"/>
                <w:lang w:val="fr-FR"/>
              </w:rPr>
              <w:t>igations au titre du Protocole.</w:t>
            </w:r>
          </w:p>
        </w:tc>
        <w:tc>
          <w:tcPr>
            <w:tcW w:w="2160" w:type="dxa"/>
            <w:shd w:val="clear" w:color="auto" w:fill="auto"/>
          </w:tcPr>
          <w:p w:rsidR="000E2816" w:rsidRPr="00F10E52" w:rsidRDefault="00F10E52" w:rsidP="006B322C">
            <w:pPr>
              <w:spacing w:before="60" w:after="60"/>
              <w:jc w:val="left"/>
              <w:rPr>
                <w:rFonts w:eastAsia="MS Mincho"/>
                <w:b/>
                <w:bCs/>
                <w:kern w:val="22"/>
                <w:sz w:val="20"/>
                <w:szCs w:val="20"/>
                <w:lang w:val="fr-FR"/>
              </w:rPr>
            </w:pPr>
            <w:r>
              <w:rPr>
                <w:kern w:val="22"/>
                <w:sz w:val="20"/>
                <w:szCs w:val="20"/>
                <w:lang w:val="fr-FR"/>
              </w:rPr>
              <w:t>Un mécanisme de respect efficace facilite la mise en œuvre du Protocole</w:t>
            </w:r>
            <w:r w:rsidR="003522A2">
              <w:rPr>
                <w:kern w:val="22"/>
                <w:sz w:val="20"/>
                <w:szCs w:val="20"/>
                <w:lang w:val="fr-FR"/>
              </w:rPr>
              <w:t>.</w:t>
            </w:r>
          </w:p>
        </w:tc>
        <w:tc>
          <w:tcPr>
            <w:tcW w:w="2340" w:type="dxa"/>
            <w:shd w:val="clear" w:color="auto" w:fill="auto"/>
          </w:tcPr>
          <w:p w:rsidR="000E2816" w:rsidRPr="00F10E52" w:rsidRDefault="00F10E52" w:rsidP="002910D1">
            <w:pPr>
              <w:spacing w:before="60" w:after="60"/>
              <w:jc w:val="left"/>
              <w:rPr>
                <w:rFonts w:eastAsia="MS Mincho"/>
                <w:bCs/>
                <w:kern w:val="22"/>
                <w:sz w:val="20"/>
                <w:szCs w:val="20"/>
                <w:lang w:val="fr-FR"/>
              </w:rPr>
            </w:pPr>
            <w:r>
              <w:rPr>
                <w:bCs/>
                <w:kern w:val="22"/>
                <w:sz w:val="20"/>
                <w:szCs w:val="20"/>
                <w:lang w:val="fr-FR"/>
              </w:rPr>
              <w:t>1) Réso</w:t>
            </w:r>
            <w:r w:rsidR="002910D1">
              <w:rPr>
                <w:bCs/>
                <w:kern w:val="22"/>
                <w:sz w:val="20"/>
                <w:szCs w:val="20"/>
                <w:lang w:val="fr-FR"/>
              </w:rPr>
              <w:t>lution d</w:t>
            </w:r>
            <w:r>
              <w:rPr>
                <w:bCs/>
                <w:kern w:val="22"/>
                <w:sz w:val="20"/>
                <w:szCs w:val="20"/>
                <w:lang w:val="fr-FR"/>
              </w:rPr>
              <w:t>es problèmes de non-respect identifiés par le Comité chargé du contrôle du respect des obligations au titre du Protocole</w:t>
            </w:r>
            <w:r w:rsidR="003522A2">
              <w:rPr>
                <w:bCs/>
                <w:kern w:val="22"/>
                <w:sz w:val="20"/>
                <w:szCs w:val="20"/>
                <w:lang w:val="fr-FR"/>
              </w:rPr>
              <w:t>.</w:t>
            </w:r>
          </w:p>
        </w:tc>
        <w:tc>
          <w:tcPr>
            <w:tcW w:w="2880" w:type="dxa"/>
            <w:shd w:val="clear" w:color="auto" w:fill="auto"/>
          </w:tcPr>
          <w:p w:rsidR="000E2816" w:rsidRPr="00F10E52" w:rsidRDefault="00F10E52" w:rsidP="003F71A6">
            <w:pPr>
              <w:spacing w:before="60" w:after="60"/>
              <w:jc w:val="left"/>
              <w:rPr>
                <w:rFonts w:eastAsia="MS Mincho"/>
                <w:bCs/>
                <w:kern w:val="22"/>
                <w:sz w:val="20"/>
                <w:szCs w:val="20"/>
                <w:lang w:val="fr-FR"/>
              </w:rPr>
            </w:pPr>
            <w:r>
              <w:rPr>
                <w:bCs/>
                <w:kern w:val="22"/>
                <w:sz w:val="20"/>
                <w:szCs w:val="20"/>
                <w:lang w:val="fr-FR"/>
              </w:rPr>
              <w:t xml:space="preserve">i) Fournir un appui </w:t>
            </w:r>
            <w:r w:rsidR="003F71A6">
              <w:rPr>
                <w:bCs/>
                <w:kern w:val="22"/>
                <w:sz w:val="20"/>
                <w:szCs w:val="20"/>
                <w:lang w:val="fr-FR"/>
              </w:rPr>
              <w:t>pour que les</w:t>
            </w:r>
            <w:r>
              <w:rPr>
                <w:bCs/>
                <w:kern w:val="22"/>
                <w:sz w:val="20"/>
                <w:szCs w:val="20"/>
                <w:lang w:val="fr-FR"/>
              </w:rPr>
              <w:t xml:space="preserve"> Parties concernées m</w:t>
            </w:r>
            <w:r w:rsidR="003F71A6">
              <w:rPr>
                <w:bCs/>
                <w:kern w:val="22"/>
                <w:sz w:val="20"/>
                <w:szCs w:val="20"/>
                <w:lang w:val="fr-FR"/>
              </w:rPr>
              <w:t>ènent</w:t>
            </w:r>
            <w:r>
              <w:rPr>
                <w:bCs/>
                <w:kern w:val="22"/>
                <w:sz w:val="20"/>
                <w:szCs w:val="20"/>
                <w:lang w:val="fr-FR"/>
              </w:rPr>
              <w:t xml:space="preserve"> à bien les activités prévues dans les plans d’action pour le respect des dispositions, afin de résoudre les problèmes de non-respect identifiés</w:t>
            </w:r>
            <w:r w:rsidR="00E85A62">
              <w:rPr>
                <w:bCs/>
                <w:kern w:val="22"/>
                <w:sz w:val="20"/>
                <w:szCs w:val="20"/>
                <w:lang w:val="fr-FR"/>
              </w:rPr>
              <w:t>.</w:t>
            </w:r>
          </w:p>
        </w:tc>
      </w:tr>
      <w:tr w:rsidR="00173EB8" w:rsidRPr="001945CD" w:rsidTr="006B322C">
        <w:tblPrEx>
          <w:shd w:val="clear" w:color="auto" w:fill="auto"/>
        </w:tblPrEx>
        <w:trPr>
          <w:trHeight w:val="1322"/>
        </w:trPr>
        <w:tc>
          <w:tcPr>
            <w:tcW w:w="1728" w:type="dxa"/>
            <w:shd w:val="clear" w:color="auto" w:fill="auto"/>
          </w:tcPr>
          <w:p w:rsidR="000E2816" w:rsidRPr="00F10E52" w:rsidRDefault="00F10E52" w:rsidP="006B322C">
            <w:pPr>
              <w:jc w:val="left"/>
              <w:rPr>
                <w:rFonts w:eastAsia="MS Mincho"/>
                <w:b/>
                <w:kern w:val="22"/>
                <w:sz w:val="20"/>
                <w:szCs w:val="20"/>
                <w:lang w:val="fr-FR"/>
              </w:rPr>
            </w:pPr>
            <w:bookmarkStart w:id="3" w:name="_Hlk25332189"/>
            <w:r>
              <w:rPr>
                <w:b/>
                <w:bCs/>
                <w:kern w:val="22"/>
                <w:sz w:val="20"/>
                <w:szCs w:val="20"/>
                <w:lang w:val="fr-FR"/>
              </w:rPr>
              <w:t>A.5. Les Parties procèdent à des évaluations scientifiquement fondées des risques relatifs aux OVM, et gèrent et contrôlent les risques identifiés pour prévenir les effets néfastes des OVM sur la conservation et l’utilisation durable de la diversité biologique</w:t>
            </w:r>
            <w:r w:rsidR="001E5C22">
              <w:rPr>
                <w:b/>
                <w:bCs/>
                <w:kern w:val="22"/>
                <w:sz w:val="20"/>
                <w:szCs w:val="20"/>
                <w:lang w:val="fr-FR"/>
              </w:rPr>
              <w:t>.</w:t>
            </w:r>
          </w:p>
        </w:tc>
        <w:tc>
          <w:tcPr>
            <w:tcW w:w="2340" w:type="dxa"/>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A.5.1. Les Parties appliquent des procédures scientifiquement fondées et appropriées pour l’évaluation des risques et la gestion des risques relatifs aux OVM, conformément à l’Annexe</w:t>
            </w:r>
            <w:r w:rsidR="008B7DA6">
              <w:rPr>
                <w:kern w:val="22"/>
                <w:sz w:val="20"/>
                <w:szCs w:val="20"/>
                <w:lang w:val="fr-FR"/>
              </w:rPr>
              <w:t> </w:t>
            </w:r>
            <w:r>
              <w:rPr>
                <w:kern w:val="22"/>
                <w:sz w:val="20"/>
                <w:szCs w:val="20"/>
                <w:lang w:val="fr-FR"/>
              </w:rPr>
              <w:t>III du Protocole</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A.5.2. Les Parties élaborent (si nécessaire), ont accès et utilisent du matériel ressource approprié pour réaliser une évaluation et une gestion des risques scientifiquement fondées</w:t>
            </w:r>
            <w:r w:rsidR="001E5C22">
              <w:rPr>
                <w:kern w:val="22"/>
                <w:sz w:val="20"/>
                <w:szCs w:val="20"/>
                <w:lang w:val="fr-FR"/>
              </w:rPr>
              <w:t>.</w:t>
            </w:r>
          </w:p>
        </w:tc>
        <w:tc>
          <w:tcPr>
            <w:tcW w:w="2970" w:type="dxa"/>
            <w:shd w:val="clear" w:color="auto" w:fill="auto"/>
          </w:tcPr>
          <w:p w:rsidR="000E2816" w:rsidRPr="00F10E52" w:rsidRDefault="00F10E52" w:rsidP="006B322C">
            <w:pPr>
              <w:jc w:val="left"/>
              <w:rPr>
                <w:rFonts w:eastAsia="MS Mincho"/>
                <w:kern w:val="22"/>
                <w:sz w:val="20"/>
                <w:szCs w:val="20"/>
                <w:lang w:val="fr-FR"/>
              </w:rPr>
            </w:pPr>
            <w:r>
              <w:rPr>
                <w:kern w:val="22"/>
                <w:sz w:val="20"/>
                <w:szCs w:val="20"/>
                <w:lang w:val="fr-FR"/>
              </w:rPr>
              <w:t>a) Pourcentage de Parties entreprenant une évaluation des risques pour la prise de décisions sur les OVM, lorsque le Protocole l’exige</w:t>
            </w:r>
            <w:r w:rsidR="008B7DA6">
              <w:rPr>
                <w:kern w:val="22"/>
                <w:sz w:val="20"/>
                <w:szCs w:val="20"/>
                <w:lang w:val="fr-FR"/>
              </w:rPr>
              <w:t> </w:t>
            </w:r>
            <w:r w:rsidR="003F71A6">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b) Pourcentage de décisions dans le CEPRB avec les rapports de synthèse associés sur les évaluations des risques</w:t>
            </w:r>
            <w:r w:rsidR="008B7DA6">
              <w:rPr>
                <w:kern w:val="22"/>
                <w:sz w:val="20"/>
                <w:szCs w:val="20"/>
                <w:lang w:val="fr-FR"/>
              </w:rPr>
              <w:t> </w:t>
            </w:r>
            <w:r>
              <w:rPr>
                <w:kern w:val="22"/>
                <w:sz w:val="20"/>
                <w:szCs w:val="20"/>
                <w:lang w:val="fr-FR"/>
              </w:rPr>
              <w:t>;</w:t>
            </w:r>
          </w:p>
          <w:p w:rsidR="000E2816" w:rsidRPr="00286968" w:rsidRDefault="00F10E52" w:rsidP="006B322C">
            <w:pPr>
              <w:jc w:val="left"/>
              <w:rPr>
                <w:kern w:val="22"/>
                <w:sz w:val="20"/>
                <w:szCs w:val="20"/>
                <w:lang w:val="fr-FR"/>
              </w:rPr>
            </w:pPr>
            <w:r>
              <w:rPr>
                <w:kern w:val="22"/>
                <w:sz w:val="20"/>
                <w:szCs w:val="20"/>
                <w:lang w:val="fr-FR"/>
              </w:rPr>
              <w:t xml:space="preserve">c) Pourcentage de Parties ayant accès </w:t>
            </w:r>
            <w:r w:rsidR="00286968">
              <w:rPr>
                <w:kern w:val="22"/>
                <w:sz w:val="20"/>
                <w:szCs w:val="20"/>
                <w:lang w:val="fr-FR"/>
              </w:rPr>
              <w:t xml:space="preserve">à </w:t>
            </w:r>
            <w:r>
              <w:rPr>
                <w:kern w:val="22"/>
                <w:sz w:val="20"/>
                <w:szCs w:val="20"/>
                <w:lang w:val="fr-FR"/>
              </w:rPr>
              <w:t>d</w:t>
            </w:r>
            <w:r w:rsidR="00286968">
              <w:rPr>
                <w:kern w:val="22"/>
                <w:sz w:val="20"/>
                <w:szCs w:val="20"/>
                <w:lang w:val="fr-FR"/>
              </w:rPr>
              <w:t>u matériel ressource</w:t>
            </w:r>
            <w:r>
              <w:rPr>
                <w:kern w:val="22"/>
                <w:sz w:val="20"/>
                <w:szCs w:val="20"/>
                <w:lang w:val="fr-FR"/>
              </w:rPr>
              <w:t xml:space="preserve"> sur l’évaluation et la gestion des risques</w:t>
            </w:r>
            <w:r w:rsidR="00286968">
              <w:rPr>
                <w:kern w:val="22"/>
                <w:sz w:val="20"/>
                <w:szCs w:val="20"/>
                <w:lang w:val="fr-FR"/>
              </w:rPr>
              <w:t>, et les utilisant</w:t>
            </w:r>
            <w:r w:rsidR="008B7DA6">
              <w:rPr>
                <w:kern w:val="22"/>
                <w:sz w:val="20"/>
                <w:szCs w:val="20"/>
                <w:lang w:val="fr-FR"/>
              </w:rPr>
              <w:t> </w:t>
            </w:r>
            <w:r>
              <w:rPr>
                <w:kern w:val="22"/>
                <w:sz w:val="20"/>
                <w:szCs w:val="20"/>
                <w:lang w:val="fr-FR"/>
              </w:rPr>
              <w:t>;</w:t>
            </w:r>
          </w:p>
          <w:p w:rsidR="000E2816" w:rsidRPr="00F10E52" w:rsidRDefault="00F10E52" w:rsidP="00AE6C01">
            <w:pPr>
              <w:jc w:val="left"/>
              <w:rPr>
                <w:rFonts w:eastAsia="MS Mincho"/>
                <w:kern w:val="22"/>
                <w:sz w:val="20"/>
                <w:szCs w:val="20"/>
                <w:lang w:val="fr-FR"/>
              </w:rPr>
            </w:pPr>
            <w:r>
              <w:rPr>
                <w:kern w:val="22"/>
                <w:sz w:val="20"/>
                <w:szCs w:val="20"/>
                <w:lang w:val="fr-FR"/>
              </w:rPr>
              <w:t>d) Pourcentage de Parties réalis</w:t>
            </w:r>
            <w:r w:rsidR="00AE6C01">
              <w:rPr>
                <w:kern w:val="22"/>
                <w:sz w:val="20"/>
                <w:szCs w:val="20"/>
                <w:lang w:val="fr-FR"/>
              </w:rPr>
              <w:t>ant des évaluations des risques</w:t>
            </w:r>
            <w:r>
              <w:rPr>
                <w:kern w:val="22"/>
                <w:sz w:val="20"/>
                <w:szCs w:val="20"/>
                <w:lang w:val="fr-FR"/>
              </w:rPr>
              <w:t xml:space="preserve"> </w:t>
            </w:r>
            <w:r w:rsidR="00AE6C01">
              <w:rPr>
                <w:kern w:val="22"/>
                <w:sz w:val="20"/>
                <w:szCs w:val="20"/>
                <w:lang w:val="fr-FR"/>
              </w:rPr>
              <w:t>s’appuyant sur</w:t>
            </w:r>
            <w:r>
              <w:rPr>
                <w:kern w:val="22"/>
                <w:sz w:val="20"/>
                <w:szCs w:val="20"/>
                <w:lang w:val="fr-FR"/>
              </w:rPr>
              <w:t xml:space="preserve"> d</w:t>
            </w:r>
            <w:r w:rsidR="00AE6C01">
              <w:rPr>
                <w:kern w:val="22"/>
                <w:sz w:val="20"/>
                <w:szCs w:val="20"/>
                <w:lang w:val="fr-FR"/>
              </w:rPr>
              <w:t>’</w:t>
            </w:r>
            <w:r>
              <w:rPr>
                <w:kern w:val="22"/>
                <w:sz w:val="20"/>
                <w:szCs w:val="20"/>
                <w:lang w:val="fr-FR"/>
              </w:rPr>
              <w:t xml:space="preserve">autres preuves scientifiques disponibles, </w:t>
            </w:r>
            <w:r w:rsidR="004D57FA">
              <w:rPr>
                <w:kern w:val="22"/>
                <w:sz w:val="20"/>
                <w:szCs w:val="20"/>
                <w:lang w:val="fr-FR"/>
              </w:rPr>
              <w:t>mentionnées</w:t>
            </w:r>
            <w:r>
              <w:rPr>
                <w:kern w:val="22"/>
                <w:sz w:val="20"/>
                <w:szCs w:val="20"/>
                <w:lang w:val="fr-FR"/>
              </w:rPr>
              <w:t xml:space="preserve"> à l’Article</w:t>
            </w:r>
            <w:r w:rsidR="008B7DA6">
              <w:rPr>
                <w:kern w:val="22"/>
                <w:sz w:val="20"/>
                <w:szCs w:val="20"/>
                <w:lang w:val="fr-FR"/>
              </w:rPr>
              <w:t> </w:t>
            </w:r>
            <w:r>
              <w:rPr>
                <w:kern w:val="22"/>
                <w:sz w:val="20"/>
                <w:szCs w:val="20"/>
                <w:lang w:val="fr-FR"/>
              </w:rPr>
              <w:t>15.</w:t>
            </w:r>
          </w:p>
        </w:tc>
        <w:tc>
          <w:tcPr>
            <w:tcW w:w="2160" w:type="dxa"/>
            <w:shd w:val="clear" w:color="auto" w:fill="auto"/>
          </w:tcPr>
          <w:p w:rsidR="000E2816" w:rsidRPr="00F10E52" w:rsidRDefault="00F10E52" w:rsidP="00E85A62">
            <w:pPr>
              <w:spacing w:before="60" w:after="60"/>
              <w:jc w:val="left"/>
              <w:rPr>
                <w:rFonts w:eastAsia="MS Mincho"/>
                <w:kern w:val="22"/>
                <w:sz w:val="20"/>
                <w:szCs w:val="20"/>
                <w:lang w:val="fr-FR"/>
              </w:rPr>
            </w:pPr>
            <w:r>
              <w:rPr>
                <w:kern w:val="22"/>
                <w:sz w:val="20"/>
                <w:szCs w:val="20"/>
                <w:lang w:val="fr-FR"/>
              </w:rPr>
              <w:t xml:space="preserve">Les Parties identifient, évaluent, gèrent et contrôlent de manière appropriée les risques </w:t>
            </w:r>
            <w:r w:rsidR="00E85A62">
              <w:rPr>
                <w:kern w:val="22"/>
                <w:sz w:val="20"/>
                <w:szCs w:val="20"/>
                <w:lang w:val="fr-FR"/>
              </w:rPr>
              <w:t xml:space="preserve">que représentent les </w:t>
            </w:r>
            <w:r>
              <w:rPr>
                <w:kern w:val="22"/>
                <w:sz w:val="20"/>
                <w:szCs w:val="20"/>
                <w:lang w:val="fr-FR"/>
              </w:rPr>
              <w:t>OVM pour la biodiversité, en tenant également compte de</w:t>
            </w:r>
            <w:r w:rsidR="003522A2">
              <w:rPr>
                <w:kern w:val="22"/>
                <w:sz w:val="20"/>
                <w:szCs w:val="20"/>
                <w:lang w:val="fr-FR"/>
              </w:rPr>
              <w:t>s risques pour la santé humaine.</w:t>
            </w:r>
          </w:p>
        </w:tc>
        <w:tc>
          <w:tcPr>
            <w:tcW w:w="234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 xml:space="preserve">1) </w:t>
            </w:r>
            <w:r w:rsidR="004D57FA">
              <w:rPr>
                <w:kern w:val="22"/>
                <w:sz w:val="20"/>
                <w:szCs w:val="20"/>
                <w:lang w:val="fr-FR"/>
              </w:rPr>
              <w:t>Conduite</w:t>
            </w:r>
            <w:r>
              <w:rPr>
                <w:kern w:val="22"/>
                <w:sz w:val="20"/>
                <w:szCs w:val="20"/>
                <w:lang w:val="fr-FR"/>
              </w:rPr>
              <w:t xml:space="preserve"> et exam</w:t>
            </w:r>
            <w:r w:rsidR="004D57FA">
              <w:rPr>
                <w:kern w:val="22"/>
                <w:sz w:val="20"/>
                <w:szCs w:val="20"/>
                <w:lang w:val="fr-FR"/>
              </w:rPr>
              <w:t>en</w:t>
            </w:r>
            <w:r>
              <w:rPr>
                <w:kern w:val="22"/>
                <w:sz w:val="20"/>
                <w:szCs w:val="20"/>
                <w:lang w:val="fr-FR"/>
              </w:rPr>
              <w:t xml:space="preserve"> des évaluations des risques scientifiquement fondées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2) Réglement</w:t>
            </w:r>
            <w:r w:rsidR="004D57FA">
              <w:rPr>
                <w:kern w:val="22"/>
                <w:sz w:val="20"/>
                <w:szCs w:val="20"/>
                <w:lang w:val="fr-FR"/>
              </w:rPr>
              <w:t>ation</w:t>
            </w:r>
            <w:r>
              <w:rPr>
                <w:kern w:val="22"/>
                <w:sz w:val="20"/>
                <w:szCs w:val="20"/>
                <w:lang w:val="fr-FR"/>
              </w:rPr>
              <w:t>, g</w:t>
            </w:r>
            <w:r w:rsidR="004D57FA">
              <w:rPr>
                <w:kern w:val="22"/>
                <w:sz w:val="20"/>
                <w:szCs w:val="20"/>
                <w:lang w:val="fr-FR"/>
              </w:rPr>
              <w:t>estion et contrôle d</w:t>
            </w:r>
            <w:r>
              <w:rPr>
                <w:kern w:val="22"/>
                <w:sz w:val="20"/>
                <w:szCs w:val="20"/>
                <w:lang w:val="fr-FR"/>
              </w:rPr>
              <w:t>es risques identifiés</w:t>
            </w:r>
            <w:r w:rsidR="008B7DA6">
              <w:rPr>
                <w:kern w:val="22"/>
                <w:sz w:val="20"/>
                <w:szCs w:val="20"/>
                <w:lang w:val="fr-FR"/>
              </w:rPr>
              <w:t> </w:t>
            </w:r>
            <w:r w:rsidR="003F71A6">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3) </w:t>
            </w:r>
            <w:r w:rsidR="004D57FA">
              <w:rPr>
                <w:kern w:val="22"/>
                <w:sz w:val="20"/>
                <w:szCs w:val="20"/>
                <w:lang w:val="fr-FR"/>
              </w:rPr>
              <w:t>Accès</w:t>
            </w:r>
            <w:r>
              <w:rPr>
                <w:kern w:val="22"/>
                <w:sz w:val="20"/>
                <w:szCs w:val="20"/>
                <w:lang w:val="fr-FR"/>
              </w:rPr>
              <w:t xml:space="preserve"> à l’infrastructure et à l’expertise technique pour l’évaluation et la gestion des risques</w:t>
            </w:r>
            <w:r w:rsidR="008B7DA6">
              <w:rPr>
                <w:kern w:val="22"/>
                <w:sz w:val="20"/>
                <w:szCs w:val="20"/>
                <w:lang w:val="fr-FR"/>
              </w:rPr>
              <w:t> </w:t>
            </w:r>
            <w:r>
              <w:rPr>
                <w:kern w:val="22"/>
                <w:sz w:val="20"/>
                <w:szCs w:val="20"/>
                <w:lang w:val="fr-FR"/>
              </w:rPr>
              <w:t>;</w:t>
            </w:r>
          </w:p>
          <w:p w:rsidR="000E2816" w:rsidRPr="00F10E52" w:rsidRDefault="00F10E52" w:rsidP="004D57FA">
            <w:pPr>
              <w:jc w:val="left"/>
              <w:rPr>
                <w:rFonts w:eastAsia="MS Mincho"/>
                <w:strike/>
                <w:kern w:val="22"/>
                <w:sz w:val="20"/>
                <w:szCs w:val="20"/>
                <w:lang w:val="fr-FR"/>
              </w:rPr>
            </w:pPr>
            <w:r>
              <w:rPr>
                <w:kern w:val="22"/>
                <w:sz w:val="20"/>
                <w:szCs w:val="20"/>
                <w:lang w:val="fr-FR"/>
              </w:rPr>
              <w:t>4) Acc</w:t>
            </w:r>
            <w:r w:rsidR="004D57FA">
              <w:rPr>
                <w:kern w:val="22"/>
                <w:sz w:val="20"/>
                <w:szCs w:val="20"/>
                <w:lang w:val="fr-FR"/>
              </w:rPr>
              <w:t xml:space="preserve">ès </w:t>
            </w:r>
            <w:r>
              <w:rPr>
                <w:kern w:val="22"/>
                <w:sz w:val="20"/>
                <w:szCs w:val="20"/>
                <w:lang w:val="fr-FR"/>
              </w:rPr>
              <w:t>aux données scientifiques pertinentes pour l’évaluation et la gestion des risques.</w:t>
            </w:r>
          </w:p>
        </w:tc>
        <w:tc>
          <w:tcPr>
            <w:tcW w:w="288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 xml:space="preserve">i) </w:t>
            </w:r>
            <w:r w:rsidR="004D57FA">
              <w:rPr>
                <w:kern w:val="22"/>
                <w:sz w:val="20"/>
                <w:szCs w:val="20"/>
                <w:lang w:val="fr-FR"/>
              </w:rPr>
              <w:t>Concevoir</w:t>
            </w:r>
            <w:r>
              <w:rPr>
                <w:kern w:val="22"/>
                <w:sz w:val="20"/>
                <w:szCs w:val="20"/>
                <w:lang w:val="fr-FR"/>
              </w:rPr>
              <w:t xml:space="preserve"> ou mettre à jour, si nécessaire, et diffuser du matériel de formation sur l’évaluation et la gestion des risques</w:t>
            </w:r>
            <w:r w:rsidR="008B7DA6">
              <w:rPr>
                <w:kern w:val="22"/>
                <w:sz w:val="20"/>
                <w:szCs w:val="20"/>
                <w:lang w:val="fr-FR"/>
              </w:rPr>
              <w:t> </w:t>
            </w:r>
            <w:r w:rsidR="003F71A6">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ii) Dispenser une formation sur la conduite et l’examen des évaluations des risques, incluant l’utilisation de documents de référence ainsi que la collecte et l’analyse d’informations scientifiques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iii) Faciliter l’accès à une infrastructure et à une expertise adéquates pour l’évaluation et la gestion des risques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iv) Dispenser une formation sur la conduite de recherches scientifiques, l’examen et l’acquisition de données sur la biodiversité pour des zones écologiques spécifiques pertinentes pour l’évalua</w:t>
            </w:r>
            <w:r w:rsidR="003F71A6">
              <w:rPr>
                <w:kern w:val="22"/>
                <w:sz w:val="20"/>
                <w:szCs w:val="20"/>
                <w:lang w:val="fr-FR"/>
              </w:rPr>
              <w:t>tion et la gestion des risques.</w:t>
            </w:r>
          </w:p>
        </w:tc>
      </w:tr>
      <w:bookmarkEnd w:id="3"/>
      <w:tr w:rsidR="00173EB8" w:rsidRPr="001945CD" w:rsidTr="006B322C">
        <w:tblPrEx>
          <w:shd w:val="clear" w:color="auto" w:fill="auto"/>
        </w:tblPrEx>
        <w:tc>
          <w:tcPr>
            <w:tcW w:w="1728" w:type="dxa"/>
            <w:shd w:val="clear" w:color="auto" w:fill="auto"/>
          </w:tcPr>
          <w:p w:rsidR="000E2816" w:rsidRPr="00F10E52" w:rsidRDefault="00F10E52" w:rsidP="006B322C">
            <w:pPr>
              <w:jc w:val="left"/>
              <w:rPr>
                <w:rFonts w:eastAsia="MS Mincho"/>
                <w:b/>
                <w:kern w:val="22"/>
                <w:sz w:val="20"/>
                <w:szCs w:val="20"/>
                <w:lang w:val="fr-FR"/>
              </w:rPr>
            </w:pPr>
            <w:r>
              <w:rPr>
                <w:b/>
                <w:bCs/>
                <w:kern w:val="22"/>
                <w:sz w:val="20"/>
                <w:szCs w:val="20"/>
                <w:lang w:val="fr-FR"/>
              </w:rPr>
              <w:t xml:space="preserve">A.6. Les Parties empêchent les mouvements </w:t>
            </w:r>
            <w:r>
              <w:rPr>
                <w:b/>
                <w:bCs/>
                <w:kern w:val="22"/>
                <w:sz w:val="20"/>
                <w:szCs w:val="20"/>
                <w:lang w:val="fr-FR"/>
              </w:rPr>
              <w:lastRenderedPageBreak/>
              <w:t>transfrontières illégaux et non intentionnels d’OVM</w:t>
            </w:r>
            <w:r w:rsidR="001E5C22">
              <w:rPr>
                <w:b/>
                <w:bCs/>
                <w:kern w:val="22"/>
                <w:sz w:val="20"/>
                <w:szCs w:val="20"/>
                <w:lang w:val="fr-FR"/>
              </w:rPr>
              <w:t>.</w:t>
            </w:r>
          </w:p>
        </w:tc>
        <w:tc>
          <w:tcPr>
            <w:tcW w:w="2340" w:type="dxa"/>
          </w:tcPr>
          <w:p w:rsidR="000E2816" w:rsidRPr="00F10E52" w:rsidRDefault="00F10E52" w:rsidP="006B322C">
            <w:pPr>
              <w:jc w:val="left"/>
              <w:rPr>
                <w:rFonts w:eastAsia="MS Mincho"/>
                <w:kern w:val="22"/>
                <w:sz w:val="20"/>
                <w:szCs w:val="20"/>
                <w:lang w:val="fr-FR"/>
              </w:rPr>
            </w:pPr>
            <w:r>
              <w:rPr>
                <w:kern w:val="22"/>
                <w:sz w:val="20"/>
                <w:szCs w:val="20"/>
                <w:lang w:val="fr-FR"/>
              </w:rPr>
              <w:lastRenderedPageBreak/>
              <w:t xml:space="preserve">A.6.1. Les Parties ont adopté des mesures appropriées pour </w:t>
            </w:r>
            <w:r>
              <w:rPr>
                <w:kern w:val="22"/>
                <w:sz w:val="20"/>
                <w:szCs w:val="20"/>
                <w:lang w:val="fr-FR"/>
              </w:rPr>
              <w:lastRenderedPageBreak/>
              <w:t>empêcher les mouvements transfrontières illégaux et non intentionnels d’OVM</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 xml:space="preserve">a) Pourcentage de Parties ayant mis en place des mesures pour empêcher les mouvements transfrontières illégaux et non </w:t>
            </w:r>
            <w:r>
              <w:rPr>
                <w:kern w:val="22"/>
                <w:sz w:val="20"/>
                <w:szCs w:val="20"/>
                <w:lang w:val="fr-FR"/>
              </w:rPr>
              <w:lastRenderedPageBreak/>
              <w:t>intentionnels d’OVM</w:t>
            </w:r>
            <w:r w:rsidR="003522A2">
              <w:rPr>
                <w:kern w:val="22"/>
                <w:sz w:val="20"/>
                <w:szCs w:val="20"/>
                <w:lang w:val="fr-FR"/>
              </w:rPr>
              <w:t>.</w:t>
            </w:r>
          </w:p>
        </w:tc>
        <w:tc>
          <w:tcPr>
            <w:tcW w:w="2160" w:type="dxa"/>
            <w:shd w:val="clear" w:color="auto" w:fill="auto"/>
          </w:tcPr>
          <w:p w:rsidR="000E2816" w:rsidRPr="00F10E52" w:rsidRDefault="00286968" w:rsidP="00C57AD4">
            <w:pPr>
              <w:spacing w:before="60" w:after="60"/>
              <w:jc w:val="left"/>
              <w:rPr>
                <w:rFonts w:eastAsia="MS Mincho"/>
                <w:kern w:val="22"/>
                <w:sz w:val="20"/>
                <w:szCs w:val="20"/>
                <w:lang w:val="fr-FR"/>
              </w:rPr>
            </w:pPr>
            <w:r>
              <w:rPr>
                <w:kern w:val="22"/>
                <w:sz w:val="20"/>
                <w:szCs w:val="20"/>
                <w:lang w:val="fr-FR"/>
              </w:rPr>
              <w:lastRenderedPageBreak/>
              <w:t xml:space="preserve">Les mouvements </w:t>
            </w:r>
            <w:r w:rsidR="00F10E52">
              <w:rPr>
                <w:kern w:val="22"/>
                <w:sz w:val="20"/>
                <w:szCs w:val="20"/>
                <w:lang w:val="fr-FR"/>
              </w:rPr>
              <w:t xml:space="preserve">transfrontières illégaux et non intentionnels d’OVM </w:t>
            </w:r>
            <w:r>
              <w:rPr>
                <w:kern w:val="22"/>
                <w:sz w:val="20"/>
                <w:szCs w:val="20"/>
                <w:lang w:val="fr-FR"/>
              </w:rPr>
              <w:t xml:space="preserve">sont </w:t>
            </w:r>
            <w:r w:rsidR="00F10E52">
              <w:rPr>
                <w:kern w:val="22"/>
                <w:sz w:val="20"/>
                <w:szCs w:val="20"/>
                <w:lang w:val="fr-FR"/>
              </w:rPr>
              <w:t xml:space="preserve">empêchés </w:t>
            </w:r>
            <w:r w:rsidR="00F10E52">
              <w:rPr>
                <w:kern w:val="22"/>
                <w:sz w:val="20"/>
                <w:szCs w:val="20"/>
                <w:lang w:val="fr-FR"/>
              </w:rPr>
              <w:lastRenderedPageBreak/>
              <w:t>ou réduits au minimum</w:t>
            </w:r>
            <w:r w:rsidR="003522A2">
              <w:rPr>
                <w:kern w:val="22"/>
                <w:sz w:val="20"/>
                <w:szCs w:val="20"/>
                <w:lang w:val="fr-FR"/>
              </w:rPr>
              <w:t>.</w:t>
            </w:r>
          </w:p>
        </w:tc>
        <w:tc>
          <w:tcPr>
            <w:tcW w:w="2340" w:type="dxa"/>
            <w:vMerge w:val="restart"/>
            <w:shd w:val="clear" w:color="auto" w:fill="auto"/>
            <w:vAlign w:val="center"/>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 xml:space="preserve">1) Mise en place de systèmes nationaux fonctionnels de notification et de réponses </w:t>
            </w:r>
            <w:r>
              <w:rPr>
                <w:kern w:val="22"/>
                <w:sz w:val="20"/>
                <w:szCs w:val="20"/>
                <w:lang w:val="fr-FR"/>
              </w:rPr>
              <w:lastRenderedPageBreak/>
              <w:t>appropriées aux mouvements transfrontières non intentionnels, conformément à l’Article</w:t>
            </w:r>
            <w:r w:rsidR="008B7DA6">
              <w:rPr>
                <w:kern w:val="22"/>
                <w:sz w:val="20"/>
                <w:szCs w:val="20"/>
                <w:lang w:val="fr-FR"/>
              </w:rPr>
              <w:t> </w:t>
            </w:r>
            <w:r>
              <w:rPr>
                <w:kern w:val="22"/>
                <w:sz w:val="20"/>
                <w:szCs w:val="20"/>
                <w:lang w:val="fr-FR"/>
              </w:rPr>
              <w:t>17 du Protocole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2) Mise en place de systèmes nationaux fonctionnels pour la manipulation, le transport, l’emballage et l’identification, y compris en ce qui concerne la documentation</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3) Développement, si nécessaire, et accès aux matériels ressources, procédures et informations pour l’échantillonnage, la détection et l’identification des OVM</w:t>
            </w:r>
            <w:r w:rsidR="008B7DA6">
              <w:rPr>
                <w:kern w:val="22"/>
                <w:sz w:val="20"/>
                <w:szCs w:val="20"/>
                <w:lang w:val="fr-FR"/>
              </w:rPr>
              <w:t> </w:t>
            </w:r>
            <w:r>
              <w:rPr>
                <w:kern w:val="22"/>
                <w:sz w:val="20"/>
                <w:szCs w:val="20"/>
                <w:lang w:val="fr-FR"/>
              </w:rPr>
              <w:t xml:space="preserve">; </w:t>
            </w:r>
          </w:p>
          <w:p w:rsidR="000E2816" w:rsidRPr="00F10E52" w:rsidRDefault="00F10E52" w:rsidP="006B322C">
            <w:pPr>
              <w:jc w:val="left"/>
              <w:rPr>
                <w:rFonts w:eastAsia="MS Mincho"/>
                <w:kern w:val="22"/>
                <w:sz w:val="20"/>
                <w:szCs w:val="20"/>
                <w:lang w:val="fr-FR"/>
              </w:rPr>
            </w:pPr>
            <w:r>
              <w:rPr>
                <w:kern w:val="22"/>
                <w:sz w:val="20"/>
                <w:szCs w:val="20"/>
                <w:lang w:val="fr-FR"/>
              </w:rPr>
              <w:t>4) Renforcement des capacités des fonctionnaires et du personnel de laboratoire en matière d’échantillonnage, de détection et d’identification</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lastRenderedPageBreak/>
              <w:t>5) Accès à l’infrastructure technique pour la détection et l’identification, incluant des matériels de référence certifiés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strike/>
                <w:kern w:val="22"/>
                <w:sz w:val="20"/>
                <w:szCs w:val="20"/>
                <w:lang w:val="fr-FR"/>
              </w:rPr>
            </w:pPr>
            <w:r>
              <w:rPr>
                <w:kern w:val="22"/>
                <w:sz w:val="20"/>
                <w:szCs w:val="20"/>
                <w:lang w:val="fr-FR"/>
              </w:rPr>
              <w:t>6) Renforcement de la collaboration, notamment par l’intermédiaire de réseaux de laboratoires.</w:t>
            </w:r>
          </w:p>
        </w:tc>
        <w:tc>
          <w:tcPr>
            <w:tcW w:w="2880" w:type="dxa"/>
            <w:vMerge w:val="restart"/>
            <w:shd w:val="clear" w:color="auto" w:fill="auto"/>
            <w:vAlign w:val="center"/>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 xml:space="preserve">i) Dispenser une formation sur la documentation, l’échantillonnage, la détection </w:t>
            </w:r>
            <w:r w:rsidR="002B2DD6">
              <w:rPr>
                <w:kern w:val="22"/>
                <w:sz w:val="20"/>
                <w:szCs w:val="20"/>
                <w:lang w:val="fr-FR"/>
              </w:rPr>
              <w:t xml:space="preserve">et l’identification des OVM aux </w:t>
            </w:r>
            <w:r>
              <w:rPr>
                <w:kern w:val="22"/>
                <w:sz w:val="20"/>
                <w:szCs w:val="20"/>
                <w:lang w:val="fr-FR"/>
              </w:rPr>
              <w:lastRenderedPageBreak/>
              <w:t>parties prenantes concernées</w:t>
            </w:r>
            <w:r w:rsidR="008B7DA6">
              <w:rPr>
                <w:kern w:val="22"/>
                <w:sz w:val="20"/>
                <w:szCs w:val="20"/>
                <w:lang w:val="fr-FR"/>
              </w:rPr>
              <w:t> </w:t>
            </w:r>
            <w:r w:rsidR="003F71A6">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ii) Élaborer des listes nationales sur les exigences d’identification afin de faciliter la vérification de la documentation accompagnant les expéditions d’OVM</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iii) Diffuser et dispenser une formation sur les méthodologies et les protocoles d’échantillonnage, de détection et d’identification des OVM</w:t>
            </w:r>
            <w:r w:rsidR="008B7DA6">
              <w:rPr>
                <w:kern w:val="22"/>
                <w:sz w:val="20"/>
                <w:szCs w:val="20"/>
                <w:lang w:val="fr-FR"/>
              </w:rPr>
              <w:t> </w:t>
            </w:r>
            <w:r w:rsidR="003F71A6">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iv) Faciliter l’accès aux infrastructures de détection et d’identification des OVM, </w:t>
            </w:r>
            <w:r w:rsidR="00286968">
              <w:rPr>
                <w:kern w:val="22"/>
                <w:sz w:val="20"/>
                <w:szCs w:val="20"/>
                <w:lang w:val="fr-FR"/>
              </w:rPr>
              <w:t>y compris aux</w:t>
            </w:r>
            <w:r>
              <w:rPr>
                <w:kern w:val="22"/>
                <w:sz w:val="20"/>
                <w:szCs w:val="20"/>
                <w:lang w:val="fr-FR"/>
              </w:rPr>
              <w:t xml:space="preserve"> laboratoires accrédités, </w:t>
            </w:r>
            <w:r w:rsidR="00286968">
              <w:rPr>
                <w:kern w:val="22"/>
                <w:sz w:val="20"/>
                <w:szCs w:val="20"/>
                <w:lang w:val="fr-FR"/>
              </w:rPr>
              <w:t>aux</w:t>
            </w:r>
            <w:r>
              <w:rPr>
                <w:kern w:val="22"/>
                <w:sz w:val="20"/>
                <w:szCs w:val="20"/>
                <w:lang w:val="fr-FR"/>
              </w:rPr>
              <w:t xml:space="preserve"> consommables et matériels de référence certifiés ;</w:t>
            </w:r>
          </w:p>
          <w:p w:rsidR="000E2816" w:rsidRPr="00F10E52" w:rsidRDefault="00F10E52" w:rsidP="006B322C">
            <w:pPr>
              <w:jc w:val="left"/>
              <w:rPr>
                <w:rFonts w:eastAsia="MS Mincho"/>
                <w:kern w:val="22"/>
                <w:sz w:val="20"/>
                <w:szCs w:val="20"/>
                <w:lang w:val="fr-FR"/>
              </w:rPr>
            </w:pPr>
            <w:r>
              <w:rPr>
                <w:kern w:val="22"/>
                <w:sz w:val="20"/>
                <w:szCs w:val="20"/>
                <w:lang w:val="fr-FR"/>
              </w:rPr>
              <w:t>v) Créer, renforcer et maintenir des réseaux de laboratoires pour la détection et l’identification des OVM.</w:t>
            </w:r>
          </w:p>
        </w:tc>
      </w:tr>
      <w:tr w:rsidR="00173EB8" w:rsidRPr="001945CD" w:rsidTr="006B322C">
        <w:tblPrEx>
          <w:shd w:val="clear" w:color="auto" w:fill="auto"/>
        </w:tblPrEx>
        <w:tc>
          <w:tcPr>
            <w:tcW w:w="1728" w:type="dxa"/>
            <w:shd w:val="clear" w:color="auto" w:fill="auto"/>
          </w:tcPr>
          <w:p w:rsidR="000E2816" w:rsidRPr="00F10E52" w:rsidRDefault="00F10E52" w:rsidP="006B322C">
            <w:pPr>
              <w:jc w:val="left"/>
              <w:rPr>
                <w:rFonts w:eastAsia="MS Mincho"/>
                <w:b/>
                <w:kern w:val="22"/>
                <w:sz w:val="20"/>
                <w:szCs w:val="20"/>
                <w:lang w:val="fr-FR"/>
              </w:rPr>
            </w:pPr>
            <w:r w:rsidRPr="009776E2">
              <w:rPr>
                <w:b/>
                <w:bCs/>
                <w:kern w:val="22"/>
                <w:sz w:val="20"/>
                <w:szCs w:val="20"/>
                <w:lang w:val="fr-FR"/>
              </w:rPr>
              <w:lastRenderedPageBreak/>
              <w:t>A.7. Les Parties ont mis en place</w:t>
            </w:r>
            <w:r>
              <w:rPr>
                <w:b/>
                <w:bCs/>
                <w:kern w:val="22"/>
                <w:sz w:val="20"/>
                <w:szCs w:val="20"/>
                <w:lang w:val="fr-FR"/>
              </w:rPr>
              <w:t xml:space="preserve"> des mesures pour satisfaire aux exigences de manipulation, de transport, d’emballage et d’identification des OVM au titre du Protocole</w:t>
            </w:r>
            <w:r w:rsidR="001E5C22">
              <w:rPr>
                <w:b/>
                <w:bCs/>
                <w:kern w:val="22"/>
                <w:sz w:val="20"/>
                <w:szCs w:val="20"/>
                <w:lang w:val="fr-FR"/>
              </w:rPr>
              <w:t>.</w:t>
            </w:r>
          </w:p>
        </w:tc>
        <w:tc>
          <w:tcPr>
            <w:tcW w:w="2340" w:type="dxa"/>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A.7.1. Les Parties ont adopté les mesures nécessaires pour exiger que les OVM faisant l’objet de mouvements transfrontières soient manipulés, emballés et transportés dans des conditions de sécurité, en tenant compte des règles et normes internationales pertinentes</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A.7.2. Les Parties ont mis en place des mesures pour satisfaire aux exigences en matière de documentation pour</w:t>
            </w:r>
            <w:r w:rsidR="003F71A6">
              <w:rPr>
                <w:kern w:val="22"/>
                <w:sz w:val="20"/>
                <w:szCs w:val="20"/>
                <w:lang w:val="fr-FR"/>
              </w:rPr>
              <w:t> :</w:t>
            </w:r>
            <w:r>
              <w:rPr>
                <w:kern w:val="22"/>
                <w:sz w:val="20"/>
                <w:szCs w:val="20"/>
                <w:lang w:val="fr-FR"/>
              </w:rPr>
              <w:t xml:space="preserve"> les OVM destinés à être utilisés directement comme denrées alimentaires ou aliments pour animaux, ou à être transformés</w:t>
            </w:r>
            <w:r w:rsidR="008B7DA6">
              <w:rPr>
                <w:kern w:val="22"/>
                <w:sz w:val="20"/>
                <w:szCs w:val="20"/>
                <w:lang w:val="fr-FR"/>
              </w:rPr>
              <w:t> </w:t>
            </w:r>
            <w:r>
              <w:rPr>
                <w:kern w:val="22"/>
                <w:sz w:val="20"/>
                <w:szCs w:val="20"/>
                <w:lang w:val="fr-FR"/>
              </w:rPr>
              <w:t>; les OVM destinés à une utilisation confinée</w:t>
            </w:r>
            <w:r w:rsidR="008B7DA6">
              <w:rPr>
                <w:kern w:val="22"/>
                <w:sz w:val="20"/>
                <w:szCs w:val="20"/>
                <w:lang w:val="fr-FR"/>
              </w:rPr>
              <w:t> </w:t>
            </w:r>
            <w:r>
              <w:rPr>
                <w:kern w:val="22"/>
                <w:sz w:val="20"/>
                <w:szCs w:val="20"/>
                <w:lang w:val="fr-FR"/>
              </w:rPr>
              <w:t xml:space="preserve">; les OVM destinés à être introduits intentionnellement dans </w:t>
            </w:r>
            <w:r>
              <w:rPr>
                <w:kern w:val="22"/>
                <w:sz w:val="20"/>
                <w:szCs w:val="20"/>
                <w:lang w:val="fr-FR"/>
              </w:rPr>
              <w:lastRenderedPageBreak/>
              <w:t>l’environnement et les autres OVM</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 Pourcentage de Parties ayant pris les mesures nécessaires pour exiger que les OVM faisant l’objet de mouvements transfrontières soient manipulés, emballés et transportés dans des conditions de sécurité, en tenant compte des règles et normes internationales pertinentes</w:t>
            </w:r>
            <w:r w:rsidR="003522A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ayant mis en place des exigences en matière de documentation pour les OVM destinés à être utilisés directement comme denrées alimentaires ou aliments pour animaux, ou à être transformés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c) Pourcentage de Parties ayant mis en place des exigences en matière de documentation pour les OVM destinés à une utilisation confinée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d) Pourcentage de Parties ayant mis en place des exigences en matière de documentation pour les OVM destinés à une introduction intentionnelle dans </w:t>
            </w:r>
            <w:r>
              <w:rPr>
                <w:kern w:val="22"/>
                <w:sz w:val="20"/>
                <w:szCs w:val="20"/>
                <w:lang w:val="fr-FR"/>
              </w:rPr>
              <w:lastRenderedPageBreak/>
              <w:t>l’environnement et les autres OVM.</w:t>
            </w:r>
          </w:p>
        </w:tc>
        <w:tc>
          <w:tcPr>
            <w:tcW w:w="216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Grâce à une manipulation, un transport, un emballage et une identification appropriés des OVM, les Parties sont en mesure de gérer en toute sécurité les mouvements trans</w:t>
            </w:r>
            <w:r w:rsidR="003522A2">
              <w:rPr>
                <w:kern w:val="22"/>
                <w:sz w:val="20"/>
                <w:szCs w:val="20"/>
                <w:lang w:val="fr-FR"/>
              </w:rPr>
              <w:t>frontières intentionnels d’OVM.</w:t>
            </w:r>
          </w:p>
        </w:tc>
        <w:tc>
          <w:tcPr>
            <w:tcW w:w="2340" w:type="dxa"/>
            <w:vMerge/>
            <w:shd w:val="clear" w:color="auto" w:fill="auto"/>
            <w:vAlign w:val="center"/>
          </w:tcPr>
          <w:p w:rsidR="000E2816" w:rsidRPr="00F10E52" w:rsidRDefault="000E2816" w:rsidP="006B322C">
            <w:pPr>
              <w:jc w:val="left"/>
              <w:rPr>
                <w:rFonts w:eastAsia="MS Mincho"/>
                <w:kern w:val="22"/>
                <w:sz w:val="20"/>
                <w:szCs w:val="20"/>
                <w:lang w:val="fr-FR"/>
              </w:rPr>
            </w:pPr>
          </w:p>
        </w:tc>
        <w:tc>
          <w:tcPr>
            <w:tcW w:w="2880" w:type="dxa"/>
            <w:vMerge/>
            <w:shd w:val="clear" w:color="auto" w:fill="auto"/>
            <w:vAlign w:val="center"/>
          </w:tcPr>
          <w:p w:rsidR="000E2816" w:rsidRPr="00F10E52" w:rsidRDefault="000E2816" w:rsidP="006B322C">
            <w:pPr>
              <w:jc w:val="left"/>
              <w:rPr>
                <w:rFonts w:eastAsia="MS Mincho"/>
                <w:kern w:val="22"/>
                <w:sz w:val="20"/>
                <w:szCs w:val="20"/>
                <w:lang w:val="fr-FR"/>
              </w:rPr>
            </w:pPr>
          </w:p>
        </w:tc>
      </w:tr>
      <w:tr w:rsidR="00173EB8" w:rsidRPr="001945CD" w:rsidTr="006B322C">
        <w:tblPrEx>
          <w:shd w:val="clear" w:color="auto" w:fill="auto"/>
        </w:tblPrEx>
        <w:tc>
          <w:tcPr>
            <w:tcW w:w="1728" w:type="dxa"/>
            <w:shd w:val="clear" w:color="auto" w:fill="auto"/>
          </w:tcPr>
          <w:p w:rsidR="000E2816" w:rsidRPr="00F10E52" w:rsidRDefault="00F10E52" w:rsidP="006B322C">
            <w:pPr>
              <w:jc w:val="left"/>
              <w:rPr>
                <w:rFonts w:eastAsia="MS Mincho"/>
                <w:b/>
                <w:kern w:val="22"/>
                <w:sz w:val="20"/>
                <w:szCs w:val="20"/>
                <w:lang w:val="fr-FR"/>
              </w:rPr>
            </w:pPr>
            <w:r>
              <w:rPr>
                <w:b/>
                <w:bCs/>
                <w:kern w:val="22"/>
                <w:sz w:val="20"/>
                <w:szCs w:val="20"/>
                <w:lang w:val="fr-FR"/>
              </w:rPr>
              <w:t>A.8. Les Parties sont en mesure de détecter et d’identifier les OVM</w:t>
            </w:r>
            <w:r w:rsidR="001E5C22">
              <w:rPr>
                <w:b/>
                <w:bCs/>
                <w:kern w:val="22"/>
                <w:sz w:val="20"/>
                <w:szCs w:val="20"/>
                <w:lang w:val="fr-FR"/>
              </w:rPr>
              <w:t>.</w:t>
            </w:r>
          </w:p>
        </w:tc>
        <w:tc>
          <w:tcPr>
            <w:tcW w:w="2340" w:type="dxa"/>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A.8.1. Les Parties ont accès à l’infrastructure technique et à l’expertise nécessaires à la détection et l’identification des OVM</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A.8.2. Les Parties ont accès et utilisent du matériel ressource approprié pour la détection et l’identification des OVM</w:t>
            </w:r>
            <w:r w:rsidR="001E5C22">
              <w:rPr>
                <w:kern w:val="22"/>
                <w:sz w:val="20"/>
                <w:szCs w:val="20"/>
                <w:lang w:val="fr-FR"/>
              </w:rPr>
              <w:t> ;</w:t>
            </w:r>
          </w:p>
          <w:p w:rsidR="000E2816" w:rsidRPr="00F10E52" w:rsidRDefault="00F10E52" w:rsidP="00023218">
            <w:pPr>
              <w:spacing w:before="60" w:after="60"/>
              <w:jc w:val="left"/>
              <w:rPr>
                <w:rFonts w:eastAsia="MS Mincho"/>
                <w:kern w:val="22"/>
                <w:sz w:val="20"/>
                <w:szCs w:val="20"/>
                <w:lang w:val="fr-FR"/>
              </w:rPr>
            </w:pPr>
            <w:r>
              <w:rPr>
                <w:kern w:val="22"/>
                <w:sz w:val="20"/>
                <w:szCs w:val="20"/>
                <w:lang w:val="fr-FR"/>
              </w:rPr>
              <w:t xml:space="preserve">A.8.3. Les Parties ont accès aux informations nécessaires et les utilisent pour détecter et identifier les OVM, </w:t>
            </w:r>
            <w:r w:rsidR="00023218">
              <w:rPr>
                <w:kern w:val="22"/>
                <w:sz w:val="20"/>
                <w:szCs w:val="20"/>
                <w:lang w:val="fr-FR"/>
              </w:rPr>
              <w:t>y compris à des</w:t>
            </w:r>
            <w:r>
              <w:rPr>
                <w:kern w:val="22"/>
                <w:sz w:val="20"/>
                <w:szCs w:val="20"/>
                <w:lang w:val="fr-FR"/>
              </w:rPr>
              <w:t xml:space="preserve"> méthodes de détection et des matériels de référence certifiés</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a) Pourcentage d’OVM sur le CEPRB pour lesquels des méthodes de détection sont disponibles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ayant accès et utilisant du matériel ressource et des méthodes de détection pour détecter et identifier les OVM</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c) Pourcentage de Parties ayant accès et utilisant des matériels de référence certifiés nécessaires pour détecter et identifier les OVM</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d) Pourcentage de Parties ayant accès à l’infrastructure technique nécessaire pour détecter et identifier les OVM.</w:t>
            </w:r>
          </w:p>
        </w:tc>
        <w:tc>
          <w:tcPr>
            <w:tcW w:w="2160" w:type="dxa"/>
            <w:shd w:val="clear" w:color="auto" w:fill="auto"/>
          </w:tcPr>
          <w:p w:rsidR="000E2816" w:rsidRPr="00F10E52" w:rsidRDefault="00F10E52" w:rsidP="008B7DA6">
            <w:pPr>
              <w:spacing w:before="60" w:after="60"/>
              <w:jc w:val="left"/>
              <w:rPr>
                <w:rFonts w:eastAsia="MS Mincho"/>
                <w:kern w:val="22"/>
                <w:sz w:val="20"/>
                <w:szCs w:val="20"/>
                <w:lang w:val="fr-FR"/>
              </w:rPr>
            </w:pPr>
            <w:r>
              <w:rPr>
                <w:kern w:val="22"/>
                <w:sz w:val="20"/>
                <w:szCs w:val="20"/>
                <w:lang w:val="fr-FR"/>
              </w:rPr>
              <w:t xml:space="preserve">En détectant </w:t>
            </w:r>
            <w:r w:rsidR="008B7DA6">
              <w:rPr>
                <w:kern w:val="22"/>
                <w:sz w:val="20"/>
                <w:szCs w:val="20"/>
                <w:lang w:val="fr-FR"/>
              </w:rPr>
              <w:t xml:space="preserve">les OVM </w:t>
            </w:r>
            <w:r>
              <w:rPr>
                <w:kern w:val="22"/>
                <w:sz w:val="20"/>
                <w:szCs w:val="20"/>
                <w:lang w:val="fr-FR"/>
              </w:rPr>
              <w:t>et en</w:t>
            </w:r>
            <w:r w:rsidR="008B7DA6">
              <w:rPr>
                <w:kern w:val="22"/>
                <w:sz w:val="20"/>
                <w:szCs w:val="20"/>
                <w:lang w:val="fr-FR"/>
              </w:rPr>
              <w:t xml:space="preserve"> les</w:t>
            </w:r>
            <w:r>
              <w:rPr>
                <w:kern w:val="22"/>
                <w:sz w:val="20"/>
                <w:szCs w:val="20"/>
                <w:lang w:val="fr-FR"/>
              </w:rPr>
              <w:t xml:space="preserve"> identifiant, les Parties sont en mesure de faire face aux mouvements transfrontières non intentionnels et illégaux et de mettre en œuvre les exigences de manipulation, de transport, d’emballage et d’identification conformément au Protocole.</w:t>
            </w:r>
          </w:p>
        </w:tc>
        <w:tc>
          <w:tcPr>
            <w:tcW w:w="2340" w:type="dxa"/>
            <w:vMerge/>
            <w:shd w:val="clear" w:color="auto" w:fill="auto"/>
            <w:vAlign w:val="center"/>
          </w:tcPr>
          <w:p w:rsidR="000E2816" w:rsidRPr="00F10E52" w:rsidRDefault="000E2816" w:rsidP="006B322C">
            <w:pPr>
              <w:jc w:val="left"/>
              <w:rPr>
                <w:rFonts w:eastAsia="MS Mincho"/>
                <w:kern w:val="22"/>
                <w:sz w:val="20"/>
                <w:szCs w:val="20"/>
                <w:lang w:val="fr-FR"/>
              </w:rPr>
            </w:pPr>
          </w:p>
        </w:tc>
        <w:tc>
          <w:tcPr>
            <w:tcW w:w="2880" w:type="dxa"/>
            <w:vMerge/>
            <w:shd w:val="clear" w:color="auto" w:fill="auto"/>
            <w:vAlign w:val="center"/>
          </w:tcPr>
          <w:p w:rsidR="000E2816" w:rsidRPr="00F10E52" w:rsidRDefault="000E2816" w:rsidP="006B322C">
            <w:pPr>
              <w:jc w:val="left"/>
              <w:rPr>
                <w:rFonts w:eastAsia="MS Mincho"/>
                <w:kern w:val="22"/>
                <w:sz w:val="20"/>
                <w:szCs w:val="20"/>
                <w:lang w:val="fr-FR"/>
              </w:rPr>
            </w:pPr>
          </w:p>
        </w:tc>
      </w:tr>
      <w:tr w:rsidR="00173EB8" w:rsidRPr="001945CD" w:rsidTr="00BD6BBF">
        <w:tblPrEx>
          <w:shd w:val="clear" w:color="auto" w:fill="auto"/>
        </w:tblPrEx>
        <w:trPr>
          <w:trHeight w:val="752"/>
        </w:trPr>
        <w:tc>
          <w:tcPr>
            <w:tcW w:w="1728" w:type="dxa"/>
            <w:shd w:val="clear" w:color="auto" w:fill="auto"/>
          </w:tcPr>
          <w:p w:rsidR="000E2816" w:rsidRPr="00F10E52" w:rsidRDefault="00F10E52" w:rsidP="006B322C">
            <w:pPr>
              <w:jc w:val="left"/>
              <w:rPr>
                <w:rFonts w:eastAsia="MS Mincho"/>
                <w:b/>
                <w:kern w:val="22"/>
                <w:sz w:val="20"/>
                <w:szCs w:val="20"/>
                <w:lang w:val="fr-FR"/>
              </w:rPr>
            </w:pPr>
            <w:r w:rsidRPr="00AE6C01">
              <w:rPr>
                <w:b/>
                <w:bCs/>
                <w:kern w:val="22"/>
                <w:sz w:val="20"/>
                <w:szCs w:val="20"/>
                <w:lang w:val="fr-FR"/>
              </w:rPr>
              <w:t>A.9. Les Parties qui choisissent de</w:t>
            </w:r>
            <w:r>
              <w:rPr>
                <w:b/>
                <w:bCs/>
                <w:kern w:val="22"/>
                <w:sz w:val="20"/>
                <w:szCs w:val="20"/>
                <w:lang w:val="fr-FR"/>
              </w:rPr>
              <w:t xml:space="preserve"> le faire tiennent compte des considérations socio-économiques lorsqu’elles </w:t>
            </w:r>
            <w:r>
              <w:rPr>
                <w:b/>
                <w:bCs/>
                <w:kern w:val="22"/>
                <w:sz w:val="20"/>
                <w:szCs w:val="20"/>
                <w:lang w:val="fr-FR"/>
              </w:rPr>
              <w:lastRenderedPageBreak/>
              <w:t>prennent des décisions sur l’importation d’OVM et coopèrent en matière de recherche et d’échange d’informations conformément à l’Article</w:t>
            </w:r>
            <w:r w:rsidR="008B7DA6">
              <w:rPr>
                <w:b/>
                <w:bCs/>
                <w:kern w:val="22"/>
                <w:sz w:val="20"/>
                <w:szCs w:val="20"/>
                <w:lang w:val="fr-FR"/>
              </w:rPr>
              <w:t> </w:t>
            </w:r>
            <w:r>
              <w:rPr>
                <w:b/>
                <w:bCs/>
                <w:kern w:val="22"/>
                <w:sz w:val="20"/>
                <w:szCs w:val="20"/>
                <w:lang w:val="fr-FR"/>
              </w:rPr>
              <w:t>26 du Protocole</w:t>
            </w:r>
            <w:r w:rsidR="001E5C22">
              <w:rPr>
                <w:b/>
                <w:bCs/>
                <w:kern w:val="22"/>
                <w:sz w:val="20"/>
                <w:szCs w:val="20"/>
                <w:lang w:val="fr-FR"/>
              </w:rPr>
              <w:t>.</w:t>
            </w:r>
          </w:p>
        </w:tc>
        <w:tc>
          <w:tcPr>
            <w:tcW w:w="2340" w:type="dxa"/>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A.9.1. Les Parties qui choisissent de le faire tiennent compte des considérations socio-économiques dans la prise de décisions conformément à l’Article</w:t>
            </w:r>
            <w:r w:rsidR="008B7DA6">
              <w:rPr>
                <w:kern w:val="22"/>
                <w:sz w:val="20"/>
                <w:szCs w:val="20"/>
                <w:lang w:val="fr-FR"/>
              </w:rPr>
              <w:t> </w:t>
            </w:r>
            <w:r>
              <w:rPr>
                <w:kern w:val="22"/>
                <w:sz w:val="20"/>
                <w:szCs w:val="20"/>
                <w:lang w:val="fr-FR"/>
              </w:rPr>
              <w:t>26</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lastRenderedPageBreak/>
              <w:t>A.9.2. Les Parties qui choisissent de tenir compte des considérations socio-économiques conformément à l’Article</w:t>
            </w:r>
            <w:r w:rsidR="008B7DA6">
              <w:rPr>
                <w:kern w:val="22"/>
                <w:sz w:val="20"/>
                <w:szCs w:val="20"/>
                <w:lang w:val="fr-FR"/>
              </w:rPr>
              <w:t> </w:t>
            </w:r>
            <w:r>
              <w:rPr>
                <w:kern w:val="22"/>
                <w:sz w:val="20"/>
                <w:szCs w:val="20"/>
                <w:lang w:val="fr-FR"/>
              </w:rPr>
              <w:t>26 ont accès à du matériel ressource et sont en mesure de l’utiliser</w:t>
            </w:r>
            <w:r w:rsidR="001E5C22">
              <w:rPr>
                <w:kern w:val="22"/>
                <w:sz w:val="20"/>
                <w:szCs w:val="20"/>
                <w:lang w:val="fr-FR"/>
              </w:rPr>
              <w:t> ;</w:t>
            </w:r>
          </w:p>
          <w:p w:rsidR="000E2816" w:rsidRPr="00F10E52" w:rsidRDefault="00F10E52" w:rsidP="006B322C">
            <w:pPr>
              <w:spacing w:after="60"/>
              <w:jc w:val="left"/>
              <w:rPr>
                <w:rFonts w:eastAsia="MS Mincho"/>
                <w:kern w:val="22"/>
                <w:sz w:val="20"/>
                <w:szCs w:val="20"/>
                <w:lang w:val="fr-FR"/>
              </w:rPr>
            </w:pPr>
            <w:r>
              <w:rPr>
                <w:kern w:val="22"/>
                <w:sz w:val="20"/>
                <w:szCs w:val="20"/>
                <w:lang w:val="fr-FR"/>
              </w:rPr>
              <w:t>A.9.3. Les Parties coopèrent à la recherche et à l’échange d’informations sur tout impact socio-économique des OVM, en particulier sur les peuples autochtones et les communautés locales</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 Pourcentage de Parties tenant compte des considérations socio-économiques dans la prise de décisions conformément à l’Article</w:t>
            </w:r>
            <w:r w:rsidR="008B7DA6">
              <w:rPr>
                <w:kern w:val="22"/>
                <w:sz w:val="20"/>
                <w:szCs w:val="20"/>
                <w:lang w:val="fr-FR"/>
              </w:rPr>
              <w:t> </w:t>
            </w:r>
            <w:r>
              <w:rPr>
                <w:kern w:val="22"/>
                <w:sz w:val="20"/>
                <w:szCs w:val="20"/>
                <w:lang w:val="fr-FR"/>
              </w:rPr>
              <w:t>26 du Protocole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b) Parmi le</w:t>
            </w:r>
            <w:r w:rsidR="008B7DA6">
              <w:rPr>
                <w:kern w:val="22"/>
                <w:sz w:val="20"/>
                <w:szCs w:val="20"/>
                <w:lang w:val="fr-FR"/>
              </w:rPr>
              <w:t>s</w:t>
            </w:r>
            <w:r>
              <w:rPr>
                <w:kern w:val="22"/>
                <w:sz w:val="20"/>
                <w:szCs w:val="20"/>
                <w:lang w:val="fr-FR"/>
              </w:rPr>
              <w:t xml:space="preserve"> Parties tenant compte des considérations socio-économiques, pourcentage </w:t>
            </w:r>
            <w:r>
              <w:rPr>
                <w:kern w:val="22"/>
                <w:sz w:val="20"/>
                <w:szCs w:val="20"/>
                <w:lang w:val="fr-FR"/>
              </w:rPr>
              <w:lastRenderedPageBreak/>
              <w:t>utilisant du matériel ressource à cette fin</w:t>
            </w:r>
            <w:r w:rsidR="008B7DA6">
              <w:rPr>
                <w:kern w:val="22"/>
                <w:sz w:val="20"/>
                <w:szCs w:val="20"/>
                <w:lang w:val="fr-FR"/>
              </w:rPr>
              <w:t> </w:t>
            </w:r>
            <w:r>
              <w:rPr>
                <w:kern w:val="22"/>
                <w:sz w:val="20"/>
                <w:szCs w:val="20"/>
                <w:lang w:val="fr-FR"/>
              </w:rPr>
              <w:t>;</w:t>
            </w:r>
          </w:p>
          <w:p w:rsidR="000E2816" w:rsidRPr="00F10E52" w:rsidRDefault="00F10E52" w:rsidP="003522A2">
            <w:pPr>
              <w:jc w:val="left"/>
              <w:rPr>
                <w:rFonts w:eastAsia="MS Mincho"/>
                <w:kern w:val="22"/>
                <w:sz w:val="20"/>
                <w:szCs w:val="20"/>
                <w:lang w:val="fr-FR"/>
              </w:rPr>
            </w:pPr>
            <w:r>
              <w:rPr>
                <w:kern w:val="22"/>
                <w:sz w:val="20"/>
                <w:szCs w:val="20"/>
                <w:lang w:val="fr-FR"/>
              </w:rPr>
              <w:t>c) Pourcentage des Parties coop</w:t>
            </w:r>
            <w:r w:rsidR="008B7DA6">
              <w:rPr>
                <w:kern w:val="22"/>
                <w:sz w:val="20"/>
                <w:szCs w:val="20"/>
                <w:lang w:val="fr-FR"/>
              </w:rPr>
              <w:t>é</w:t>
            </w:r>
            <w:r>
              <w:rPr>
                <w:kern w:val="22"/>
                <w:sz w:val="20"/>
                <w:szCs w:val="20"/>
                <w:lang w:val="fr-FR"/>
              </w:rPr>
              <w:t>rant à la recherche et à l’échange d’informations sur tout impact socio-économique des OVM, en particulier sur les peuples autochtones et les communautés locales.</w:t>
            </w:r>
          </w:p>
        </w:tc>
        <w:tc>
          <w:tcPr>
            <w:tcW w:w="2160" w:type="dxa"/>
            <w:shd w:val="clear" w:color="auto" w:fill="auto"/>
          </w:tcPr>
          <w:p w:rsidR="000E2816" w:rsidRPr="00F10E52" w:rsidRDefault="00F10E52" w:rsidP="003522A2">
            <w:pPr>
              <w:spacing w:before="60" w:after="60"/>
              <w:jc w:val="left"/>
              <w:rPr>
                <w:rFonts w:eastAsia="MS Mincho"/>
                <w:kern w:val="22"/>
                <w:sz w:val="20"/>
                <w:szCs w:val="20"/>
                <w:lang w:val="fr-FR"/>
              </w:rPr>
            </w:pPr>
            <w:r>
              <w:rPr>
                <w:kern w:val="22"/>
                <w:sz w:val="20"/>
                <w:szCs w:val="20"/>
                <w:lang w:val="fr-FR"/>
              </w:rPr>
              <w:lastRenderedPageBreak/>
              <w:t>La prise en compte des considérations socio-économiques conformément à l’Article</w:t>
            </w:r>
            <w:r w:rsidR="008B7DA6">
              <w:rPr>
                <w:kern w:val="22"/>
                <w:sz w:val="20"/>
                <w:szCs w:val="20"/>
                <w:lang w:val="fr-FR"/>
              </w:rPr>
              <w:t> </w:t>
            </w:r>
            <w:r>
              <w:rPr>
                <w:kern w:val="22"/>
                <w:sz w:val="20"/>
                <w:szCs w:val="20"/>
                <w:lang w:val="fr-FR"/>
              </w:rPr>
              <w:t xml:space="preserve">26 permet aux Parties qui choisissent de le faire d’examiner une série de questions lors de la prise de </w:t>
            </w:r>
            <w:r>
              <w:rPr>
                <w:kern w:val="22"/>
                <w:sz w:val="20"/>
                <w:szCs w:val="20"/>
                <w:lang w:val="fr-FR"/>
              </w:rPr>
              <w:lastRenderedPageBreak/>
              <w:t>décis</w:t>
            </w:r>
            <w:r w:rsidR="003522A2">
              <w:rPr>
                <w:kern w:val="22"/>
                <w:sz w:val="20"/>
                <w:szCs w:val="20"/>
                <w:lang w:val="fr-FR"/>
              </w:rPr>
              <w:t>ions sur les importations d’OVM.</w:t>
            </w:r>
          </w:p>
        </w:tc>
        <w:tc>
          <w:tcPr>
            <w:tcW w:w="234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1) Renforcement des capacités de prise en compte des considérations socio-économiques conformément à l’Article</w:t>
            </w:r>
            <w:r w:rsidR="008B7DA6">
              <w:rPr>
                <w:kern w:val="22"/>
                <w:sz w:val="20"/>
                <w:szCs w:val="20"/>
                <w:lang w:val="fr-FR"/>
              </w:rPr>
              <w:t> </w:t>
            </w:r>
            <w:r>
              <w:rPr>
                <w:kern w:val="22"/>
                <w:sz w:val="20"/>
                <w:szCs w:val="20"/>
                <w:lang w:val="fr-FR"/>
              </w:rPr>
              <w:t>26</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2) Développement de matériel ressource sur les </w:t>
            </w:r>
            <w:r>
              <w:rPr>
                <w:kern w:val="22"/>
                <w:sz w:val="20"/>
                <w:szCs w:val="20"/>
                <w:lang w:val="fr-FR"/>
              </w:rPr>
              <w:lastRenderedPageBreak/>
              <w:t>considérations socio-économiques.</w:t>
            </w:r>
          </w:p>
        </w:tc>
        <w:tc>
          <w:tcPr>
            <w:tcW w:w="288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i) Dispenser une formation aux autorités nationales compétentes sur la prise en compte des considérations socio-économiques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ii) Élaborer, mettre à jour et diffuser des matériels de formation sur les considérations </w:t>
            </w:r>
            <w:r>
              <w:rPr>
                <w:kern w:val="22"/>
                <w:sz w:val="20"/>
                <w:szCs w:val="20"/>
                <w:lang w:val="fr-FR"/>
              </w:rPr>
              <w:lastRenderedPageBreak/>
              <w:t>socio-économiques</w:t>
            </w:r>
            <w:r w:rsidR="008B7DA6">
              <w:rPr>
                <w:kern w:val="22"/>
                <w:sz w:val="20"/>
                <w:szCs w:val="20"/>
                <w:lang w:val="fr-FR"/>
              </w:rPr>
              <w:t> </w:t>
            </w:r>
            <w:r w:rsidR="003F71A6">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iii) Partager les expériences et les approches pour la prise en compte des c</w:t>
            </w:r>
            <w:r w:rsidR="003F71A6">
              <w:rPr>
                <w:kern w:val="22"/>
                <w:sz w:val="20"/>
                <w:szCs w:val="20"/>
                <w:lang w:val="fr-FR"/>
              </w:rPr>
              <w:t>onsidérations socio-économiques.</w:t>
            </w:r>
          </w:p>
        </w:tc>
      </w:tr>
      <w:tr w:rsidR="00173EB8" w:rsidRPr="001945CD" w:rsidTr="008558CA">
        <w:tblPrEx>
          <w:shd w:val="clear" w:color="auto" w:fill="auto"/>
        </w:tblPrEx>
        <w:tc>
          <w:tcPr>
            <w:tcW w:w="1728" w:type="dxa"/>
            <w:tcBorders>
              <w:bottom w:val="single" w:sz="4" w:space="0" w:color="auto"/>
            </w:tcBorders>
            <w:shd w:val="clear" w:color="auto" w:fill="auto"/>
          </w:tcPr>
          <w:p w:rsidR="000E2816" w:rsidRPr="00F10E52" w:rsidRDefault="00F10E52" w:rsidP="003F71A6">
            <w:pPr>
              <w:jc w:val="left"/>
              <w:rPr>
                <w:rFonts w:eastAsia="MS Mincho"/>
                <w:b/>
                <w:kern w:val="22"/>
                <w:sz w:val="20"/>
                <w:szCs w:val="20"/>
                <w:lang w:val="fr-FR"/>
              </w:rPr>
            </w:pPr>
            <w:r>
              <w:rPr>
                <w:b/>
                <w:bCs/>
                <w:kern w:val="22"/>
                <w:sz w:val="20"/>
                <w:szCs w:val="20"/>
                <w:lang w:val="fr-FR"/>
              </w:rPr>
              <w:lastRenderedPageBreak/>
              <w:t>A.10. Les Parties au Protocole de Cartagena deviennent Parties au Protocole additionnel de Nagoya</w:t>
            </w:r>
            <w:r w:rsidR="003F71A6">
              <w:rPr>
                <w:b/>
                <w:bCs/>
                <w:kern w:val="22"/>
                <w:sz w:val="20"/>
                <w:szCs w:val="20"/>
                <w:lang w:val="fr-FR"/>
              </w:rPr>
              <w:t xml:space="preserve"> – </w:t>
            </w:r>
            <w:r>
              <w:rPr>
                <w:b/>
                <w:bCs/>
                <w:kern w:val="22"/>
                <w:sz w:val="20"/>
                <w:szCs w:val="20"/>
                <w:lang w:val="fr-FR"/>
              </w:rPr>
              <w:t>Kuala Lumpur sur la responsabilité et la réparation</w:t>
            </w:r>
            <w:r w:rsidR="00AE6C01">
              <w:rPr>
                <w:b/>
                <w:bCs/>
                <w:kern w:val="22"/>
                <w:sz w:val="20"/>
                <w:szCs w:val="20"/>
                <w:lang w:val="fr-FR"/>
              </w:rPr>
              <w:t>,</w:t>
            </w:r>
            <w:r>
              <w:rPr>
                <w:b/>
                <w:bCs/>
                <w:kern w:val="22"/>
                <w:sz w:val="20"/>
                <w:szCs w:val="20"/>
                <w:lang w:val="fr-FR"/>
              </w:rPr>
              <w:t xml:space="preserve"> et ont mis en place des mesures pour s’acquitter de leurs obligations au titre du </w:t>
            </w:r>
            <w:r>
              <w:rPr>
                <w:b/>
                <w:bCs/>
                <w:kern w:val="22"/>
                <w:sz w:val="20"/>
                <w:szCs w:val="20"/>
                <w:lang w:val="fr-FR"/>
              </w:rPr>
              <w:lastRenderedPageBreak/>
              <w:t>Protocole additionnel</w:t>
            </w:r>
            <w:r w:rsidR="001E5C22">
              <w:rPr>
                <w:b/>
                <w:bCs/>
                <w:kern w:val="22"/>
                <w:sz w:val="20"/>
                <w:szCs w:val="20"/>
                <w:lang w:val="fr-FR"/>
              </w:rPr>
              <w:t>.</w:t>
            </w:r>
          </w:p>
        </w:tc>
        <w:tc>
          <w:tcPr>
            <w:tcW w:w="2340" w:type="dxa"/>
            <w:tcBorders>
              <w:bottom w:val="single" w:sz="4" w:space="0" w:color="auto"/>
            </w:tcBorders>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A.10.1. Augmentation du nombre de Parties au Protocole additionnel</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A.10.2. Les Parties au Protocole additionnel ont adopté et mis en œuvre des mesures appropriées pour donner effet aux dispositions du Protocole additionnel</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 xml:space="preserve">A.10.3 Les Parties au Protocole additionnel font rapport sur la mise en œuvre du Protocole </w:t>
            </w:r>
            <w:r>
              <w:rPr>
                <w:kern w:val="22"/>
                <w:sz w:val="20"/>
                <w:szCs w:val="20"/>
                <w:lang w:val="fr-FR"/>
              </w:rPr>
              <w:lastRenderedPageBreak/>
              <w:t>additionnel</w:t>
            </w:r>
            <w:r w:rsidR="001E5C22">
              <w:rPr>
                <w:kern w:val="22"/>
                <w:sz w:val="20"/>
                <w:szCs w:val="20"/>
                <w:lang w:val="fr-FR"/>
              </w:rPr>
              <w:t>.</w:t>
            </w:r>
          </w:p>
        </w:tc>
        <w:tc>
          <w:tcPr>
            <w:tcW w:w="2970" w:type="dxa"/>
            <w:tcBorders>
              <w:bottom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 Pourcentage de Parties au Protocole de Cartagena qui sont devenues Parties au Protocole additionnel</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au Protocole additionnel ayant mis en place les mesures nécessaires pour mettre en œuvre les dispositions du Protocole additionnel</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c) Pourcentage de Parties au Protocole additionnel faisant rapport sur la mise en œ</w:t>
            </w:r>
            <w:r w:rsidR="003F71A6">
              <w:rPr>
                <w:kern w:val="22"/>
                <w:sz w:val="20"/>
                <w:szCs w:val="20"/>
                <w:lang w:val="fr-FR"/>
              </w:rPr>
              <w:t>uvre du Protocole additionnel.</w:t>
            </w:r>
          </w:p>
        </w:tc>
        <w:tc>
          <w:tcPr>
            <w:tcW w:w="2160" w:type="dxa"/>
            <w:tcBorders>
              <w:bottom w:val="single" w:sz="4" w:space="0" w:color="auto"/>
            </w:tcBorders>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L’augmentation du nombre de ratifications du Protocole additionnel de Nagoya</w:t>
            </w:r>
            <w:r w:rsidR="003F71A6">
              <w:rPr>
                <w:kern w:val="22"/>
                <w:sz w:val="20"/>
                <w:szCs w:val="20"/>
                <w:lang w:val="fr-FR"/>
              </w:rPr>
              <w:t xml:space="preserve"> – </w:t>
            </w:r>
            <w:r>
              <w:rPr>
                <w:kern w:val="22"/>
                <w:sz w:val="20"/>
                <w:szCs w:val="20"/>
                <w:lang w:val="fr-FR"/>
              </w:rPr>
              <w:t xml:space="preserve">Kuala Lumpur sur la responsabilité et la réparation fait progresser l’élaboration de règles et procédures nationales sur la responsabilité et la réparation pour les dommages résultant d’OVM provenant d’un mouvement </w:t>
            </w:r>
            <w:r>
              <w:rPr>
                <w:kern w:val="22"/>
                <w:sz w:val="20"/>
                <w:szCs w:val="20"/>
                <w:lang w:val="fr-FR"/>
              </w:rPr>
              <w:lastRenderedPageBreak/>
              <w:t>transfrontière</w:t>
            </w:r>
            <w:r w:rsidR="003522A2">
              <w:rPr>
                <w:kern w:val="22"/>
                <w:sz w:val="20"/>
                <w:szCs w:val="20"/>
                <w:lang w:val="fr-FR"/>
              </w:rPr>
              <w:t>.</w:t>
            </w:r>
          </w:p>
          <w:p w:rsidR="000E2816" w:rsidRPr="00F10E52" w:rsidRDefault="000E2816" w:rsidP="006B322C">
            <w:pPr>
              <w:jc w:val="left"/>
              <w:rPr>
                <w:rFonts w:eastAsia="MS Mincho"/>
                <w:kern w:val="22"/>
                <w:sz w:val="20"/>
                <w:szCs w:val="20"/>
                <w:lang w:val="fr-FR"/>
              </w:rPr>
            </w:pPr>
          </w:p>
        </w:tc>
        <w:tc>
          <w:tcPr>
            <w:tcW w:w="2340" w:type="dxa"/>
            <w:tcBorders>
              <w:bottom w:val="single" w:sz="4" w:space="0" w:color="auto"/>
            </w:tcBorders>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lastRenderedPageBreak/>
              <w:t>1) Soutien au</w:t>
            </w:r>
            <w:r w:rsidR="008B7DA6">
              <w:rPr>
                <w:kern w:val="22"/>
                <w:sz w:val="20"/>
                <w:szCs w:val="20"/>
                <w:lang w:val="fr-FR"/>
              </w:rPr>
              <w:t>x</w:t>
            </w:r>
            <w:r>
              <w:rPr>
                <w:kern w:val="22"/>
                <w:sz w:val="20"/>
                <w:szCs w:val="20"/>
                <w:lang w:val="fr-FR"/>
              </w:rPr>
              <w:t xml:space="preserve"> Parties au Protocole de Cartagena </w:t>
            </w:r>
            <w:r w:rsidR="008558CA">
              <w:rPr>
                <w:kern w:val="22"/>
                <w:sz w:val="20"/>
                <w:szCs w:val="20"/>
                <w:lang w:val="fr-FR"/>
              </w:rPr>
              <w:t>dans la ratification du</w:t>
            </w:r>
            <w:r>
              <w:rPr>
                <w:kern w:val="22"/>
                <w:sz w:val="20"/>
                <w:szCs w:val="20"/>
                <w:lang w:val="fr-FR"/>
              </w:rPr>
              <w:t xml:space="preserve"> Protocole additionnel</w:t>
            </w:r>
            <w:r w:rsidR="008B7DA6">
              <w:rPr>
                <w:kern w:val="22"/>
                <w:sz w:val="20"/>
                <w:szCs w:val="20"/>
                <w:lang w:val="fr-FR"/>
              </w:rPr>
              <w:t> </w:t>
            </w:r>
            <w:r w:rsidR="003F71A6">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2) Élaboration de mesures nationales juridiques, administratives et d’autres natures pour la mise en œ</w:t>
            </w:r>
            <w:r w:rsidR="003F71A6">
              <w:rPr>
                <w:kern w:val="22"/>
                <w:sz w:val="20"/>
                <w:szCs w:val="20"/>
                <w:lang w:val="fr-FR"/>
              </w:rPr>
              <w:t>uvre du Protocole additionnel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 xml:space="preserve">3) Élaboration et accès à du matériel ressource, aux expériences et aux enseignements tirés de la mise en œuvre du </w:t>
            </w:r>
            <w:r>
              <w:rPr>
                <w:kern w:val="22"/>
                <w:sz w:val="20"/>
                <w:szCs w:val="20"/>
                <w:lang w:val="fr-FR"/>
              </w:rPr>
              <w:lastRenderedPageBreak/>
              <w:t>Protocole additionnel</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4) Renforcement des capacités des autorités compétentes des Parties au Protocole additionnel à s’acquitter de leurs fonctions</w:t>
            </w:r>
            <w:r w:rsidR="008B7DA6">
              <w:rPr>
                <w:kern w:val="22"/>
                <w:sz w:val="20"/>
                <w:szCs w:val="20"/>
                <w:lang w:val="fr-FR"/>
              </w:rPr>
              <w:t> </w:t>
            </w:r>
            <w:r>
              <w:rPr>
                <w:kern w:val="22"/>
                <w:sz w:val="20"/>
                <w:szCs w:val="20"/>
                <w:lang w:val="fr-FR"/>
              </w:rPr>
              <w:t>;</w:t>
            </w:r>
          </w:p>
          <w:p w:rsidR="000E2816" w:rsidRPr="00F10E52" w:rsidRDefault="00F10E52" w:rsidP="00CC67A5">
            <w:pPr>
              <w:spacing w:before="60" w:after="60"/>
              <w:jc w:val="left"/>
              <w:rPr>
                <w:rFonts w:eastAsia="MS Mincho"/>
                <w:strike/>
                <w:kern w:val="22"/>
                <w:sz w:val="20"/>
                <w:szCs w:val="20"/>
                <w:lang w:val="fr-FR"/>
              </w:rPr>
            </w:pPr>
            <w:r>
              <w:rPr>
                <w:kern w:val="22"/>
                <w:sz w:val="20"/>
                <w:szCs w:val="20"/>
                <w:lang w:val="fr-FR"/>
              </w:rPr>
              <w:t>5) Développement ou identification de références relativ</w:t>
            </w:r>
            <w:r w:rsidR="008558CA">
              <w:rPr>
                <w:kern w:val="22"/>
                <w:sz w:val="20"/>
                <w:szCs w:val="20"/>
                <w:lang w:val="fr-FR"/>
              </w:rPr>
              <w:t>es à l’état de la biodiversité.</w:t>
            </w:r>
          </w:p>
        </w:tc>
        <w:tc>
          <w:tcPr>
            <w:tcW w:w="2880" w:type="dxa"/>
            <w:tcBorders>
              <w:bottom w:val="single" w:sz="4" w:space="0" w:color="auto"/>
            </w:tcBorders>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lastRenderedPageBreak/>
              <w:t xml:space="preserve">i) </w:t>
            </w:r>
            <w:r w:rsidR="008558CA">
              <w:rPr>
                <w:kern w:val="22"/>
                <w:sz w:val="20"/>
                <w:szCs w:val="20"/>
                <w:lang w:val="fr-FR"/>
              </w:rPr>
              <w:t>Faire connaître le</w:t>
            </w:r>
            <w:r>
              <w:rPr>
                <w:kern w:val="22"/>
                <w:sz w:val="20"/>
                <w:szCs w:val="20"/>
                <w:lang w:val="fr-FR"/>
              </w:rPr>
              <w:t xml:space="preserve"> Protocole additionnel pour soutenir la ratification et la mise en œuvre</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ii) Dispenser une formation sur l’analyse des lois, des politiques et des cadres institutionnels afin de déterminer comment ils répondent aux exigences du Protocole additionnel</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 xml:space="preserve">iii) Dispenser une formation sur l’élaboration ou l’amendement des cadres juridiques et administratifs nationaux pour mettre en œuvre le Protocole </w:t>
            </w:r>
            <w:r>
              <w:rPr>
                <w:kern w:val="22"/>
                <w:sz w:val="20"/>
                <w:szCs w:val="20"/>
                <w:lang w:val="fr-FR"/>
              </w:rPr>
              <w:lastRenderedPageBreak/>
              <w:t>additionnel</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iv) Élaborer du matériel ressource pour aider les autorités compétentes à s’acquitter de leurs responsabilités au titre du Protocole additionnel</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 xml:space="preserve">v) </w:t>
            </w:r>
            <w:r w:rsidR="008558CA" w:rsidRPr="008558CA">
              <w:rPr>
                <w:kern w:val="22"/>
                <w:sz w:val="20"/>
                <w:szCs w:val="20"/>
                <w:lang w:val="fr-FR"/>
              </w:rPr>
              <w:t>Fournir aux autorités compétentes une formation visant à renforcer les capacités scientifiques et techniques pour évaluer les dommages, établir les liens de causalité et déterminer les mesu</w:t>
            </w:r>
            <w:r w:rsidR="008558CA">
              <w:rPr>
                <w:kern w:val="22"/>
                <w:sz w:val="20"/>
                <w:szCs w:val="20"/>
                <w:lang w:val="fr-FR"/>
              </w:rPr>
              <w:t>res d</w:t>
            </w:r>
            <w:r w:rsidR="007F10D2">
              <w:rPr>
                <w:kern w:val="22"/>
                <w:sz w:val="20"/>
                <w:szCs w:val="20"/>
                <w:lang w:val="fr-FR"/>
              </w:rPr>
              <w:t>’</w:t>
            </w:r>
            <w:r w:rsidR="008558CA">
              <w:rPr>
                <w:kern w:val="22"/>
                <w:sz w:val="20"/>
                <w:szCs w:val="20"/>
                <w:lang w:val="fr-FR"/>
              </w:rPr>
              <w:t>intervention appropriées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vi) Identifier les bases de données et les systèmes de gestion des connaissances pertinents pour l’identification des données de référence et le suivi de l’état de la biodiversité</w:t>
            </w:r>
            <w:r w:rsidR="008B7DA6">
              <w:rPr>
                <w:kern w:val="22"/>
                <w:sz w:val="20"/>
                <w:szCs w:val="20"/>
                <w:lang w:val="fr-FR"/>
              </w:rPr>
              <w:t> </w:t>
            </w:r>
            <w:r>
              <w:rPr>
                <w:kern w:val="22"/>
                <w:sz w:val="20"/>
                <w:szCs w:val="20"/>
                <w:lang w:val="fr-FR"/>
              </w:rPr>
              <w:t xml:space="preserve">;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vii) Compiler et partager des informations sur les expériences et les enseignements tirés de la mise en œuvre du Protocole additionnel.</w:t>
            </w:r>
          </w:p>
        </w:tc>
      </w:tr>
      <w:tr w:rsidR="00173EB8" w:rsidTr="00945F1B">
        <w:tblPrEx>
          <w:shd w:val="clear" w:color="auto" w:fill="auto"/>
        </w:tblPrEx>
        <w:trPr>
          <w:trHeight w:val="565"/>
        </w:trPr>
        <w:tc>
          <w:tcPr>
            <w:tcW w:w="14418" w:type="dxa"/>
            <w:gridSpan w:val="6"/>
            <w:shd w:val="clear" w:color="auto" w:fill="auto"/>
          </w:tcPr>
          <w:p w:rsidR="000E2816" w:rsidRPr="00C061D4" w:rsidRDefault="00F10E52" w:rsidP="008558CA">
            <w:pPr>
              <w:spacing w:after="60"/>
              <w:jc w:val="center"/>
              <w:rPr>
                <w:rFonts w:eastAsia="MS Mincho"/>
                <w:kern w:val="22"/>
                <w:sz w:val="20"/>
                <w:szCs w:val="20"/>
              </w:rPr>
            </w:pPr>
            <w:r w:rsidRPr="0035218F">
              <w:rPr>
                <w:b/>
                <w:bCs/>
                <w:kern w:val="22"/>
                <w:sz w:val="20"/>
                <w:szCs w:val="20"/>
                <w:lang w:val="fr-FR"/>
              </w:rPr>
              <w:lastRenderedPageBreak/>
              <w:t>B. Environnement favorable</w:t>
            </w:r>
          </w:p>
        </w:tc>
      </w:tr>
      <w:tr w:rsidR="00173EB8" w:rsidRPr="001945CD" w:rsidTr="006B322C">
        <w:tblPrEx>
          <w:shd w:val="clear" w:color="auto" w:fill="auto"/>
        </w:tblPrEx>
        <w:tc>
          <w:tcPr>
            <w:tcW w:w="1728" w:type="dxa"/>
            <w:shd w:val="clear" w:color="auto" w:fill="auto"/>
          </w:tcPr>
          <w:p w:rsidR="000E2816" w:rsidRPr="00F10E52" w:rsidRDefault="00F10E52" w:rsidP="00CE747E">
            <w:pPr>
              <w:jc w:val="left"/>
              <w:rPr>
                <w:rFonts w:eastAsia="MS Mincho"/>
                <w:b/>
                <w:kern w:val="22"/>
                <w:sz w:val="20"/>
                <w:szCs w:val="20"/>
                <w:lang w:val="fr-FR"/>
              </w:rPr>
            </w:pPr>
            <w:r>
              <w:rPr>
                <w:b/>
                <w:bCs/>
                <w:kern w:val="22"/>
                <w:sz w:val="20"/>
                <w:szCs w:val="20"/>
                <w:lang w:val="fr-FR"/>
              </w:rPr>
              <w:t>B.1. Les Parties s’engagent dans des activité</w:t>
            </w:r>
            <w:r w:rsidR="008558CA">
              <w:rPr>
                <w:b/>
                <w:bCs/>
                <w:kern w:val="22"/>
                <w:sz w:val="20"/>
                <w:szCs w:val="20"/>
                <w:lang w:val="fr-FR"/>
              </w:rPr>
              <w:t xml:space="preserve">s de renforcement des </w:t>
            </w:r>
            <w:r w:rsidR="008558CA">
              <w:rPr>
                <w:b/>
                <w:bCs/>
                <w:kern w:val="22"/>
                <w:sz w:val="20"/>
                <w:szCs w:val="20"/>
                <w:lang w:val="fr-FR"/>
              </w:rPr>
              <w:lastRenderedPageBreak/>
              <w:t>capacités</w:t>
            </w:r>
            <w:r w:rsidR="001E5C22">
              <w:rPr>
                <w:b/>
                <w:bCs/>
                <w:kern w:val="22"/>
                <w:sz w:val="20"/>
                <w:szCs w:val="20"/>
                <w:lang w:val="fr-FR"/>
              </w:rPr>
              <w:t>.</w:t>
            </w:r>
          </w:p>
        </w:tc>
        <w:tc>
          <w:tcPr>
            <w:tcW w:w="2340" w:type="dxa"/>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 xml:space="preserve">B.1.1. Les Parties ont identifié et hiérarchisé leurs besoins en matière de renforcement des </w:t>
            </w:r>
            <w:r>
              <w:rPr>
                <w:kern w:val="22"/>
                <w:sz w:val="20"/>
                <w:szCs w:val="20"/>
                <w:lang w:val="fr-FR"/>
              </w:rPr>
              <w:lastRenderedPageBreak/>
              <w:t>capacités</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B.1.2. Les Parties entreprennent des activités de renforcement des capacités, comme indiqué dans le Plan d’action pou</w:t>
            </w:r>
            <w:r w:rsidR="008558CA">
              <w:rPr>
                <w:kern w:val="22"/>
                <w:sz w:val="20"/>
                <w:szCs w:val="20"/>
                <w:lang w:val="fr-FR"/>
              </w:rPr>
              <w:t>r le renforcement des capacités</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B.1.3. Les Parties utilisent des matériels de renforcement des capacités, y compris des ressources en ligne</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B.1.4. Les Parties coopèrent pour renforcer les capacités de mise en œuvre du Protocole</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kern w:val="22"/>
                <w:sz w:val="20"/>
                <w:szCs w:val="20"/>
                <w:lang w:val="fr-FR"/>
              </w:rPr>
            </w:pPr>
            <w:r>
              <w:rPr>
                <w:kern w:val="22"/>
                <w:sz w:val="20"/>
                <w:szCs w:val="20"/>
                <w:lang w:val="fr-FR"/>
              </w:rPr>
              <w:lastRenderedPageBreak/>
              <w:t>a) Pourcentage de Parties ayant identifié et hiérarchisé leurs besoins en matière de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kern w:val="22"/>
                <w:sz w:val="20"/>
                <w:szCs w:val="20"/>
                <w:lang w:val="fr-FR"/>
              </w:rPr>
            </w:pPr>
            <w:r>
              <w:rPr>
                <w:kern w:val="22"/>
                <w:sz w:val="20"/>
                <w:szCs w:val="20"/>
                <w:lang w:val="fr-FR"/>
              </w:rPr>
              <w:lastRenderedPageBreak/>
              <w:t>b) Pourcentage de Parties entreprenant des activités de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kern w:val="22"/>
                <w:sz w:val="20"/>
                <w:szCs w:val="20"/>
                <w:lang w:val="fr-FR"/>
              </w:rPr>
            </w:pPr>
            <w:r>
              <w:rPr>
                <w:kern w:val="22"/>
                <w:sz w:val="20"/>
                <w:szCs w:val="20"/>
                <w:lang w:val="fr-FR"/>
              </w:rPr>
              <w:t>c) Pourcentage de Parties ayant des besoins de renforcement des capacités qui utilisent des matériels de renforcement des capacités, y compris des ressources en ligne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d) Pourcentage de Parties qui coopèrent pour renforcer les capacités de mise en œuvre du Protocole.</w:t>
            </w:r>
          </w:p>
        </w:tc>
        <w:tc>
          <w:tcPr>
            <w:tcW w:w="2160" w:type="dxa"/>
            <w:shd w:val="clear" w:color="auto" w:fill="auto"/>
          </w:tcPr>
          <w:p w:rsidR="000E2816" w:rsidRPr="00F10E52" w:rsidRDefault="00F10E52" w:rsidP="00F23289">
            <w:pPr>
              <w:spacing w:before="60" w:after="60"/>
              <w:jc w:val="left"/>
              <w:rPr>
                <w:rFonts w:eastAsia="MS Mincho"/>
                <w:kern w:val="22"/>
                <w:sz w:val="20"/>
                <w:szCs w:val="20"/>
                <w:lang w:val="fr-FR"/>
              </w:rPr>
            </w:pPr>
            <w:r>
              <w:rPr>
                <w:kern w:val="22"/>
                <w:sz w:val="20"/>
                <w:szCs w:val="20"/>
                <w:lang w:val="fr-FR"/>
              </w:rPr>
              <w:lastRenderedPageBreak/>
              <w:t xml:space="preserve">Les Parties ont les capacités nécessaires </w:t>
            </w:r>
            <w:r w:rsidR="00F23289">
              <w:rPr>
                <w:kern w:val="22"/>
                <w:sz w:val="20"/>
                <w:szCs w:val="20"/>
                <w:lang w:val="fr-FR"/>
              </w:rPr>
              <w:t>à</w:t>
            </w:r>
            <w:r>
              <w:rPr>
                <w:kern w:val="22"/>
                <w:sz w:val="20"/>
                <w:szCs w:val="20"/>
                <w:lang w:val="fr-FR"/>
              </w:rPr>
              <w:t xml:space="preserve"> la mise en œuvre du Protocole</w:t>
            </w:r>
            <w:r w:rsidR="003522A2">
              <w:rPr>
                <w:kern w:val="22"/>
                <w:sz w:val="20"/>
                <w:szCs w:val="20"/>
                <w:lang w:val="fr-FR"/>
              </w:rPr>
              <w:t>.</w:t>
            </w:r>
          </w:p>
        </w:tc>
        <w:tc>
          <w:tcPr>
            <w:tcW w:w="2340" w:type="dxa"/>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1) Auto-évaluation des besoins et des priorités en matière de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lastRenderedPageBreak/>
              <w:t xml:space="preserve">2) Fourniture d’un appui </w:t>
            </w:r>
            <w:r w:rsidR="008558CA">
              <w:rPr>
                <w:kern w:val="22"/>
                <w:sz w:val="20"/>
                <w:szCs w:val="20"/>
                <w:lang w:val="fr-FR"/>
              </w:rPr>
              <w:t>pour les</w:t>
            </w:r>
            <w:r>
              <w:rPr>
                <w:kern w:val="22"/>
                <w:sz w:val="20"/>
                <w:szCs w:val="20"/>
                <w:lang w:val="fr-FR"/>
              </w:rPr>
              <w:t xml:space="preserve"> activités de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3) Accès aux matériels de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4) Coopération dans les activités de renforcement des capacités.</w:t>
            </w:r>
          </w:p>
        </w:tc>
        <w:tc>
          <w:tcPr>
            <w:tcW w:w="2880" w:type="dxa"/>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lastRenderedPageBreak/>
              <w:t xml:space="preserve">i) </w:t>
            </w:r>
            <w:r w:rsidR="004D57FA">
              <w:rPr>
                <w:kern w:val="22"/>
                <w:sz w:val="20"/>
                <w:szCs w:val="20"/>
                <w:lang w:val="fr-FR"/>
              </w:rPr>
              <w:t>Réaliser</w:t>
            </w:r>
            <w:r>
              <w:rPr>
                <w:kern w:val="22"/>
                <w:sz w:val="20"/>
                <w:szCs w:val="20"/>
                <w:lang w:val="fr-FR"/>
              </w:rPr>
              <w:t xml:space="preserve"> une auto-évaluation des besoins et des priorités en matière de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lastRenderedPageBreak/>
              <w:t xml:space="preserve">ii) Fournir un appui technique, financier ou autre </w:t>
            </w:r>
            <w:r w:rsidR="008558CA">
              <w:rPr>
                <w:kern w:val="22"/>
                <w:sz w:val="20"/>
                <w:szCs w:val="20"/>
                <w:lang w:val="fr-FR"/>
              </w:rPr>
              <w:t>pour les</w:t>
            </w:r>
            <w:r>
              <w:rPr>
                <w:kern w:val="22"/>
                <w:sz w:val="20"/>
                <w:szCs w:val="20"/>
                <w:lang w:val="fr-FR"/>
              </w:rPr>
              <w:t xml:space="preserve"> activités de renforcement des capacités, y compris celles décrites dans le présent plan d’action pour le renforcement des capacités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iii) Élaborer et diffuser des matériels de renforcement des capacités et les résultats des activités, y compris dans les langues locales</w:t>
            </w:r>
            <w:r w:rsidR="008B7DA6">
              <w:rPr>
                <w:kern w:val="22"/>
                <w:sz w:val="20"/>
                <w:szCs w:val="20"/>
                <w:lang w:val="fr-FR"/>
              </w:rPr>
              <w:t> </w:t>
            </w:r>
            <w:r w:rsidR="008558CA">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iv) Coopérer aux niveaux national, bilatéral, régional et multilatéral avec les partenaires des secteurs concernés et les parties prenantes pour mener des activités de renforcement des capacités</w:t>
            </w:r>
            <w:r w:rsidR="008558CA">
              <w:rPr>
                <w:kern w:val="22"/>
                <w:sz w:val="20"/>
                <w:szCs w:val="20"/>
                <w:lang w:val="fr-FR"/>
              </w:rPr>
              <w:t>.</w:t>
            </w:r>
          </w:p>
        </w:tc>
      </w:tr>
      <w:tr w:rsidR="00173EB8" w:rsidRPr="001945CD" w:rsidTr="006B322C">
        <w:tblPrEx>
          <w:shd w:val="clear" w:color="auto" w:fill="auto"/>
        </w:tblPrEx>
        <w:tc>
          <w:tcPr>
            <w:tcW w:w="1728" w:type="dxa"/>
            <w:shd w:val="clear" w:color="auto" w:fill="auto"/>
          </w:tcPr>
          <w:p w:rsidR="000E2816" w:rsidRPr="00F10E52" w:rsidRDefault="00F10E52" w:rsidP="006B322C">
            <w:pPr>
              <w:rPr>
                <w:rFonts w:eastAsia="MS Mincho"/>
                <w:b/>
                <w:kern w:val="22"/>
                <w:sz w:val="20"/>
                <w:szCs w:val="20"/>
                <w:lang w:val="fr-FR"/>
              </w:rPr>
            </w:pPr>
            <w:r>
              <w:rPr>
                <w:b/>
                <w:bCs/>
                <w:kern w:val="22"/>
                <w:sz w:val="20"/>
                <w:szCs w:val="20"/>
                <w:lang w:val="fr-FR"/>
              </w:rPr>
              <w:lastRenderedPageBreak/>
              <w:t>B.2. Les Parties ont mobilisé des ressources adéquates pour soutenir la mise en œuvre du Protocole</w:t>
            </w:r>
            <w:r w:rsidR="001E5C22">
              <w:rPr>
                <w:b/>
                <w:bCs/>
                <w:kern w:val="22"/>
                <w:sz w:val="20"/>
                <w:szCs w:val="20"/>
                <w:lang w:val="fr-FR"/>
              </w:rPr>
              <w:t>.</w:t>
            </w:r>
          </w:p>
        </w:tc>
        <w:tc>
          <w:tcPr>
            <w:tcW w:w="2340" w:type="dxa"/>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B.2.1. Des ressources adéquates sont allouées à la prévention des risques biotechnologiques par l’intermédiaire des budgets nationaux</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 xml:space="preserve">B.2.2. Les Parties allouent aux activités de prévention des risques biotechnologiques une part des ressources allouées à la biodiversité au niveau national à </w:t>
            </w:r>
            <w:r>
              <w:rPr>
                <w:kern w:val="22"/>
                <w:sz w:val="20"/>
                <w:szCs w:val="20"/>
                <w:lang w:val="fr-FR"/>
              </w:rPr>
              <w:lastRenderedPageBreak/>
              <w:t>travers le Système transparent d’allocation des ressources (STAR)</w:t>
            </w:r>
            <w:r w:rsidR="001E5C22">
              <w:rPr>
                <w:kern w:val="22"/>
                <w:sz w:val="20"/>
                <w:szCs w:val="20"/>
                <w:lang w:val="fr-FR"/>
              </w:rPr>
              <w:t>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B.2.3. Les Parties ont accès à des ressources supplémentaires pour renforcer leurs capacités de mise en œuvre du Protocole</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 Pourcentage de Parties disposant dans les budgets nationaux de ressources suffisantes pour la prévention des risques biotec</w:t>
            </w:r>
            <w:r w:rsidR="008558CA">
              <w:rPr>
                <w:kern w:val="22"/>
                <w:sz w:val="20"/>
                <w:szCs w:val="20"/>
                <w:lang w:val="fr-FR"/>
              </w:rPr>
              <w:t>hnologiques ;</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éligibles qui utilisent les allocations nationales STAR pour les activités de prévention des risques biotechnologiques</w:t>
            </w:r>
            <w:r w:rsidR="008558CA">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 xml:space="preserve">c) Pourcentage de Parties ayant accédé à des ressources </w:t>
            </w:r>
            <w:r>
              <w:rPr>
                <w:kern w:val="22"/>
                <w:sz w:val="20"/>
                <w:szCs w:val="20"/>
                <w:lang w:val="fr-FR"/>
              </w:rPr>
              <w:lastRenderedPageBreak/>
              <w:t>supplémentaires</w:t>
            </w:r>
            <w:r w:rsidR="008558CA">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d) Pourcentage de Parties ayant fourni des ressources à d’autres Parties pour renforcer leurs capacités de mise en œuvre du Protocole</w:t>
            </w:r>
            <w:r w:rsidR="008558CA">
              <w:rPr>
                <w:kern w:val="22"/>
                <w:sz w:val="20"/>
                <w:szCs w:val="20"/>
                <w:lang w:val="fr-FR"/>
              </w:rPr>
              <w:t>.</w:t>
            </w:r>
          </w:p>
        </w:tc>
        <w:tc>
          <w:tcPr>
            <w:tcW w:w="2160" w:type="dxa"/>
            <w:shd w:val="clear" w:color="auto" w:fill="auto"/>
          </w:tcPr>
          <w:p w:rsidR="000E2816" w:rsidRPr="00F10E52" w:rsidRDefault="00F10E52" w:rsidP="008558CA">
            <w:pPr>
              <w:spacing w:before="60" w:after="60"/>
              <w:jc w:val="left"/>
              <w:rPr>
                <w:rFonts w:eastAsia="MS Mincho"/>
                <w:kern w:val="22"/>
                <w:sz w:val="20"/>
                <w:szCs w:val="20"/>
                <w:lang w:val="fr-FR"/>
              </w:rPr>
            </w:pPr>
            <w:r>
              <w:rPr>
                <w:kern w:val="22"/>
                <w:sz w:val="20"/>
                <w:szCs w:val="20"/>
                <w:lang w:val="fr-FR"/>
              </w:rPr>
              <w:lastRenderedPageBreak/>
              <w:t>La pleine mise en œuvre du Protocole est rendue possible par des ressources adéquates</w:t>
            </w:r>
            <w:r w:rsidR="003522A2">
              <w:rPr>
                <w:kern w:val="22"/>
                <w:sz w:val="20"/>
                <w:szCs w:val="20"/>
                <w:lang w:val="fr-FR"/>
              </w:rPr>
              <w:t>.</w:t>
            </w:r>
          </w:p>
        </w:tc>
        <w:tc>
          <w:tcPr>
            <w:tcW w:w="234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1) Mise en place d’un mécanisme national d’allocation budgétaire pour la prévention des risques biotechnologiques</w:t>
            </w:r>
            <w:r w:rsidR="008558CA">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2) Coordination avec les autorités, les organismes de financement et les donateurs au niveau national</w:t>
            </w:r>
            <w:r w:rsidR="008558CA">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3) Coopération ave</w:t>
            </w:r>
            <w:r w:rsidR="008558CA">
              <w:rPr>
                <w:kern w:val="22"/>
                <w:sz w:val="20"/>
                <w:szCs w:val="20"/>
                <w:lang w:val="fr-FR"/>
              </w:rPr>
              <w:t xml:space="preserve">c </w:t>
            </w:r>
            <w:r w:rsidR="008558CA">
              <w:rPr>
                <w:kern w:val="22"/>
                <w:sz w:val="20"/>
                <w:szCs w:val="20"/>
                <w:lang w:val="fr-FR"/>
              </w:rPr>
              <w:lastRenderedPageBreak/>
              <w:t>d’autres Parties et donateurs.</w:t>
            </w:r>
          </w:p>
        </w:tc>
        <w:tc>
          <w:tcPr>
            <w:tcW w:w="288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i) Sensibiliser au niveau national à la nécessité de disposer de ressources adéquates provenant de budgets nationaux pour mener à bien les activités nécessaires à la mise en œuvre du Protocole</w:t>
            </w:r>
            <w:r w:rsidR="003522A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ii) Sensibiliser pour renforcer la coordination au niveau national entre les autorités compétentes, les organismes de fina</w:t>
            </w:r>
            <w:r w:rsidR="003522A2">
              <w:rPr>
                <w:kern w:val="22"/>
                <w:sz w:val="20"/>
                <w:szCs w:val="20"/>
                <w:lang w:val="fr-FR"/>
              </w:rPr>
              <w:t>ncement et les autres donateurs ;</w:t>
            </w:r>
          </w:p>
          <w:p w:rsidR="000E2816" w:rsidRPr="00F10E52" w:rsidRDefault="00F10E52" w:rsidP="006B322C">
            <w:pPr>
              <w:jc w:val="left"/>
              <w:rPr>
                <w:rFonts w:eastAsia="MS Mincho"/>
                <w:kern w:val="22"/>
                <w:sz w:val="20"/>
                <w:szCs w:val="20"/>
                <w:lang w:val="fr-FR"/>
              </w:rPr>
            </w:pPr>
            <w:r>
              <w:rPr>
                <w:kern w:val="22"/>
                <w:sz w:val="20"/>
                <w:szCs w:val="20"/>
                <w:lang w:val="fr-FR"/>
              </w:rPr>
              <w:lastRenderedPageBreak/>
              <w:t>iii) Sensibiliser pour renforcer la coopération entre les Parties donatrices, les Parties qui sont des pays en développement, les Parties à économie en transition et les autres donateurs afin d’assurer la pleine mise en œuvre du Protocole</w:t>
            </w:r>
            <w:r w:rsidR="003522A2">
              <w:rPr>
                <w:kern w:val="22"/>
                <w:sz w:val="20"/>
                <w:szCs w:val="20"/>
                <w:lang w:val="fr-FR"/>
              </w:rPr>
              <w:t>.</w:t>
            </w:r>
          </w:p>
        </w:tc>
      </w:tr>
      <w:tr w:rsidR="00173EB8" w:rsidRPr="001945CD" w:rsidTr="00BD6BBF">
        <w:tblPrEx>
          <w:shd w:val="clear" w:color="auto" w:fill="auto"/>
        </w:tblPrEx>
        <w:trPr>
          <w:trHeight w:val="842"/>
        </w:trPr>
        <w:tc>
          <w:tcPr>
            <w:tcW w:w="1728" w:type="dxa"/>
            <w:shd w:val="clear" w:color="auto" w:fill="auto"/>
          </w:tcPr>
          <w:p w:rsidR="000E2816" w:rsidRPr="00F10E52" w:rsidRDefault="00F10E52" w:rsidP="00085059">
            <w:pPr>
              <w:jc w:val="left"/>
              <w:rPr>
                <w:rFonts w:eastAsia="MS Mincho"/>
                <w:b/>
                <w:kern w:val="22"/>
                <w:sz w:val="20"/>
                <w:szCs w:val="20"/>
                <w:lang w:val="fr-FR"/>
              </w:rPr>
            </w:pPr>
            <w:r>
              <w:rPr>
                <w:b/>
                <w:bCs/>
                <w:kern w:val="22"/>
                <w:sz w:val="20"/>
                <w:szCs w:val="20"/>
                <w:lang w:val="fr-FR"/>
              </w:rPr>
              <w:lastRenderedPageBreak/>
              <w:t>B.3. Les Parties promeuvent et facilitent la sensibilisation, l’éducation et la participation du public sur le transfert, la manipulation et l’utilisation sans danger des OVM</w:t>
            </w:r>
            <w:r w:rsidR="001E5C22">
              <w:rPr>
                <w:b/>
                <w:bCs/>
                <w:kern w:val="22"/>
                <w:sz w:val="20"/>
                <w:szCs w:val="20"/>
                <w:lang w:val="fr-FR"/>
              </w:rPr>
              <w:t>.</w:t>
            </w:r>
          </w:p>
        </w:tc>
        <w:tc>
          <w:tcPr>
            <w:tcW w:w="2340" w:type="dxa"/>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B.3.1. Les Parties ont développé des mécanismes pour promouvoir et faciliter la sensibilisation, l’éducation et la participation du public à la prévention des risques biotechnologiques</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B.3.2. Les Parties ont accès à du matériel ressource pour promouvoir et faciliter la sensibilisation du public, l’éducation et la participation à la prévention des risques biotechnologiques</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 xml:space="preserve">B.3.3. Les Parties consultent le public pour prendre des décisions sur les OVM, conformément </w:t>
            </w:r>
            <w:r>
              <w:rPr>
                <w:kern w:val="22"/>
                <w:sz w:val="20"/>
                <w:szCs w:val="20"/>
                <w:lang w:val="fr-FR"/>
              </w:rPr>
              <w:lastRenderedPageBreak/>
              <w:t>à leur législation, et mettent les résultats des décisions à la disposition du public</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B.3.4. Les Parties informent le public sur les moyens d’accès au CEPRB</w:t>
            </w:r>
            <w:r w:rsidR="001E5C22">
              <w:rPr>
                <w:kern w:val="22"/>
                <w:sz w:val="20"/>
                <w:szCs w:val="20"/>
                <w:lang w:val="fr-FR"/>
              </w:rPr>
              <w:t>.</w:t>
            </w:r>
          </w:p>
        </w:tc>
        <w:tc>
          <w:tcPr>
            <w:tcW w:w="297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a) Pourcentage de Parties accédant à des matériels ressources pour faciliter et promouvoir la sensibilisation, l’éducation et la participation du public à la prévention des risques biotechnologiques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intégrant la prévention des risques biotechnologiques dans les programmes d’éducation et de formation pertinents</w:t>
            </w:r>
            <w:r w:rsidR="008B7DA6">
              <w:rPr>
                <w:kern w:val="22"/>
                <w:sz w:val="20"/>
                <w:szCs w:val="20"/>
                <w:lang w:val="fr-FR"/>
              </w:rPr>
              <w:t> </w:t>
            </w:r>
            <w:r w:rsidR="003522A2">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c) Pourcentage de Parties ayant mis en place un mécanisme facilitant et encourageant la participation du public à la prise de décisions concernant les OVM</w:t>
            </w:r>
            <w:r w:rsidR="008B7DA6">
              <w:rPr>
                <w:kern w:val="22"/>
                <w:sz w:val="20"/>
                <w:szCs w:val="20"/>
                <w:lang w:val="fr-FR"/>
              </w:rPr>
              <w:t> </w:t>
            </w:r>
            <w:r w:rsidR="003522A2">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d) Pourcentage de Parties informant le public des moyens de participer à la prise de </w:t>
            </w:r>
            <w:r>
              <w:rPr>
                <w:kern w:val="22"/>
                <w:sz w:val="20"/>
                <w:szCs w:val="20"/>
                <w:lang w:val="fr-FR"/>
              </w:rPr>
              <w:lastRenderedPageBreak/>
              <w:t>décisions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e) Pourcentage de Parties ayant consulté le public au cours du processus décisionnel ;</w:t>
            </w:r>
          </w:p>
          <w:p w:rsidR="000E2816" w:rsidRPr="00F10E52" w:rsidRDefault="00F10E52" w:rsidP="006B322C">
            <w:pPr>
              <w:jc w:val="left"/>
              <w:rPr>
                <w:rFonts w:eastAsia="MS Mincho"/>
                <w:kern w:val="22"/>
                <w:sz w:val="20"/>
                <w:szCs w:val="20"/>
                <w:lang w:val="fr-FR"/>
              </w:rPr>
            </w:pPr>
            <w:r>
              <w:rPr>
                <w:kern w:val="22"/>
                <w:sz w:val="20"/>
                <w:szCs w:val="20"/>
                <w:lang w:val="fr-FR"/>
              </w:rPr>
              <w:t>f) Pourcentage de Parties rendant les résultats des décisions accessible</w:t>
            </w:r>
            <w:r w:rsidR="008B7DA6">
              <w:rPr>
                <w:kern w:val="22"/>
                <w:sz w:val="20"/>
                <w:szCs w:val="20"/>
                <w:lang w:val="fr-FR"/>
              </w:rPr>
              <w:t>s</w:t>
            </w:r>
            <w:r>
              <w:rPr>
                <w:kern w:val="22"/>
                <w:sz w:val="20"/>
                <w:szCs w:val="20"/>
                <w:lang w:val="fr-FR"/>
              </w:rPr>
              <w:t xml:space="preserve"> au public ;</w:t>
            </w:r>
          </w:p>
          <w:p w:rsidR="000E2816" w:rsidRPr="00F10E52" w:rsidRDefault="00F10E52" w:rsidP="006B322C">
            <w:pPr>
              <w:jc w:val="left"/>
              <w:rPr>
                <w:rFonts w:eastAsia="MS Mincho"/>
                <w:kern w:val="22"/>
                <w:sz w:val="20"/>
                <w:szCs w:val="20"/>
                <w:lang w:val="fr-FR"/>
              </w:rPr>
            </w:pPr>
            <w:r>
              <w:rPr>
                <w:kern w:val="22"/>
                <w:sz w:val="20"/>
                <w:szCs w:val="20"/>
                <w:lang w:val="fr-FR"/>
              </w:rPr>
              <w:t>g) Pourcentage de Parties ayant informé le public des moyens d’accès au CEPRB.</w:t>
            </w:r>
          </w:p>
        </w:tc>
        <w:tc>
          <w:tcPr>
            <w:tcW w:w="216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Grâce à la sensibilisation, à l’éducation et à la participation du public, les Parties veillent à ce que le public soit correctement informé du transfert, de la manipulation et de l’utilisation en toute sécurité des OVM et participe à la prise de décisions sur le transfert, la manipulation et l’utilisation en toute sécurité des OVM</w:t>
            </w:r>
            <w:r w:rsidR="003522A2">
              <w:rPr>
                <w:kern w:val="22"/>
                <w:sz w:val="20"/>
                <w:szCs w:val="20"/>
                <w:lang w:val="fr-FR"/>
              </w:rPr>
              <w:t>.</w:t>
            </w:r>
          </w:p>
        </w:tc>
        <w:tc>
          <w:tcPr>
            <w:tcW w:w="2340" w:type="dxa"/>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1) Mise en place de systèmes nationaux pour promouvoir la sensibilisation, l’éducation et la participation du public</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2) Élaboration et diffusion de ressources et de matériels de formation sur la sensibilisation, l’éducation et la participation du public</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b/>
                <w:kern w:val="22"/>
                <w:sz w:val="20"/>
                <w:szCs w:val="20"/>
                <w:lang w:val="fr-FR"/>
              </w:rPr>
            </w:pPr>
            <w:r>
              <w:rPr>
                <w:kern w:val="22"/>
                <w:sz w:val="20"/>
                <w:szCs w:val="20"/>
                <w:lang w:val="fr-FR"/>
              </w:rPr>
              <w:t xml:space="preserve">3) </w:t>
            </w:r>
            <w:r w:rsidR="00E73325">
              <w:rPr>
                <w:kern w:val="22"/>
                <w:sz w:val="20"/>
                <w:szCs w:val="20"/>
                <w:lang w:val="fr-FR"/>
              </w:rPr>
              <w:t xml:space="preserve">Éducation </w:t>
            </w:r>
            <w:r>
              <w:rPr>
                <w:kern w:val="22"/>
                <w:sz w:val="20"/>
                <w:szCs w:val="20"/>
                <w:lang w:val="fr-FR"/>
              </w:rPr>
              <w:t>sur la prévention des risques biotechnologiques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4) Renforcement des mécanismes de participation à la prise de décision</w:t>
            </w:r>
            <w:r w:rsidR="008B7DA6">
              <w:rPr>
                <w:kern w:val="22"/>
                <w:sz w:val="20"/>
                <w:szCs w:val="20"/>
                <w:lang w:val="fr-FR"/>
              </w:rPr>
              <w:t> </w:t>
            </w:r>
            <w:r>
              <w:rPr>
                <w:kern w:val="22"/>
                <w:sz w:val="20"/>
                <w:szCs w:val="20"/>
                <w:lang w:val="fr-FR"/>
              </w:rPr>
              <w:t>;</w:t>
            </w:r>
          </w:p>
          <w:p w:rsidR="000E2816" w:rsidRPr="00F10E52" w:rsidRDefault="00F10E52" w:rsidP="003522A2">
            <w:pPr>
              <w:spacing w:before="60" w:after="60"/>
              <w:jc w:val="left"/>
              <w:rPr>
                <w:rFonts w:eastAsia="MS Mincho"/>
                <w:kern w:val="22"/>
                <w:sz w:val="20"/>
                <w:szCs w:val="20"/>
                <w:lang w:val="fr-FR"/>
              </w:rPr>
            </w:pPr>
            <w:r>
              <w:rPr>
                <w:kern w:val="22"/>
                <w:sz w:val="20"/>
                <w:szCs w:val="20"/>
                <w:lang w:val="fr-FR"/>
              </w:rPr>
              <w:t>5) Développement de programmes de sensibilisation du public.</w:t>
            </w:r>
          </w:p>
        </w:tc>
        <w:tc>
          <w:tcPr>
            <w:tcW w:w="288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t>i) Élaborer et diffuser des matériels de renforcement des capacités sur la sensibilisation, l’éducation et la participation du public</w:t>
            </w:r>
            <w:r w:rsidR="008B7DA6">
              <w:rPr>
                <w:kern w:val="22"/>
                <w:sz w:val="20"/>
                <w:szCs w:val="20"/>
                <w:lang w:val="fr-FR"/>
              </w:rPr>
              <w:t> </w:t>
            </w:r>
            <w:r w:rsidR="003522A2">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ii) Développer ou mettre à jour des programmes d’éducation à la prévention des risques biotechnologiques et renforcer les capacités institutionnelles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iii) Intégrer la prévention des risques biotechnologiques dans les programmes éducatifs pertinents</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iv) Mettre en place des programmes d’échanges et de bourses universitaires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 xml:space="preserve">v) Dispenser une formation sur la participation à la prise de décisions, conformément aux lois et réglementations nationales, y compris sur la mise </w:t>
            </w:r>
            <w:r>
              <w:rPr>
                <w:kern w:val="22"/>
                <w:sz w:val="20"/>
                <w:szCs w:val="20"/>
                <w:lang w:val="fr-FR"/>
              </w:rPr>
              <w:lastRenderedPageBreak/>
              <w:t>en place de mécanismes pour informer le public sur les modalités de participation</w:t>
            </w:r>
            <w:r w:rsidR="008B7DA6">
              <w:rPr>
                <w:kern w:val="22"/>
                <w:sz w:val="20"/>
                <w:szCs w:val="20"/>
                <w:lang w:val="fr-FR"/>
              </w:rPr>
              <w:t> </w:t>
            </w:r>
            <w:r>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vi) Dispenser une formation sur l’élaboration et la mise en œuvre de programmes de sensibilisation du public à la prévention des risques biotechnologiques</w:t>
            </w:r>
            <w:r w:rsidR="008B7DA6">
              <w:rPr>
                <w:kern w:val="22"/>
                <w:sz w:val="20"/>
                <w:szCs w:val="20"/>
                <w:lang w:val="fr-FR"/>
              </w:rPr>
              <w:t> </w:t>
            </w:r>
            <w:r>
              <w:rPr>
                <w:kern w:val="22"/>
                <w:sz w:val="20"/>
                <w:szCs w:val="20"/>
                <w:lang w:val="fr-FR"/>
              </w:rPr>
              <w:t xml:space="preserve">; </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vii) Dispenser une formation sur la communication en matière de prévention</w:t>
            </w:r>
            <w:r w:rsidR="003522A2">
              <w:rPr>
                <w:kern w:val="22"/>
                <w:sz w:val="20"/>
                <w:szCs w:val="20"/>
                <w:lang w:val="fr-FR"/>
              </w:rPr>
              <w:t xml:space="preserve"> des risques biotechnologiques.</w:t>
            </w:r>
          </w:p>
        </w:tc>
      </w:tr>
      <w:tr w:rsidR="00173EB8" w:rsidRPr="001945CD" w:rsidTr="006B322C">
        <w:tblPrEx>
          <w:shd w:val="clear" w:color="auto" w:fill="auto"/>
        </w:tblPrEx>
        <w:tc>
          <w:tcPr>
            <w:tcW w:w="1728" w:type="dxa"/>
            <w:shd w:val="clear" w:color="auto" w:fill="auto"/>
          </w:tcPr>
          <w:p w:rsidR="000E2816" w:rsidRPr="00F10E52" w:rsidRDefault="00F10E52" w:rsidP="00085059">
            <w:pPr>
              <w:jc w:val="left"/>
              <w:rPr>
                <w:rFonts w:eastAsia="MS Mincho"/>
                <w:b/>
                <w:strike/>
                <w:kern w:val="22"/>
                <w:sz w:val="20"/>
                <w:szCs w:val="20"/>
                <w:lang w:val="fr-FR"/>
              </w:rPr>
            </w:pPr>
            <w:r>
              <w:rPr>
                <w:b/>
                <w:bCs/>
                <w:kern w:val="22"/>
                <w:sz w:val="20"/>
                <w:szCs w:val="20"/>
                <w:lang w:val="fr-FR"/>
              </w:rPr>
              <w:lastRenderedPageBreak/>
              <w:t>B.4. Les Parties renforcent la coopération et la coordination sur les questions de prévention des risques biotechnologiques aux niveaux nati</w:t>
            </w:r>
            <w:r w:rsidR="003522A2">
              <w:rPr>
                <w:b/>
                <w:bCs/>
                <w:kern w:val="22"/>
                <w:sz w:val="20"/>
                <w:szCs w:val="20"/>
                <w:lang w:val="fr-FR"/>
              </w:rPr>
              <w:t>onal, régional et international</w:t>
            </w:r>
            <w:r w:rsidR="001E5C22">
              <w:rPr>
                <w:b/>
                <w:bCs/>
                <w:kern w:val="22"/>
                <w:sz w:val="20"/>
                <w:szCs w:val="20"/>
                <w:lang w:val="fr-FR"/>
              </w:rPr>
              <w:t>.</w:t>
            </w:r>
          </w:p>
        </w:tc>
        <w:tc>
          <w:tcPr>
            <w:tcW w:w="2340" w:type="dxa"/>
          </w:tcPr>
          <w:p w:rsidR="000E2816" w:rsidRPr="00F10E52" w:rsidRDefault="00F10E52" w:rsidP="00CE747E">
            <w:pPr>
              <w:spacing w:before="60" w:after="60"/>
              <w:jc w:val="left"/>
              <w:rPr>
                <w:rFonts w:eastAsia="MS Mincho"/>
                <w:kern w:val="22"/>
                <w:sz w:val="20"/>
                <w:szCs w:val="20"/>
                <w:lang w:val="fr-FR"/>
              </w:rPr>
            </w:pPr>
            <w:r>
              <w:rPr>
                <w:kern w:val="22"/>
                <w:sz w:val="20"/>
                <w:szCs w:val="20"/>
                <w:lang w:val="fr-FR"/>
              </w:rPr>
              <w:t>B.4.1. Les Parties coopèrent pour soutenir la mise en œuvre du Protocole, y compris par l’échange de connaissances scientifiques, techniques et institutionnelles</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 xml:space="preserve">B.4.2. Les Parties ont mis en place des mécanismes efficaces pour faire participer les peuples autochtones et les communautés locales ainsi que les parties prenantes concernées de différents secteurs à la mise en œuvre du </w:t>
            </w:r>
            <w:r>
              <w:rPr>
                <w:kern w:val="22"/>
                <w:sz w:val="20"/>
                <w:szCs w:val="20"/>
                <w:lang w:val="fr-FR"/>
              </w:rPr>
              <w:lastRenderedPageBreak/>
              <w:t>Protocole</w:t>
            </w:r>
            <w:r w:rsidR="001E5C22">
              <w:rPr>
                <w:kern w:val="22"/>
                <w:sz w:val="20"/>
                <w:szCs w:val="20"/>
                <w:lang w:val="fr-FR"/>
              </w:rPr>
              <w:t> ;</w:t>
            </w:r>
          </w:p>
          <w:p w:rsidR="000E2816" w:rsidRPr="00F10E52" w:rsidRDefault="00F10E52" w:rsidP="006B322C">
            <w:pPr>
              <w:jc w:val="left"/>
              <w:rPr>
                <w:rFonts w:eastAsia="MS Mincho"/>
                <w:kern w:val="22"/>
                <w:sz w:val="20"/>
                <w:szCs w:val="20"/>
                <w:lang w:val="fr-FR"/>
              </w:rPr>
            </w:pPr>
            <w:r>
              <w:rPr>
                <w:kern w:val="22"/>
                <w:sz w:val="20"/>
                <w:szCs w:val="20"/>
                <w:lang w:val="fr-FR"/>
              </w:rPr>
              <w:t>B.4.3. Les Parties facilitent la coordination et la coopération sectorielles et intersectorielles au niveau national pour intégrer la préventio</w:t>
            </w:r>
            <w:r w:rsidR="003522A2">
              <w:rPr>
                <w:kern w:val="22"/>
                <w:sz w:val="20"/>
                <w:szCs w:val="20"/>
                <w:lang w:val="fr-FR"/>
              </w:rPr>
              <w:t>n des risques biotechnologiques</w:t>
            </w:r>
            <w:r w:rsidR="001E5C22">
              <w:rPr>
                <w:kern w:val="22"/>
                <w:sz w:val="20"/>
                <w:szCs w:val="20"/>
                <w:lang w:val="fr-FR"/>
              </w:rPr>
              <w:t>.</w:t>
            </w:r>
          </w:p>
        </w:tc>
        <w:tc>
          <w:tcPr>
            <w:tcW w:w="2970" w:type="dxa"/>
            <w:shd w:val="clear" w:color="auto" w:fill="auto"/>
          </w:tcPr>
          <w:p w:rsidR="000E2816" w:rsidRPr="00F10E52" w:rsidRDefault="00F10E52" w:rsidP="00CE747E">
            <w:pPr>
              <w:spacing w:before="60" w:after="60"/>
              <w:jc w:val="left"/>
              <w:rPr>
                <w:rFonts w:eastAsia="MS Mincho"/>
                <w:kern w:val="22"/>
                <w:sz w:val="20"/>
                <w:szCs w:val="20"/>
                <w:lang w:val="fr-FR"/>
              </w:rPr>
            </w:pPr>
            <w:r>
              <w:rPr>
                <w:kern w:val="22"/>
                <w:sz w:val="20"/>
                <w:szCs w:val="20"/>
                <w:lang w:val="fr-FR"/>
              </w:rPr>
              <w:lastRenderedPageBreak/>
              <w:t>a) Pourcentage de Parties coopérant pour échanger des connaissances scientifiques, techniques et institutionnelles</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b) Pourcentage de Parties engagées dans des activités bilatérales, régionales ou multilatérales pour la mise en œuvre du Protocole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c) Pourcentage de Parties disposant de mécanismes pour associer les peuples autochtones et les communautés locales ainsi que les parties prenantes concernées de différents secteurs à la mise en œuvre du Protocole</w:t>
            </w:r>
            <w:r w:rsidR="008B7DA6">
              <w:rPr>
                <w:kern w:val="22"/>
                <w:sz w:val="20"/>
                <w:szCs w:val="20"/>
                <w:lang w:val="fr-FR"/>
              </w:rPr>
              <w:t> </w:t>
            </w:r>
            <w:r>
              <w:rPr>
                <w:kern w:val="22"/>
                <w:sz w:val="20"/>
                <w:szCs w:val="20"/>
                <w:lang w:val="fr-FR"/>
              </w:rPr>
              <w:t>;</w:t>
            </w:r>
          </w:p>
          <w:p w:rsidR="000E2816" w:rsidRPr="00F10E52" w:rsidRDefault="00F10E52" w:rsidP="006B322C">
            <w:pPr>
              <w:jc w:val="left"/>
              <w:rPr>
                <w:rFonts w:eastAsia="MS Mincho"/>
                <w:kern w:val="22"/>
                <w:sz w:val="20"/>
                <w:szCs w:val="20"/>
                <w:lang w:val="fr-FR"/>
              </w:rPr>
            </w:pPr>
            <w:r>
              <w:rPr>
                <w:kern w:val="22"/>
                <w:sz w:val="20"/>
                <w:szCs w:val="20"/>
                <w:lang w:val="fr-FR"/>
              </w:rPr>
              <w:t xml:space="preserve">d) Pourcentage de Parties ayant intégré la prévention des risques </w:t>
            </w:r>
            <w:r>
              <w:rPr>
                <w:kern w:val="22"/>
                <w:sz w:val="20"/>
                <w:szCs w:val="20"/>
                <w:lang w:val="fr-FR"/>
              </w:rPr>
              <w:lastRenderedPageBreak/>
              <w:t>biotechnologiques dans les stratégies, plans d’action, programmes, politiques ou législations sectoriels et intersectoriels nationaux.</w:t>
            </w:r>
          </w:p>
        </w:tc>
        <w:tc>
          <w:tcPr>
            <w:tcW w:w="2160" w:type="dxa"/>
            <w:shd w:val="clear" w:color="auto" w:fill="auto"/>
          </w:tcPr>
          <w:p w:rsidR="000E2816" w:rsidRPr="00F10E52" w:rsidRDefault="00F10E52" w:rsidP="00C57AD4">
            <w:pPr>
              <w:spacing w:before="60" w:after="60"/>
              <w:jc w:val="left"/>
              <w:rPr>
                <w:rFonts w:eastAsia="MS Mincho"/>
                <w:kern w:val="22"/>
                <w:sz w:val="20"/>
                <w:szCs w:val="20"/>
                <w:lang w:val="fr-FR"/>
              </w:rPr>
            </w:pPr>
            <w:r>
              <w:rPr>
                <w:kern w:val="22"/>
                <w:sz w:val="20"/>
                <w:szCs w:val="20"/>
                <w:lang w:val="fr-FR"/>
              </w:rPr>
              <w:lastRenderedPageBreak/>
              <w:t>Grâce à la coopération aux niveaux national, régional et international et à la participation des parties prenantes, la mise en œuvre du Protocole par les Parties est plus efficace</w:t>
            </w:r>
            <w:r w:rsidR="003522A2">
              <w:rPr>
                <w:kern w:val="22"/>
                <w:sz w:val="20"/>
                <w:szCs w:val="20"/>
                <w:lang w:val="fr-FR"/>
              </w:rPr>
              <w:t>.</w:t>
            </w:r>
          </w:p>
        </w:tc>
        <w:tc>
          <w:tcPr>
            <w:tcW w:w="2340" w:type="dxa"/>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1) Coopération entre les Parties et au sein des Parties</w:t>
            </w:r>
            <w:r w:rsidR="008B7DA6">
              <w:rPr>
                <w:kern w:val="22"/>
                <w:sz w:val="20"/>
                <w:szCs w:val="20"/>
                <w:lang w:val="fr-FR"/>
              </w:rPr>
              <w:t> </w:t>
            </w:r>
            <w:r w:rsidR="00CC67A5">
              <w:rPr>
                <w:kern w:val="22"/>
                <w:sz w:val="20"/>
                <w:szCs w:val="20"/>
                <w:lang w:val="fr-FR"/>
              </w:rPr>
              <w:t>;</w:t>
            </w:r>
          </w:p>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2) Participation des peuples autochtones et des communautés locales ainsi que des parties prenantes des secteurs concernés</w:t>
            </w:r>
            <w:r w:rsidR="008B7DA6">
              <w:rPr>
                <w:kern w:val="22"/>
                <w:sz w:val="20"/>
                <w:szCs w:val="20"/>
                <w:lang w:val="fr-FR"/>
              </w:rPr>
              <w:t> </w:t>
            </w:r>
            <w:r>
              <w:rPr>
                <w:kern w:val="22"/>
                <w:sz w:val="20"/>
                <w:szCs w:val="20"/>
                <w:lang w:val="fr-FR"/>
              </w:rPr>
              <w:t>;</w:t>
            </w:r>
          </w:p>
          <w:p w:rsidR="000E2816" w:rsidRPr="00F10E52" w:rsidRDefault="00F10E52" w:rsidP="003522A2">
            <w:pPr>
              <w:spacing w:before="60" w:after="60"/>
              <w:jc w:val="left"/>
              <w:rPr>
                <w:rFonts w:eastAsia="MS Mincho"/>
                <w:kern w:val="22"/>
                <w:sz w:val="20"/>
                <w:szCs w:val="20"/>
                <w:lang w:val="fr-FR"/>
              </w:rPr>
            </w:pPr>
            <w:r>
              <w:rPr>
                <w:kern w:val="22"/>
                <w:sz w:val="20"/>
                <w:szCs w:val="20"/>
                <w:lang w:val="fr-FR"/>
              </w:rPr>
              <w:t>3) Intégration de la prévention des risques biotechnologiques dans la législation, les politiques et les plans sectoriels et intersectoriels.</w:t>
            </w:r>
          </w:p>
        </w:tc>
        <w:tc>
          <w:tcPr>
            <w:tcW w:w="2880" w:type="dxa"/>
            <w:shd w:val="clear" w:color="auto" w:fill="auto"/>
          </w:tcPr>
          <w:p w:rsidR="000E2816" w:rsidRPr="00F10E52" w:rsidRDefault="00F10E52" w:rsidP="006B322C">
            <w:pPr>
              <w:spacing w:before="60" w:after="60"/>
              <w:jc w:val="left"/>
              <w:rPr>
                <w:rFonts w:eastAsia="MS Mincho"/>
                <w:kern w:val="22"/>
                <w:sz w:val="20"/>
                <w:szCs w:val="20"/>
                <w:lang w:val="fr-FR"/>
              </w:rPr>
            </w:pPr>
            <w:r>
              <w:rPr>
                <w:kern w:val="22"/>
                <w:sz w:val="20"/>
                <w:szCs w:val="20"/>
                <w:lang w:val="fr-FR"/>
              </w:rPr>
              <w:t>i) Organiser des activités pour faciliter la coopération technique et scientifique ainsi que le partage d’informations aux niveaux bilatéral, sous-régional et régional</w:t>
            </w:r>
            <w:r w:rsidR="008B7DA6">
              <w:rPr>
                <w:kern w:val="22"/>
                <w:sz w:val="20"/>
                <w:szCs w:val="20"/>
                <w:lang w:val="fr-FR"/>
              </w:rPr>
              <w:t> </w:t>
            </w:r>
            <w:r>
              <w:rPr>
                <w:kern w:val="22"/>
                <w:sz w:val="20"/>
                <w:szCs w:val="20"/>
                <w:lang w:val="fr-FR"/>
              </w:rPr>
              <w:t>;</w:t>
            </w:r>
          </w:p>
          <w:p w:rsidR="000E2816" w:rsidRPr="00F10E52" w:rsidRDefault="00F10E52" w:rsidP="00E73325">
            <w:pPr>
              <w:spacing w:before="60" w:after="60"/>
              <w:jc w:val="left"/>
              <w:rPr>
                <w:rFonts w:eastAsia="MS Mincho"/>
                <w:kern w:val="22"/>
                <w:sz w:val="20"/>
                <w:szCs w:val="20"/>
                <w:lang w:val="fr-FR"/>
              </w:rPr>
            </w:pPr>
            <w:r>
              <w:rPr>
                <w:kern w:val="22"/>
                <w:sz w:val="20"/>
                <w:szCs w:val="20"/>
                <w:lang w:val="fr-FR"/>
              </w:rPr>
              <w:t>ii) Organiser des activités conjointes faisant participer les peuples autochtones et les communautés locales ainsi que les parties prenantes concernées d</w:t>
            </w:r>
            <w:r w:rsidR="00E73325">
              <w:rPr>
                <w:kern w:val="22"/>
                <w:sz w:val="20"/>
                <w:szCs w:val="20"/>
                <w:lang w:val="fr-FR"/>
              </w:rPr>
              <w:t xml:space="preserve">ans </w:t>
            </w:r>
            <w:r w:rsidR="003522A2">
              <w:rPr>
                <w:kern w:val="22"/>
                <w:sz w:val="20"/>
                <w:szCs w:val="20"/>
                <w:lang w:val="fr-FR"/>
              </w:rPr>
              <w:t>différents secteurs.</w:t>
            </w:r>
          </w:p>
        </w:tc>
      </w:tr>
    </w:tbl>
    <w:p w:rsidR="000E2816" w:rsidRPr="00F10E52" w:rsidRDefault="000E2816" w:rsidP="000E2816">
      <w:pPr>
        <w:rPr>
          <w:kern w:val="22"/>
          <w:lang w:val="fr-FR"/>
        </w:rPr>
      </w:pPr>
    </w:p>
    <w:p w:rsidR="0085638D" w:rsidRPr="000A316D" w:rsidRDefault="00F10E52" w:rsidP="00F83603">
      <w:pPr>
        <w:jc w:val="center"/>
        <w:rPr>
          <w:shd w:val="clear" w:color="auto" w:fill="FFFFFF"/>
        </w:rPr>
      </w:pPr>
      <w:r w:rsidRPr="00C061D4">
        <w:rPr>
          <w:kern w:val="22"/>
        </w:rPr>
        <w:t>__________</w:t>
      </w:r>
    </w:p>
    <w:sectPr w:rsidR="0085638D" w:rsidRPr="000A316D" w:rsidSect="00FC0B19">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00" w:rsidRDefault="002E3B00">
      <w:pPr>
        <w:spacing w:before="0" w:after="0"/>
      </w:pPr>
      <w:r>
        <w:separator/>
      </w:r>
    </w:p>
  </w:endnote>
  <w:endnote w:type="continuationSeparator" w:id="0">
    <w:p w:rsidR="002E3B00" w:rsidRDefault="002E3B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00" w:rsidRDefault="0074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00" w:rsidRDefault="00747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00" w:rsidRDefault="0074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00" w:rsidRDefault="002E3B00" w:rsidP="00CF1848">
      <w:r>
        <w:separator/>
      </w:r>
    </w:p>
  </w:footnote>
  <w:footnote w:type="continuationSeparator" w:id="0">
    <w:p w:rsidR="002E3B00" w:rsidRDefault="002E3B00" w:rsidP="00CF1848">
      <w:r>
        <w:continuationSeparator/>
      </w:r>
    </w:p>
  </w:footnote>
  <w:footnote w:id="1">
    <w:p w:rsidR="00747E00" w:rsidRPr="00A20ADB" w:rsidRDefault="00747E00" w:rsidP="00A20ADB">
      <w:pPr>
        <w:pStyle w:val="FootnoteText"/>
        <w:suppressLineNumbers/>
        <w:suppressAutoHyphens/>
        <w:spacing w:before="0"/>
        <w:ind w:firstLine="0"/>
        <w:jc w:val="left"/>
        <w:rPr>
          <w:kern w:val="18"/>
          <w:szCs w:val="18"/>
          <w:lang w:val="fr-FR"/>
        </w:rPr>
      </w:pPr>
      <w:r w:rsidRPr="00A20ADB">
        <w:rPr>
          <w:rStyle w:val="FootnoteReference"/>
          <w:kern w:val="18"/>
          <w:szCs w:val="18"/>
          <w:u w:val="none"/>
          <w:lang w:val="fr-FR"/>
        </w:rPr>
        <w:t>*</w:t>
      </w:r>
      <w:r w:rsidRPr="00A20ADB">
        <w:rPr>
          <w:kern w:val="18"/>
          <w:szCs w:val="18"/>
          <w:lang w:val="fr-FR"/>
        </w:rPr>
        <w:t xml:space="preserve"> </w:t>
      </w:r>
      <w:hyperlink r:id="rId1" w:history="1">
        <w:r w:rsidRPr="00A20ADB">
          <w:rPr>
            <w:rStyle w:val="Hyperlink"/>
            <w:kern w:val="18"/>
            <w:szCs w:val="18"/>
            <w:lang w:val="fr-FR"/>
          </w:rPr>
          <w:t>CBD/SBI/3/1</w:t>
        </w:r>
      </w:hyperlink>
      <w:r w:rsidRPr="00A20ADB">
        <w:rPr>
          <w:kern w:val="18"/>
          <w:szCs w:val="18"/>
          <w:lang w:val="fr-FR"/>
        </w:rPr>
        <w:t>.</w:t>
      </w:r>
    </w:p>
  </w:footnote>
  <w:footnote w:id="2">
    <w:p w:rsidR="00747E00" w:rsidRPr="00F10E52" w:rsidRDefault="00747E00" w:rsidP="00C67D94">
      <w:pPr>
        <w:pStyle w:val="FootnoteText"/>
        <w:ind w:firstLine="0"/>
        <w:rPr>
          <w:lang w:val="fr-FR"/>
        </w:rPr>
      </w:pPr>
      <w:r w:rsidRPr="00E04A1B">
        <w:rPr>
          <w:rStyle w:val="FootnoteReference"/>
          <w:u w:val="none"/>
          <w:vertAlign w:val="superscript"/>
        </w:rPr>
        <w:footnoteRef/>
      </w:r>
      <w:r>
        <w:rPr>
          <w:szCs w:val="18"/>
          <w:lang w:val="fr-FR"/>
        </w:rPr>
        <w:t xml:space="preserve"> </w:t>
      </w:r>
      <w:hyperlink r:id="rId2" w:history="1">
        <w:r>
          <w:rPr>
            <w:color w:val="0000FF"/>
            <w:szCs w:val="18"/>
            <w:u w:val="single"/>
            <w:lang w:val="fr-FR"/>
          </w:rPr>
          <w:t>Notification 2019-027</w:t>
        </w:r>
      </w:hyperlink>
      <w:r>
        <w:rPr>
          <w:szCs w:val="18"/>
          <w:lang w:val="fr-FR"/>
        </w:rPr>
        <w:t xml:space="preserve"> du 28 février 2019.</w:t>
      </w:r>
    </w:p>
  </w:footnote>
  <w:footnote w:id="3">
    <w:p w:rsidR="00747E00" w:rsidRPr="00F10E52" w:rsidRDefault="00747E00" w:rsidP="00E752A5">
      <w:pPr>
        <w:pStyle w:val="FootnoteText"/>
        <w:ind w:firstLine="0"/>
        <w:jc w:val="left"/>
        <w:rPr>
          <w:szCs w:val="18"/>
          <w:lang w:val="fr-FR"/>
        </w:rPr>
      </w:pPr>
      <w:r w:rsidRPr="00531B27">
        <w:rPr>
          <w:rStyle w:val="FootnoteReference"/>
          <w:u w:val="none"/>
          <w:vertAlign w:val="superscript"/>
        </w:rPr>
        <w:footnoteRef/>
      </w:r>
      <w:r>
        <w:rPr>
          <w:sz w:val="20"/>
          <w:szCs w:val="20"/>
          <w:lang w:val="fr-FR"/>
        </w:rPr>
        <w:t xml:space="preserve"> </w:t>
      </w:r>
      <w:r>
        <w:rPr>
          <w:szCs w:val="18"/>
          <w:lang w:val="fr-FR"/>
        </w:rPr>
        <w:t xml:space="preserve">Les avis soumis peuvent être consultés à l’adresse suivante : </w:t>
      </w:r>
      <w:hyperlink r:id="rId3" w:history="1">
        <w:r w:rsidRPr="00744A18">
          <w:rPr>
            <w:color w:val="0000FF"/>
            <w:szCs w:val="18"/>
            <w:u w:val="single"/>
            <w:lang w:val="fr-FR"/>
          </w:rPr>
          <w:t>http://bch.cbd.int/protocol/post2020/submissions.shtml</w:t>
        </w:r>
      </w:hyperlink>
      <w:r>
        <w:rPr>
          <w:szCs w:val="18"/>
          <w:lang w:val="fr-FR"/>
        </w:rPr>
        <w:t>.</w:t>
      </w:r>
    </w:p>
  </w:footnote>
  <w:footnote w:id="4">
    <w:p w:rsidR="00747E00" w:rsidRPr="00F10E52" w:rsidRDefault="00747E00" w:rsidP="0012763B">
      <w:pPr>
        <w:pStyle w:val="FootnoteText"/>
        <w:ind w:firstLine="0"/>
        <w:rPr>
          <w:lang w:val="fr-FR"/>
        </w:rPr>
      </w:pPr>
      <w:r w:rsidRPr="00531B27">
        <w:rPr>
          <w:rStyle w:val="FootnoteReference"/>
          <w:u w:val="none"/>
          <w:vertAlign w:val="superscript"/>
        </w:rPr>
        <w:footnoteRef/>
      </w:r>
      <w:r>
        <w:rPr>
          <w:szCs w:val="18"/>
          <w:lang w:val="fr-FR"/>
        </w:rPr>
        <w:t xml:space="preserve"> Le projet de plan de mise en œuvre du Protocole de Cartagena a été mis à disposition pour examen lors de discussions ouvertes en ligne et est disponible sur : </w:t>
      </w:r>
      <w:hyperlink r:id="rId4" w:history="1">
        <w:r>
          <w:rPr>
            <w:color w:val="0000FF"/>
            <w:szCs w:val="18"/>
            <w:u w:val="single"/>
            <w:lang w:val="fr-FR"/>
          </w:rPr>
          <w:t>https://bch.cbd.int/post%202020/implementationplan.pdf?download</w:t>
        </w:r>
      </w:hyperlink>
      <w:r>
        <w:rPr>
          <w:szCs w:val="18"/>
          <w:lang w:val="fr-FR"/>
        </w:rPr>
        <w:t>.</w:t>
      </w:r>
    </w:p>
  </w:footnote>
  <w:footnote w:id="5">
    <w:p w:rsidR="00747E00" w:rsidRPr="008A097C" w:rsidRDefault="00747E00" w:rsidP="001074FB">
      <w:pPr>
        <w:pStyle w:val="FootnoteText"/>
        <w:ind w:firstLine="0"/>
        <w:rPr>
          <w:sz w:val="20"/>
          <w:szCs w:val="20"/>
          <w:lang w:val="fr-FR"/>
        </w:rPr>
      </w:pPr>
      <w:r w:rsidRPr="00531B27">
        <w:rPr>
          <w:rStyle w:val="FootnoteReference"/>
          <w:u w:val="none"/>
          <w:vertAlign w:val="superscript"/>
        </w:rPr>
        <w:footnoteRef/>
      </w:r>
      <w:r>
        <w:rPr>
          <w:sz w:val="20"/>
          <w:szCs w:val="20"/>
          <w:lang w:val="fr-FR"/>
        </w:rPr>
        <w:t xml:space="preserve"> </w:t>
      </w:r>
      <w:r>
        <w:rPr>
          <w:szCs w:val="18"/>
          <w:lang w:val="fr-FR"/>
        </w:rPr>
        <w:t>Le texte intégral de toutes les interventions et propositions partagées par les participants lors des discussions en ligne est disponible sur :</w:t>
      </w:r>
      <w:r w:rsidRPr="008A097C">
        <w:rPr>
          <w:szCs w:val="18"/>
          <w:lang w:val="fr-FR"/>
        </w:rPr>
        <w:t xml:space="preserve"> </w:t>
      </w:r>
      <w:hyperlink r:id="rId5" w:history="1">
        <w:r w:rsidRPr="008A097C">
          <w:rPr>
            <w:color w:val="0000FF"/>
            <w:szCs w:val="18"/>
            <w:u w:val="single"/>
            <w:lang w:val="fr-FR"/>
          </w:rPr>
          <w:t>http://bch.cbd.int/protocol/post2020/ForumImplementationPlan.shtml</w:t>
        </w:r>
      </w:hyperlink>
      <w:r w:rsidRPr="008A097C">
        <w:rPr>
          <w:szCs w:val="18"/>
          <w:lang w:val="fr-FR"/>
        </w:rPr>
        <w:t>.</w:t>
      </w:r>
      <w:r w:rsidRPr="008A097C">
        <w:rPr>
          <w:sz w:val="20"/>
          <w:szCs w:val="20"/>
          <w:lang w:val="fr-FR"/>
        </w:rPr>
        <w:t xml:space="preserve"> </w:t>
      </w:r>
    </w:p>
  </w:footnote>
  <w:footnote w:id="6">
    <w:p w:rsidR="00747E00" w:rsidRPr="008A097C" w:rsidRDefault="00747E00" w:rsidP="00FA248A">
      <w:pPr>
        <w:pStyle w:val="FootnoteText"/>
        <w:ind w:firstLine="0"/>
        <w:rPr>
          <w:sz w:val="20"/>
          <w:szCs w:val="20"/>
          <w:lang w:val="fr-FR"/>
        </w:rPr>
      </w:pPr>
      <w:r w:rsidRPr="008A097C">
        <w:rPr>
          <w:rStyle w:val="FootnoteReference"/>
          <w:u w:val="none"/>
          <w:vertAlign w:val="superscript"/>
        </w:rPr>
        <w:footnoteRef/>
      </w:r>
      <w:r w:rsidRPr="008A097C">
        <w:rPr>
          <w:sz w:val="20"/>
          <w:szCs w:val="20"/>
          <w:lang w:val="fr-FR"/>
        </w:rPr>
        <w:t xml:space="preserve"> </w:t>
      </w:r>
      <w:r w:rsidRPr="008A097C">
        <w:rPr>
          <w:szCs w:val="18"/>
          <w:lang w:val="fr-FR"/>
        </w:rPr>
        <w:t xml:space="preserve">La liste des participants est disponible sur : </w:t>
      </w:r>
      <w:hyperlink r:id="rId6" w:history="1">
        <w:r w:rsidRPr="008A097C">
          <w:rPr>
            <w:color w:val="0000FF"/>
            <w:szCs w:val="18"/>
            <w:u w:val="single"/>
            <w:lang w:val="fr-FR"/>
          </w:rPr>
          <w:t>http://bch.cbd.int/protocol/post2020/0002.shtml</w:t>
        </w:r>
      </w:hyperlink>
      <w:r w:rsidRPr="008A097C">
        <w:rPr>
          <w:szCs w:val="18"/>
          <w:lang w:val="fr-FR"/>
        </w:rPr>
        <w:t>.</w:t>
      </w:r>
    </w:p>
  </w:footnote>
  <w:footnote w:id="7">
    <w:p w:rsidR="00747E00" w:rsidRPr="00F10E52" w:rsidRDefault="00747E00" w:rsidP="008F1842">
      <w:pPr>
        <w:pStyle w:val="FootnoteText"/>
        <w:ind w:firstLine="0"/>
        <w:rPr>
          <w:lang w:val="fr-FR"/>
        </w:rPr>
      </w:pPr>
      <w:r w:rsidRPr="008A097C">
        <w:rPr>
          <w:rStyle w:val="FootnoteReference"/>
          <w:u w:val="none"/>
          <w:vertAlign w:val="superscript"/>
        </w:rPr>
        <w:footnoteRef/>
      </w:r>
      <w:r w:rsidRPr="008A097C">
        <w:rPr>
          <w:szCs w:val="18"/>
          <w:lang w:val="fr-FR"/>
        </w:rPr>
        <w:t xml:space="preserve"> Le programme de travail sur la sensibilisation, l’éducation et la participation du public a</w:t>
      </w:r>
      <w:r>
        <w:rPr>
          <w:szCs w:val="18"/>
          <w:lang w:val="fr-FR"/>
        </w:rPr>
        <w:t xml:space="preserve"> été adopté dans la décision BS-V/13 et prorogé jusqu’en 2020 par la décision CP-VIII/18.</w:t>
      </w:r>
    </w:p>
  </w:footnote>
  <w:footnote w:id="8">
    <w:p w:rsidR="00747E00" w:rsidRPr="00F10E52" w:rsidRDefault="00747E00" w:rsidP="008F336C">
      <w:pPr>
        <w:pStyle w:val="FootnoteText"/>
        <w:ind w:firstLine="0"/>
        <w:rPr>
          <w:lang w:val="fr-FR"/>
        </w:rPr>
      </w:pPr>
      <w:r w:rsidRPr="008F336C">
        <w:rPr>
          <w:rStyle w:val="FootnoteReference"/>
          <w:u w:val="none"/>
          <w:vertAlign w:val="superscript"/>
        </w:rPr>
        <w:footnoteRef/>
      </w:r>
      <w:r>
        <w:rPr>
          <w:szCs w:val="18"/>
          <w:lang w:val="fr-FR"/>
        </w:rPr>
        <w:t xml:space="preserve"> Voir le rapport de la treizième réunion du Groupe de liaison, CBD/CP/LG/2020/1/6.</w:t>
      </w:r>
    </w:p>
  </w:footnote>
  <w:footnote w:id="9">
    <w:p w:rsidR="00747E00" w:rsidRPr="008A097C" w:rsidRDefault="00747E00" w:rsidP="00D97B18">
      <w:pPr>
        <w:rPr>
          <w:sz w:val="18"/>
          <w:szCs w:val="18"/>
          <w:lang w:val="fr-FR"/>
        </w:rPr>
      </w:pPr>
      <w:r w:rsidRPr="008F336C">
        <w:rPr>
          <w:rStyle w:val="FootnoteReference"/>
          <w:u w:val="none"/>
          <w:vertAlign w:val="superscript"/>
        </w:rPr>
        <w:footnoteRef/>
      </w:r>
      <w:r>
        <w:rPr>
          <w:szCs w:val="22"/>
          <w:lang w:val="fr-FR"/>
        </w:rPr>
        <w:t xml:space="preserve"> </w:t>
      </w:r>
      <w:r>
        <w:rPr>
          <w:sz w:val="18"/>
          <w:szCs w:val="18"/>
          <w:lang w:val="fr-FR"/>
        </w:rPr>
        <w:t>Voir la notification 2019-110 du 5 </w:t>
      </w:r>
      <w:r w:rsidRPr="008A097C">
        <w:rPr>
          <w:sz w:val="18"/>
          <w:szCs w:val="18"/>
          <w:lang w:val="fr-FR"/>
        </w:rPr>
        <w:t>décembre 2019. Le texte du projet de plan de mise en œuvre et de plan d’action pour le renforcement des capacités mis à disp</w:t>
      </w:r>
      <w:r w:rsidR="003E7733">
        <w:rPr>
          <w:sz w:val="18"/>
          <w:szCs w:val="18"/>
          <w:lang w:val="fr-FR"/>
        </w:rPr>
        <w:t>osition pour examen en décembre </w:t>
      </w:r>
      <w:r w:rsidRPr="008A097C">
        <w:rPr>
          <w:sz w:val="18"/>
          <w:szCs w:val="18"/>
          <w:lang w:val="fr-FR"/>
        </w:rPr>
        <w:t xml:space="preserve">2019 est disponible </w:t>
      </w:r>
      <w:r>
        <w:rPr>
          <w:sz w:val="18"/>
          <w:szCs w:val="18"/>
          <w:lang w:val="fr-FR"/>
        </w:rPr>
        <w:t>sur </w:t>
      </w:r>
      <w:r w:rsidRPr="008A097C">
        <w:rPr>
          <w:sz w:val="18"/>
          <w:szCs w:val="18"/>
          <w:lang w:val="fr-FR"/>
        </w:rPr>
        <w:t xml:space="preserve">: </w:t>
      </w:r>
      <w:hyperlink r:id="rId7" w:history="1">
        <w:r w:rsidRPr="008A097C">
          <w:rPr>
            <w:color w:val="0000FF"/>
            <w:sz w:val="18"/>
            <w:szCs w:val="18"/>
            <w:u w:val="single"/>
            <w:lang w:val="fr-FR"/>
          </w:rPr>
          <w:t>https://bch.cbd.int/post%202020/plans_review.pdf</w:t>
        </w:r>
      </w:hyperlink>
      <w:r w:rsidRPr="008A097C">
        <w:rPr>
          <w:sz w:val="18"/>
          <w:szCs w:val="18"/>
          <w:lang w:val="fr-FR"/>
        </w:rPr>
        <w:t xml:space="preserve">. </w:t>
      </w:r>
    </w:p>
  </w:footnote>
  <w:footnote w:id="10">
    <w:p w:rsidR="00747E00" w:rsidRPr="00F10E52" w:rsidRDefault="00747E00" w:rsidP="001C3478">
      <w:pPr>
        <w:pStyle w:val="FootnoteText"/>
        <w:ind w:firstLine="0"/>
        <w:rPr>
          <w:lang w:val="fr-FR"/>
        </w:rPr>
      </w:pPr>
      <w:r w:rsidRPr="008A097C">
        <w:rPr>
          <w:rStyle w:val="FootnoteReference"/>
          <w:u w:val="none"/>
          <w:vertAlign w:val="superscript"/>
        </w:rPr>
        <w:footnoteRef/>
      </w:r>
      <w:r w:rsidRPr="008A097C">
        <w:rPr>
          <w:szCs w:val="18"/>
          <w:lang w:val="fr-FR"/>
        </w:rPr>
        <w:t xml:space="preserve"> Les avis communiqués sont disponibles sur</w:t>
      </w:r>
      <w:r>
        <w:rPr>
          <w:szCs w:val="18"/>
          <w:lang w:val="fr-FR"/>
        </w:rPr>
        <w:t> :</w:t>
      </w:r>
      <w:r w:rsidRPr="008A097C">
        <w:rPr>
          <w:szCs w:val="18"/>
          <w:lang w:val="fr-FR"/>
        </w:rPr>
        <w:t xml:space="preserve"> </w:t>
      </w:r>
      <w:hyperlink r:id="rId8" w:history="1">
        <w:r w:rsidRPr="008A097C">
          <w:rPr>
            <w:color w:val="0000FF"/>
            <w:szCs w:val="18"/>
            <w:u w:val="single"/>
            <w:lang w:val="fr-FR"/>
          </w:rPr>
          <w:t>https://bch.cbd.int/protocol/post2020/portal/SubmissionsReview.shtml</w:t>
        </w:r>
      </w:hyperlink>
      <w:r w:rsidRPr="000D2FD8">
        <w:rPr>
          <w:szCs w:val="18"/>
          <w:lang w:val="fr-FR"/>
        </w:rPr>
        <w:t>.</w:t>
      </w:r>
    </w:p>
  </w:footnote>
  <w:footnote w:id="11">
    <w:p w:rsidR="00747E00" w:rsidRPr="00F10E52" w:rsidRDefault="00747E00" w:rsidP="008F336C">
      <w:pPr>
        <w:pStyle w:val="FootnoteText"/>
        <w:ind w:firstLine="0"/>
        <w:rPr>
          <w:lang w:val="fr-FR"/>
        </w:rPr>
      </w:pPr>
      <w:r w:rsidRPr="008F336C">
        <w:rPr>
          <w:rStyle w:val="FootnoteReference"/>
          <w:u w:val="none"/>
          <w:vertAlign w:val="superscript"/>
        </w:rPr>
        <w:footnoteRef/>
      </w:r>
      <w:r>
        <w:rPr>
          <w:szCs w:val="18"/>
          <w:lang w:val="fr-FR"/>
        </w:rPr>
        <w:t xml:space="preserve"> Voir le rapport de la quatorzième réunion du Groupe de liaison, CBD/CP/LG/2020/4.</w:t>
      </w:r>
    </w:p>
  </w:footnote>
  <w:footnote w:id="12">
    <w:p w:rsidR="00747E00" w:rsidRPr="00F10E52" w:rsidRDefault="00747E00" w:rsidP="00682918">
      <w:pPr>
        <w:pStyle w:val="FootnoteText"/>
        <w:ind w:firstLine="0"/>
        <w:rPr>
          <w:lang w:val="fr-FR"/>
        </w:rPr>
      </w:pPr>
      <w:r w:rsidRPr="00B72F77">
        <w:rPr>
          <w:rStyle w:val="FootnoteReference"/>
          <w:u w:val="none"/>
          <w:vertAlign w:val="superscript"/>
        </w:rPr>
        <w:footnoteRef/>
      </w:r>
      <w:r>
        <w:rPr>
          <w:szCs w:val="18"/>
          <w:lang w:val="fr-FR"/>
        </w:rPr>
        <w:t>Tels que le Cadre de coopération pour le développement durable des Nations Unies et les cadres nationaux d’aide au développement. Voir également le document sur les liens entre le cadre mondial de la biodiversité pour l’après-2020 et le Programme de développement durable à l’horizon 2030 préparé pour la vingt-quatrième réunion de l’Organe subsidiaire chargé de fournir des avis scientifiques, techniques et technologiques</w:t>
      </w:r>
      <w:r w:rsidRPr="00F44FCA">
        <w:rPr>
          <w:kern w:val="18"/>
          <w:szCs w:val="18"/>
          <w:lang w:val="fr-FR"/>
        </w:rPr>
        <w:t xml:space="preserve"> (CBD/SBSTTA/24/3 </w:t>
      </w:r>
      <w:r>
        <w:rPr>
          <w:kern w:val="18"/>
          <w:szCs w:val="18"/>
          <w:lang w:val="fr-FR"/>
        </w:rPr>
        <w:t xml:space="preserve">et </w:t>
      </w:r>
      <w:r w:rsidRPr="00F44FCA">
        <w:rPr>
          <w:kern w:val="18"/>
          <w:szCs w:val="18"/>
          <w:lang w:val="fr-FR"/>
        </w:rPr>
        <w:t>Add.1)</w:t>
      </w:r>
      <w:r>
        <w:rPr>
          <w:szCs w:val="18"/>
          <w:lang w:val="fr-FR"/>
        </w:rPr>
        <w:t>.</w:t>
      </w:r>
    </w:p>
  </w:footnote>
  <w:footnote w:id="13">
    <w:p w:rsidR="00747E00" w:rsidRPr="00F10E52" w:rsidRDefault="00747E00" w:rsidP="00684DF8">
      <w:pPr>
        <w:pStyle w:val="FootnoteText"/>
        <w:ind w:firstLine="0"/>
        <w:rPr>
          <w:lang w:val="fr-FR"/>
        </w:rPr>
      </w:pPr>
      <w:r w:rsidRPr="00684DF8">
        <w:rPr>
          <w:rStyle w:val="FootnoteReference"/>
          <w:u w:val="none"/>
          <w:vertAlign w:val="superscript"/>
        </w:rPr>
        <w:footnoteRef/>
      </w:r>
      <w:r>
        <w:rPr>
          <w:szCs w:val="18"/>
          <w:lang w:val="fr-FR"/>
        </w:rPr>
        <w:t xml:space="preserve"> </w:t>
      </w:r>
      <w:r w:rsidR="0071444A">
        <w:rPr>
          <w:szCs w:val="18"/>
          <w:lang w:val="fr-FR"/>
        </w:rPr>
        <w:t xml:space="preserve">Voir le </w:t>
      </w:r>
      <w:r w:rsidR="001945CD">
        <w:rPr>
          <w:szCs w:val="18"/>
          <w:lang w:val="fr-FR"/>
        </w:rPr>
        <w:t xml:space="preserve">document </w:t>
      </w:r>
      <w:bookmarkStart w:id="2" w:name="_GoBack"/>
      <w:bookmarkEnd w:id="2"/>
      <w:r>
        <w:rPr>
          <w:szCs w:val="18"/>
          <w:lang w:val="fr-FR"/>
        </w:rPr>
        <w:t>CBD/SBI/3/3/Add.1</w:t>
      </w:r>
      <w:r w:rsidR="008A053D">
        <w:rPr>
          <w:szCs w:val="18"/>
          <w:lang w:val="fr-FR"/>
        </w:rPr>
        <w:t>.</w:t>
      </w:r>
    </w:p>
  </w:footnote>
  <w:footnote w:id="14">
    <w:p w:rsidR="00747E00" w:rsidRPr="00F10E52" w:rsidRDefault="00747E00" w:rsidP="001452C7">
      <w:pPr>
        <w:pStyle w:val="FootnoteText"/>
        <w:ind w:firstLine="0"/>
        <w:rPr>
          <w:lang w:val="fr-FR"/>
        </w:rPr>
      </w:pPr>
      <w:r w:rsidRPr="001452C7">
        <w:rPr>
          <w:rStyle w:val="FootnoteReference"/>
          <w:u w:val="none"/>
          <w:vertAlign w:val="superscript"/>
        </w:rPr>
        <w:footnoteRef/>
      </w:r>
      <w:r>
        <w:rPr>
          <w:szCs w:val="18"/>
          <w:lang w:val="fr-FR"/>
        </w:rPr>
        <w:t xml:space="preserve"> BS-V/13, annexe et BS-VI/3, respectivement.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747E00" w:rsidRDefault="00747E00" w:rsidP="004C5BCC">
        <w:pPr>
          <w:pStyle w:val="Header"/>
          <w:keepLines/>
          <w:suppressLineNumbers/>
          <w:tabs>
            <w:tab w:val="clear" w:pos="4320"/>
            <w:tab w:val="clear" w:pos="8640"/>
          </w:tabs>
          <w:suppressAutoHyphens/>
          <w:spacing w:before="0" w:after="0"/>
          <w:jc w:val="left"/>
          <w:rPr>
            <w:noProof/>
            <w:kern w:val="22"/>
            <w:szCs w:val="22"/>
            <w:lang w:val="fr-FR"/>
          </w:rPr>
        </w:pPr>
        <w:r>
          <w:rPr>
            <w:noProof/>
            <w:kern w:val="22"/>
            <w:szCs w:val="22"/>
            <w:lang w:val="fr-FR"/>
          </w:rPr>
          <w:t>CBD/SBI/3/18</w:t>
        </w:r>
      </w:p>
    </w:sdtContent>
  </w:sdt>
  <w:p w:rsidR="00747E00" w:rsidRPr="004C106A" w:rsidRDefault="00747E00" w:rsidP="004C5BCC">
    <w:pPr>
      <w:pStyle w:val="Header"/>
      <w:keepLines/>
      <w:suppressLineNumbers/>
      <w:tabs>
        <w:tab w:val="clear" w:pos="4320"/>
        <w:tab w:val="clear" w:pos="8640"/>
      </w:tabs>
      <w:suppressAutoHyphens/>
      <w:spacing w:before="0" w:after="240"/>
      <w:jc w:val="left"/>
      <w:rPr>
        <w:noProof/>
        <w:kern w:val="22"/>
        <w:lang w:val="fr-CA"/>
      </w:rPr>
    </w:pPr>
    <w:r>
      <w:rPr>
        <w:noProof/>
        <w:kern w:val="22"/>
        <w:szCs w:val="22"/>
        <w:lang w:val="fr-FR"/>
      </w:rPr>
      <w:t xml:space="preserve">Page </w:t>
    </w:r>
    <w:r w:rsidRPr="004B200B">
      <w:rPr>
        <w:noProof/>
        <w:kern w:val="22"/>
      </w:rPr>
      <w:fldChar w:fldCharType="begin"/>
    </w:r>
    <w:r w:rsidRPr="004C106A">
      <w:rPr>
        <w:noProof/>
        <w:kern w:val="22"/>
        <w:lang w:val="fr-CA"/>
      </w:rPr>
      <w:instrText xml:space="preserve"> PAGE   \* MERGEFORMAT </w:instrText>
    </w:r>
    <w:r w:rsidRPr="004B200B">
      <w:rPr>
        <w:noProof/>
        <w:kern w:val="22"/>
      </w:rPr>
      <w:fldChar w:fldCharType="separate"/>
    </w:r>
    <w:r w:rsidR="003E7733">
      <w:rPr>
        <w:noProof/>
        <w:kern w:val="22"/>
        <w:lang w:val="fr-CA"/>
      </w:rPr>
      <w:t>2</w:t>
    </w:r>
    <w:r w:rsidRPr="004B200B">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747E00" w:rsidRDefault="00747E00" w:rsidP="005629B6">
        <w:pPr>
          <w:pStyle w:val="Header"/>
          <w:keepLines/>
          <w:suppressLineNumbers/>
          <w:tabs>
            <w:tab w:val="clear" w:pos="4320"/>
            <w:tab w:val="clear" w:pos="8640"/>
          </w:tabs>
          <w:suppressAutoHyphens/>
          <w:spacing w:before="0" w:after="0"/>
          <w:jc w:val="right"/>
          <w:rPr>
            <w:noProof/>
            <w:kern w:val="22"/>
            <w:szCs w:val="22"/>
            <w:lang w:val="fr-FR"/>
          </w:rPr>
        </w:pPr>
        <w:r>
          <w:rPr>
            <w:noProof/>
            <w:kern w:val="22"/>
            <w:szCs w:val="22"/>
            <w:lang w:val="fr-FR"/>
          </w:rPr>
          <w:t>CBD/SBI/3/18</w:t>
        </w:r>
      </w:p>
    </w:sdtContent>
  </w:sdt>
  <w:p w:rsidR="00747E00" w:rsidRPr="004C106A" w:rsidRDefault="00747E00" w:rsidP="005629B6">
    <w:pPr>
      <w:pStyle w:val="Header"/>
      <w:keepLines/>
      <w:suppressLineNumbers/>
      <w:tabs>
        <w:tab w:val="clear" w:pos="4320"/>
        <w:tab w:val="clear" w:pos="8640"/>
      </w:tabs>
      <w:suppressAutoHyphens/>
      <w:spacing w:before="0" w:after="240"/>
      <w:jc w:val="right"/>
      <w:rPr>
        <w:noProof/>
        <w:kern w:val="22"/>
        <w:lang w:val="fr-CA"/>
      </w:rPr>
    </w:pPr>
    <w:r>
      <w:rPr>
        <w:noProof/>
        <w:kern w:val="22"/>
        <w:szCs w:val="22"/>
        <w:lang w:val="fr-FR"/>
      </w:rPr>
      <w:t xml:space="preserve">Page </w:t>
    </w:r>
    <w:r w:rsidRPr="004B200B">
      <w:rPr>
        <w:noProof/>
        <w:kern w:val="22"/>
      </w:rPr>
      <w:fldChar w:fldCharType="begin"/>
    </w:r>
    <w:r w:rsidRPr="004C106A">
      <w:rPr>
        <w:noProof/>
        <w:kern w:val="22"/>
        <w:lang w:val="fr-CA"/>
      </w:rPr>
      <w:instrText xml:space="preserve"> PAGE   \* MERGEFORMAT </w:instrText>
    </w:r>
    <w:r w:rsidRPr="004B200B">
      <w:rPr>
        <w:noProof/>
        <w:kern w:val="22"/>
      </w:rPr>
      <w:fldChar w:fldCharType="separate"/>
    </w:r>
    <w:r w:rsidR="003E7733">
      <w:rPr>
        <w:noProof/>
        <w:kern w:val="22"/>
        <w:lang w:val="fr-CA"/>
      </w:rPr>
      <w:t>3</w:t>
    </w:r>
    <w:r w:rsidRPr="004B200B">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E00" w:rsidRDefault="00747E00" w:rsidP="0064236F">
    <w:pPr>
      <w:pStyle w:val="Header"/>
      <w:spacing w:before="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1CF"/>
    <w:multiLevelType w:val="hybridMultilevel"/>
    <w:tmpl w:val="5308F52C"/>
    <w:lvl w:ilvl="0" w:tplc="2A22D716">
      <w:start w:val="1"/>
      <w:numFmt w:val="upperLetter"/>
      <w:lvlText w:val="%1."/>
      <w:lvlJc w:val="left"/>
      <w:pPr>
        <w:ind w:left="720" w:hanging="360"/>
      </w:pPr>
      <w:rPr>
        <w:rFonts w:hint="default"/>
      </w:rPr>
    </w:lvl>
    <w:lvl w:ilvl="1" w:tplc="E1946B8E" w:tentative="1">
      <w:start w:val="1"/>
      <w:numFmt w:val="lowerLetter"/>
      <w:lvlText w:val="%2."/>
      <w:lvlJc w:val="left"/>
      <w:pPr>
        <w:ind w:left="1440" w:hanging="360"/>
      </w:pPr>
    </w:lvl>
    <w:lvl w:ilvl="2" w:tplc="8B54AF3E" w:tentative="1">
      <w:start w:val="1"/>
      <w:numFmt w:val="lowerRoman"/>
      <w:lvlText w:val="%3."/>
      <w:lvlJc w:val="right"/>
      <w:pPr>
        <w:ind w:left="2160" w:hanging="180"/>
      </w:pPr>
    </w:lvl>
    <w:lvl w:ilvl="3" w:tplc="5AF251B2" w:tentative="1">
      <w:start w:val="1"/>
      <w:numFmt w:val="decimal"/>
      <w:lvlText w:val="%4."/>
      <w:lvlJc w:val="left"/>
      <w:pPr>
        <w:ind w:left="2880" w:hanging="360"/>
      </w:pPr>
    </w:lvl>
    <w:lvl w:ilvl="4" w:tplc="81EE148E" w:tentative="1">
      <w:start w:val="1"/>
      <w:numFmt w:val="lowerLetter"/>
      <w:lvlText w:val="%5."/>
      <w:lvlJc w:val="left"/>
      <w:pPr>
        <w:ind w:left="3600" w:hanging="360"/>
      </w:pPr>
    </w:lvl>
    <w:lvl w:ilvl="5" w:tplc="D7EE4A8C" w:tentative="1">
      <w:start w:val="1"/>
      <w:numFmt w:val="lowerRoman"/>
      <w:lvlText w:val="%6."/>
      <w:lvlJc w:val="right"/>
      <w:pPr>
        <w:ind w:left="4320" w:hanging="180"/>
      </w:pPr>
    </w:lvl>
    <w:lvl w:ilvl="6" w:tplc="5A1A0CD2" w:tentative="1">
      <w:start w:val="1"/>
      <w:numFmt w:val="decimal"/>
      <w:lvlText w:val="%7."/>
      <w:lvlJc w:val="left"/>
      <w:pPr>
        <w:ind w:left="5040" w:hanging="360"/>
      </w:pPr>
    </w:lvl>
    <w:lvl w:ilvl="7" w:tplc="591CDA7E" w:tentative="1">
      <w:start w:val="1"/>
      <w:numFmt w:val="lowerLetter"/>
      <w:lvlText w:val="%8."/>
      <w:lvlJc w:val="left"/>
      <w:pPr>
        <w:ind w:left="5760" w:hanging="360"/>
      </w:pPr>
    </w:lvl>
    <w:lvl w:ilvl="8" w:tplc="AFA60774" w:tentative="1">
      <w:start w:val="1"/>
      <w:numFmt w:val="lowerRoman"/>
      <w:lvlText w:val="%9."/>
      <w:lvlJc w:val="right"/>
      <w:pPr>
        <w:ind w:left="6480" w:hanging="180"/>
      </w:pPr>
    </w:lvl>
  </w:abstractNum>
  <w:abstractNum w:abstractNumId="1" w15:restartNumberingAfterBreak="0">
    <w:nsid w:val="14E07C40"/>
    <w:multiLevelType w:val="hybridMultilevel"/>
    <w:tmpl w:val="F8D0C4E6"/>
    <w:lvl w:ilvl="0" w:tplc="9842A314">
      <w:start w:val="1"/>
      <w:numFmt w:val="lowerLetter"/>
      <w:lvlText w:val="(%1)"/>
      <w:lvlJc w:val="left"/>
      <w:pPr>
        <w:ind w:left="720" w:hanging="360"/>
      </w:pPr>
      <w:rPr>
        <w:rFonts w:hint="default"/>
      </w:rPr>
    </w:lvl>
    <w:lvl w:ilvl="1" w:tplc="A692D326" w:tentative="1">
      <w:start w:val="1"/>
      <w:numFmt w:val="lowerLetter"/>
      <w:lvlText w:val="%2."/>
      <w:lvlJc w:val="left"/>
      <w:pPr>
        <w:ind w:left="1440" w:hanging="360"/>
      </w:pPr>
    </w:lvl>
    <w:lvl w:ilvl="2" w:tplc="F65007D0" w:tentative="1">
      <w:start w:val="1"/>
      <w:numFmt w:val="lowerRoman"/>
      <w:lvlText w:val="%3."/>
      <w:lvlJc w:val="right"/>
      <w:pPr>
        <w:ind w:left="2160" w:hanging="180"/>
      </w:pPr>
    </w:lvl>
    <w:lvl w:ilvl="3" w:tplc="034823CC" w:tentative="1">
      <w:start w:val="1"/>
      <w:numFmt w:val="decimal"/>
      <w:lvlText w:val="%4."/>
      <w:lvlJc w:val="left"/>
      <w:pPr>
        <w:ind w:left="2880" w:hanging="360"/>
      </w:pPr>
    </w:lvl>
    <w:lvl w:ilvl="4" w:tplc="BE72922C" w:tentative="1">
      <w:start w:val="1"/>
      <w:numFmt w:val="lowerLetter"/>
      <w:lvlText w:val="%5."/>
      <w:lvlJc w:val="left"/>
      <w:pPr>
        <w:ind w:left="3600" w:hanging="360"/>
      </w:pPr>
    </w:lvl>
    <w:lvl w:ilvl="5" w:tplc="2496EA5C" w:tentative="1">
      <w:start w:val="1"/>
      <w:numFmt w:val="lowerRoman"/>
      <w:lvlText w:val="%6."/>
      <w:lvlJc w:val="right"/>
      <w:pPr>
        <w:ind w:left="4320" w:hanging="180"/>
      </w:pPr>
    </w:lvl>
    <w:lvl w:ilvl="6" w:tplc="5362679C" w:tentative="1">
      <w:start w:val="1"/>
      <w:numFmt w:val="decimal"/>
      <w:lvlText w:val="%7."/>
      <w:lvlJc w:val="left"/>
      <w:pPr>
        <w:ind w:left="5040" w:hanging="360"/>
      </w:pPr>
    </w:lvl>
    <w:lvl w:ilvl="7" w:tplc="2EFA82B6" w:tentative="1">
      <w:start w:val="1"/>
      <w:numFmt w:val="lowerLetter"/>
      <w:lvlText w:val="%8."/>
      <w:lvlJc w:val="left"/>
      <w:pPr>
        <w:ind w:left="5760" w:hanging="360"/>
      </w:pPr>
    </w:lvl>
    <w:lvl w:ilvl="8" w:tplc="22AEBE02" w:tentative="1">
      <w:start w:val="1"/>
      <w:numFmt w:val="lowerRoman"/>
      <w:lvlText w:val="%9."/>
      <w:lvlJc w:val="right"/>
      <w:pPr>
        <w:ind w:left="6480" w:hanging="180"/>
      </w:pPr>
    </w:lvl>
  </w:abstractNum>
  <w:abstractNum w:abstractNumId="2" w15:restartNumberingAfterBreak="0">
    <w:nsid w:val="16433356"/>
    <w:multiLevelType w:val="hybridMultilevel"/>
    <w:tmpl w:val="C2747BB4"/>
    <w:lvl w:ilvl="0" w:tplc="A1AA5F78">
      <w:start w:val="1"/>
      <w:numFmt w:val="decimal"/>
      <w:lvlText w:val="%1."/>
      <w:lvlJc w:val="left"/>
      <w:pPr>
        <w:ind w:left="720" w:hanging="360"/>
      </w:pPr>
      <w:rPr>
        <w:rFonts w:hint="default"/>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0A154C"/>
    <w:multiLevelType w:val="hybridMultilevel"/>
    <w:tmpl w:val="6762B1B0"/>
    <w:lvl w:ilvl="0" w:tplc="BE6606D2">
      <w:start w:val="1"/>
      <w:numFmt w:val="lowerLetter"/>
      <w:lvlText w:val="(%1)"/>
      <w:lvlJc w:val="left"/>
      <w:pPr>
        <w:ind w:left="720" w:hanging="360"/>
      </w:pPr>
      <w:rPr>
        <w:rFonts w:hint="default"/>
      </w:rPr>
    </w:lvl>
    <w:lvl w:ilvl="1" w:tplc="19669F5E" w:tentative="1">
      <w:start w:val="1"/>
      <w:numFmt w:val="lowerLetter"/>
      <w:lvlText w:val="%2."/>
      <w:lvlJc w:val="left"/>
      <w:pPr>
        <w:ind w:left="1440" w:hanging="360"/>
      </w:pPr>
    </w:lvl>
    <w:lvl w:ilvl="2" w:tplc="573890C6" w:tentative="1">
      <w:start w:val="1"/>
      <w:numFmt w:val="lowerRoman"/>
      <w:lvlText w:val="%3."/>
      <w:lvlJc w:val="right"/>
      <w:pPr>
        <w:ind w:left="2160" w:hanging="180"/>
      </w:pPr>
    </w:lvl>
    <w:lvl w:ilvl="3" w:tplc="96DE5584" w:tentative="1">
      <w:start w:val="1"/>
      <w:numFmt w:val="decimal"/>
      <w:lvlText w:val="%4."/>
      <w:lvlJc w:val="left"/>
      <w:pPr>
        <w:ind w:left="2880" w:hanging="360"/>
      </w:pPr>
    </w:lvl>
    <w:lvl w:ilvl="4" w:tplc="03D69D84" w:tentative="1">
      <w:start w:val="1"/>
      <w:numFmt w:val="lowerLetter"/>
      <w:lvlText w:val="%5."/>
      <w:lvlJc w:val="left"/>
      <w:pPr>
        <w:ind w:left="3600" w:hanging="360"/>
      </w:pPr>
    </w:lvl>
    <w:lvl w:ilvl="5" w:tplc="6E02A7CE" w:tentative="1">
      <w:start w:val="1"/>
      <w:numFmt w:val="lowerRoman"/>
      <w:lvlText w:val="%6."/>
      <w:lvlJc w:val="right"/>
      <w:pPr>
        <w:ind w:left="4320" w:hanging="180"/>
      </w:pPr>
    </w:lvl>
    <w:lvl w:ilvl="6" w:tplc="27DC7EA0" w:tentative="1">
      <w:start w:val="1"/>
      <w:numFmt w:val="decimal"/>
      <w:lvlText w:val="%7."/>
      <w:lvlJc w:val="left"/>
      <w:pPr>
        <w:ind w:left="5040" w:hanging="360"/>
      </w:pPr>
    </w:lvl>
    <w:lvl w:ilvl="7" w:tplc="5C0C936C" w:tentative="1">
      <w:start w:val="1"/>
      <w:numFmt w:val="lowerLetter"/>
      <w:lvlText w:val="%8."/>
      <w:lvlJc w:val="left"/>
      <w:pPr>
        <w:ind w:left="5760" w:hanging="360"/>
      </w:pPr>
    </w:lvl>
    <w:lvl w:ilvl="8" w:tplc="368AB53C" w:tentative="1">
      <w:start w:val="1"/>
      <w:numFmt w:val="lowerRoman"/>
      <w:lvlText w:val="%9."/>
      <w:lvlJc w:val="right"/>
      <w:pPr>
        <w:ind w:left="6480" w:hanging="180"/>
      </w:pPr>
    </w:lvl>
  </w:abstractNum>
  <w:abstractNum w:abstractNumId="5" w15:restartNumberingAfterBreak="0">
    <w:nsid w:val="3DDE2ED4"/>
    <w:multiLevelType w:val="hybridMultilevel"/>
    <w:tmpl w:val="852ECF1A"/>
    <w:lvl w:ilvl="0" w:tplc="EDCEA198">
      <w:start w:val="2"/>
      <w:numFmt w:val="upperRoman"/>
      <w:lvlText w:val="%1."/>
      <w:lvlJc w:val="left"/>
      <w:pPr>
        <w:ind w:left="1080" w:hanging="720"/>
      </w:pPr>
      <w:rPr>
        <w:rFonts w:hint="default"/>
      </w:rPr>
    </w:lvl>
    <w:lvl w:ilvl="1" w:tplc="BE0C481A" w:tentative="1">
      <w:start w:val="1"/>
      <w:numFmt w:val="lowerLetter"/>
      <w:lvlText w:val="%2."/>
      <w:lvlJc w:val="left"/>
      <w:pPr>
        <w:ind w:left="1440" w:hanging="360"/>
      </w:pPr>
    </w:lvl>
    <w:lvl w:ilvl="2" w:tplc="926489A0" w:tentative="1">
      <w:start w:val="1"/>
      <w:numFmt w:val="lowerRoman"/>
      <w:lvlText w:val="%3."/>
      <w:lvlJc w:val="right"/>
      <w:pPr>
        <w:ind w:left="2160" w:hanging="180"/>
      </w:pPr>
    </w:lvl>
    <w:lvl w:ilvl="3" w:tplc="5F36FA70" w:tentative="1">
      <w:start w:val="1"/>
      <w:numFmt w:val="decimal"/>
      <w:lvlText w:val="%4."/>
      <w:lvlJc w:val="left"/>
      <w:pPr>
        <w:ind w:left="2880" w:hanging="360"/>
      </w:pPr>
    </w:lvl>
    <w:lvl w:ilvl="4" w:tplc="5C8CFF10" w:tentative="1">
      <w:start w:val="1"/>
      <w:numFmt w:val="lowerLetter"/>
      <w:lvlText w:val="%5."/>
      <w:lvlJc w:val="left"/>
      <w:pPr>
        <w:ind w:left="3600" w:hanging="360"/>
      </w:pPr>
    </w:lvl>
    <w:lvl w:ilvl="5" w:tplc="CAFE12E4" w:tentative="1">
      <w:start w:val="1"/>
      <w:numFmt w:val="lowerRoman"/>
      <w:lvlText w:val="%6."/>
      <w:lvlJc w:val="right"/>
      <w:pPr>
        <w:ind w:left="4320" w:hanging="180"/>
      </w:pPr>
    </w:lvl>
    <w:lvl w:ilvl="6" w:tplc="375061E6" w:tentative="1">
      <w:start w:val="1"/>
      <w:numFmt w:val="decimal"/>
      <w:lvlText w:val="%7."/>
      <w:lvlJc w:val="left"/>
      <w:pPr>
        <w:ind w:left="5040" w:hanging="360"/>
      </w:pPr>
    </w:lvl>
    <w:lvl w:ilvl="7" w:tplc="38BC0C22" w:tentative="1">
      <w:start w:val="1"/>
      <w:numFmt w:val="lowerLetter"/>
      <w:lvlText w:val="%8."/>
      <w:lvlJc w:val="left"/>
      <w:pPr>
        <w:ind w:left="5760" w:hanging="360"/>
      </w:pPr>
    </w:lvl>
    <w:lvl w:ilvl="8" w:tplc="D4CA0960" w:tentative="1">
      <w:start w:val="1"/>
      <w:numFmt w:val="lowerRoman"/>
      <w:lvlText w:val="%9."/>
      <w:lvlJc w:val="right"/>
      <w:pPr>
        <w:ind w:left="6480" w:hanging="180"/>
      </w:pPr>
    </w:lvl>
  </w:abstractNum>
  <w:abstractNum w:abstractNumId="6" w15:restartNumberingAfterBreak="0">
    <w:nsid w:val="3E20042E"/>
    <w:multiLevelType w:val="hybridMultilevel"/>
    <w:tmpl w:val="CA9A1CEA"/>
    <w:lvl w:ilvl="0" w:tplc="3F4825E4">
      <w:start w:val="1"/>
      <w:numFmt w:val="upperLetter"/>
      <w:lvlText w:val="%1."/>
      <w:lvlJc w:val="left"/>
      <w:pPr>
        <w:ind w:left="720" w:hanging="360"/>
      </w:pPr>
      <w:rPr>
        <w:rFonts w:hint="default"/>
      </w:rPr>
    </w:lvl>
    <w:lvl w:ilvl="1" w:tplc="12603334" w:tentative="1">
      <w:start w:val="1"/>
      <w:numFmt w:val="lowerLetter"/>
      <w:lvlText w:val="%2."/>
      <w:lvlJc w:val="left"/>
      <w:pPr>
        <w:ind w:left="1440" w:hanging="360"/>
      </w:pPr>
    </w:lvl>
    <w:lvl w:ilvl="2" w:tplc="D0DC28F4" w:tentative="1">
      <w:start w:val="1"/>
      <w:numFmt w:val="lowerRoman"/>
      <w:lvlText w:val="%3."/>
      <w:lvlJc w:val="right"/>
      <w:pPr>
        <w:ind w:left="2160" w:hanging="180"/>
      </w:pPr>
    </w:lvl>
    <w:lvl w:ilvl="3" w:tplc="77E85FB2" w:tentative="1">
      <w:start w:val="1"/>
      <w:numFmt w:val="decimal"/>
      <w:lvlText w:val="%4."/>
      <w:lvlJc w:val="left"/>
      <w:pPr>
        <w:ind w:left="2880" w:hanging="360"/>
      </w:pPr>
    </w:lvl>
    <w:lvl w:ilvl="4" w:tplc="A094C12C" w:tentative="1">
      <w:start w:val="1"/>
      <w:numFmt w:val="lowerLetter"/>
      <w:lvlText w:val="%5."/>
      <w:lvlJc w:val="left"/>
      <w:pPr>
        <w:ind w:left="3600" w:hanging="360"/>
      </w:pPr>
    </w:lvl>
    <w:lvl w:ilvl="5" w:tplc="3CDC5154" w:tentative="1">
      <w:start w:val="1"/>
      <w:numFmt w:val="lowerRoman"/>
      <w:lvlText w:val="%6."/>
      <w:lvlJc w:val="right"/>
      <w:pPr>
        <w:ind w:left="4320" w:hanging="180"/>
      </w:pPr>
    </w:lvl>
    <w:lvl w:ilvl="6" w:tplc="625835B2" w:tentative="1">
      <w:start w:val="1"/>
      <w:numFmt w:val="decimal"/>
      <w:lvlText w:val="%7."/>
      <w:lvlJc w:val="left"/>
      <w:pPr>
        <w:ind w:left="5040" w:hanging="360"/>
      </w:pPr>
    </w:lvl>
    <w:lvl w:ilvl="7" w:tplc="43D4718C" w:tentative="1">
      <w:start w:val="1"/>
      <w:numFmt w:val="lowerLetter"/>
      <w:lvlText w:val="%8."/>
      <w:lvlJc w:val="left"/>
      <w:pPr>
        <w:ind w:left="5760" w:hanging="360"/>
      </w:pPr>
    </w:lvl>
    <w:lvl w:ilvl="8" w:tplc="7B061C9A" w:tentative="1">
      <w:start w:val="1"/>
      <w:numFmt w:val="lowerRoman"/>
      <w:lvlText w:val="%9."/>
      <w:lvlJc w:val="right"/>
      <w:pPr>
        <w:ind w:left="6480" w:hanging="180"/>
      </w:pPr>
    </w:lvl>
  </w:abstractNum>
  <w:abstractNum w:abstractNumId="7" w15:restartNumberingAfterBreak="0">
    <w:nsid w:val="442A4764"/>
    <w:multiLevelType w:val="hybridMultilevel"/>
    <w:tmpl w:val="7A300D02"/>
    <w:lvl w:ilvl="0" w:tplc="1C4622CA">
      <w:start w:val="1"/>
      <w:numFmt w:val="upperRoman"/>
      <w:lvlText w:val="%1."/>
      <w:lvlJc w:val="right"/>
      <w:pPr>
        <w:ind w:left="1080" w:hanging="360"/>
      </w:pPr>
    </w:lvl>
    <w:lvl w:ilvl="1" w:tplc="1E562FB2" w:tentative="1">
      <w:start w:val="1"/>
      <w:numFmt w:val="lowerLetter"/>
      <w:lvlText w:val="%2."/>
      <w:lvlJc w:val="left"/>
      <w:pPr>
        <w:ind w:left="1800" w:hanging="360"/>
      </w:pPr>
    </w:lvl>
    <w:lvl w:ilvl="2" w:tplc="42008D24" w:tentative="1">
      <w:start w:val="1"/>
      <w:numFmt w:val="lowerRoman"/>
      <w:lvlText w:val="%3."/>
      <w:lvlJc w:val="right"/>
      <w:pPr>
        <w:ind w:left="2520" w:hanging="180"/>
      </w:pPr>
    </w:lvl>
    <w:lvl w:ilvl="3" w:tplc="3E3E348E" w:tentative="1">
      <w:start w:val="1"/>
      <w:numFmt w:val="decimal"/>
      <w:lvlText w:val="%4."/>
      <w:lvlJc w:val="left"/>
      <w:pPr>
        <w:ind w:left="3240" w:hanging="360"/>
      </w:pPr>
    </w:lvl>
    <w:lvl w:ilvl="4" w:tplc="7BF02104" w:tentative="1">
      <w:start w:val="1"/>
      <w:numFmt w:val="lowerLetter"/>
      <w:lvlText w:val="%5."/>
      <w:lvlJc w:val="left"/>
      <w:pPr>
        <w:ind w:left="3960" w:hanging="360"/>
      </w:pPr>
    </w:lvl>
    <w:lvl w:ilvl="5" w:tplc="E736936C" w:tentative="1">
      <w:start w:val="1"/>
      <w:numFmt w:val="lowerRoman"/>
      <w:lvlText w:val="%6."/>
      <w:lvlJc w:val="right"/>
      <w:pPr>
        <w:ind w:left="4680" w:hanging="180"/>
      </w:pPr>
    </w:lvl>
    <w:lvl w:ilvl="6" w:tplc="0DA60FB6" w:tentative="1">
      <w:start w:val="1"/>
      <w:numFmt w:val="decimal"/>
      <w:lvlText w:val="%7."/>
      <w:lvlJc w:val="left"/>
      <w:pPr>
        <w:ind w:left="5400" w:hanging="360"/>
      </w:pPr>
    </w:lvl>
    <w:lvl w:ilvl="7" w:tplc="3012ADE8" w:tentative="1">
      <w:start w:val="1"/>
      <w:numFmt w:val="lowerLetter"/>
      <w:lvlText w:val="%8."/>
      <w:lvlJc w:val="left"/>
      <w:pPr>
        <w:ind w:left="6120" w:hanging="360"/>
      </w:pPr>
    </w:lvl>
    <w:lvl w:ilvl="8" w:tplc="1CD8FFA8" w:tentative="1">
      <w:start w:val="1"/>
      <w:numFmt w:val="lowerRoman"/>
      <w:lvlText w:val="%9."/>
      <w:lvlJc w:val="right"/>
      <w:pPr>
        <w:ind w:left="6840" w:hanging="180"/>
      </w:pPr>
    </w:lvl>
  </w:abstractNum>
  <w:abstractNum w:abstractNumId="8" w15:restartNumberingAfterBreak="0">
    <w:nsid w:val="48082E0C"/>
    <w:multiLevelType w:val="hybridMultilevel"/>
    <w:tmpl w:val="9C2CB22C"/>
    <w:lvl w:ilvl="0" w:tplc="13A62E76">
      <w:start w:val="1"/>
      <w:numFmt w:val="upperLetter"/>
      <w:lvlText w:val="%1."/>
      <w:lvlJc w:val="left"/>
      <w:pPr>
        <w:ind w:left="720" w:hanging="360"/>
      </w:pPr>
    </w:lvl>
    <w:lvl w:ilvl="1" w:tplc="C4EE92B4" w:tentative="1">
      <w:start w:val="1"/>
      <w:numFmt w:val="lowerLetter"/>
      <w:lvlText w:val="%2."/>
      <w:lvlJc w:val="left"/>
      <w:pPr>
        <w:ind w:left="1440" w:hanging="360"/>
      </w:pPr>
    </w:lvl>
    <w:lvl w:ilvl="2" w:tplc="65F0269A" w:tentative="1">
      <w:start w:val="1"/>
      <w:numFmt w:val="lowerRoman"/>
      <w:lvlText w:val="%3."/>
      <w:lvlJc w:val="right"/>
      <w:pPr>
        <w:ind w:left="2160" w:hanging="180"/>
      </w:pPr>
    </w:lvl>
    <w:lvl w:ilvl="3" w:tplc="4BBCD24C" w:tentative="1">
      <w:start w:val="1"/>
      <w:numFmt w:val="decimal"/>
      <w:lvlText w:val="%4."/>
      <w:lvlJc w:val="left"/>
      <w:pPr>
        <w:ind w:left="2880" w:hanging="360"/>
      </w:pPr>
    </w:lvl>
    <w:lvl w:ilvl="4" w:tplc="2CCE47B4" w:tentative="1">
      <w:start w:val="1"/>
      <w:numFmt w:val="lowerLetter"/>
      <w:lvlText w:val="%5."/>
      <w:lvlJc w:val="left"/>
      <w:pPr>
        <w:ind w:left="3600" w:hanging="360"/>
      </w:pPr>
    </w:lvl>
    <w:lvl w:ilvl="5" w:tplc="14DC8876" w:tentative="1">
      <w:start w:val="1"/>
      <w:numFmt w:val="lowerRoman"/>
      <w:lvlText w:val="%6."/>
      <w:lvlJc w:val="right"/>
      <w:pPr>
        <w:ind w:left="4320" w:hanging="180"/>
      </w:pPr>
    </w:lvl>
    <w:lvl w:ilvl="6" w:tplc="9998E536" w:tentative="1">
      <w:start w:val="1"/>
      <w:numFmt w:val="decimal"/>
      <w:lvlText w:val="%7."/>
      <w:lvlJc w:val="left"/>
      <w:pPr>
        <w:ind w:left="5040" w:hanging="360"/>
      </w:pPr>
    </w:lvl>
    <w:lvl w:ilvl="7" w:tplc="D01E8F84" w:tentative="1">
      <w:start w:val="1"/>
      <w:numFmt w:val="lowerLetter"/>
      <w:lvlText w:val="%8."/>
      <w:lvlJc w:val="left"/>
      <w:pPr>
        <w:ind w:left="5760" w:hanging="360"/>
      </w:pPr>
    </w:lvl>
    <w:lvl w:ilvl="8" w:tplc="5DB66200"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7C49F2"/>
    <w:multiLevelType w:val="hybridMultilevel"/>
    <w:tmpl w:val="1EF88A7C"/>
    <w:lvl w:ilvl="0" w:tplc="7BA019AC">
      <w:start w:val="1"/>
      <w:numFmt w:val="decimal"/>
      <w:lvlText w:val="%1."/>
      <w:lvlJc w:val="left"/>
      <w:pPr>
        <w:ind w:left="2574" w:hanging="360"/>
      </w:pPr>
    </w:lvl>
    <w:lvl w:ilvl="1" w:tplc="5B74CFE8" w:tentative="1">
      <w:start w:val="1"/>
      <w:numFmt w:val="lowerLetter"/>
      <w:lvlText w:val="%2."/>
      <w:lvlJc w:val="left"/>
      <w:pPr>
        <w:ind w:left="3294" w:hanging="360"/>
      </w:pPr>
    </w:lvl>
    <w:lvl w:ilvl="2" w:tplc="B67E93AE" w:tentative="1">
      <w:start w:val="1"/>
      <w:numFmt w:val="lowerRoman"/>
      <w:lvlText w:val="%3."/>
      <w:lvlJc w:val="right"/>
      <w:pPr>
        <w:ind w:left="4014" w:hanging="180"/>
      </w:pPr>
    </w:lvl>
    <w:lvl w:ilvl="3" w:tplc="1C787CB0" w:tentative="1">
      <w:start w:val="1"/>
      <w:numFmt w:val="decimal"/>
      <w:lvlText w:val="%4."/>
      <w:lvlJc w:val="left"/>
      <w:pPr>
        <w:ind w:left="4734" w:hanging="360"/>
      </w:pPr>
    </w:lvl>
    <w:lvl w:ilvl="4" w:tplc="F74CD4EE" w:tentative="1">
      <w:start w:val="1"/>
      <w:numFmt w:val="lowerLetter"/>
      <w:lvlText w:val="%5."/>
      <w:lvlJc w:val="left"/>
      <w:pPr>
        <w:ind w:left="5454" w:hanging="360"/>
      </w:pPr>
    </w:lvl>
    <w:lvl w:ilvl="5" w:tplc="5CBE4B08" w:tentative="1">
      <w:start w:val="1"/>
      <w:numFmt w:val="lowerRoman"/>
      <w:lvlText w:val="%6."/>
      <w:lvlJc w:val="right"/>
      <w:pPr>
        <w:ind w:left="6174" w:hanging="180"/>
      </w:pPr>
    </w:lvl>
    <w:lvl w:ilvl="6" w:tplc="E550C84E" w:tentative="1">
      <w:start w:val="1"/>
      <w:numFmt w:val="decimal"/>
      <w:lvlText w:val="%7."/>
      <w:lvlJc w:val="left"/>
      <w:pPr>
        <w:ind w:left="6894" w:hanging="360"/>
      </w:pPr>
    </w:lvl>
    <w:lvl w:ilvl="7" w:tplc="FF924ABC" w:tentative="1">
      <w:start w:val="1"/>
      <w:numFmt w:val="lowerLetter"/>
      <w:lvlText w:val="%8."/>
      <w:lvlJc w:val="left"/>
      <w:pPr>
        <w:ind w:left="7614" w:hanging="360"/>
      </w:pPr>
    </w:lvl>
    <w:lvl w:ilvl="8" w:tplc="8EF6D6AA" w:tentative="1">
      <w:start w:val="1"/>
      <w:numFmt w:val="lowerRoman"/>
      <w:lvlText w:val="%9."/>
      <w:lvlJc w:val="right"/>
      <w:pPr>
        <w:ind w:left="8334" w:hanging="180"/>
      </w:pPr>
    </w:lvl>
  </w:abstractNum>
  <w:abstractNum w:abstractNumId="11" w15:restartNumberingAfterBreak="0">
    <w:nsid w:val="6ED82968"/>
    <w:multiLevelType w:val="hybridMultilevel"/>
    <w:tmpl w:val="FE162F2C"/>
    <w:lvl w:ilvl="0" w:tplc="E8EEA96A">
      <w:start w:val="1"/>
      <w:numFmt w:val="bullet"/>
      <w:pStyle w:val="CBD-Doc"/>
      <w:lvlText w:val=""/>
      <w:lvlJc w:val="left"/>
      <w:pPr>
        <w:tabs>
          <w:tab w:val="num" w:pos="567"/>
        </w:tabs>
        <w:ind w:left="567" w:hanging="567"/>
      </w:pPr>
      <w:rPr>
        <w:rFonts w:ascii="Symbol" w:hAnsi="Symbol" w:hint="default"/>
      </w:rPr>
    </w:lvl>
    <w:lvl w:ilvl="1" w:tplc="BE2046B6" w:tentative="1">
      <w:start w:val="1"/>
      <w:numFmt w:val="bullet"/>
      <w:lvlText w:val="o"/>
      <w:lvlJc w:val="left"/>
      <w:pPr>
        <w:tabs>
          <w:tab w:val="num" w:pos="1440"/>
        </w:tabs>
        <w:ind w:left="1440" w:hanging="360"/>
      </w:pPr>
      <w:rPr>
        <w:rFonts w:ascii="Courier New" w:hAnsi="Courier New" w:cs="Courier New" w:hint="default"/>
      </w:rPr>
    </w:lvl>
    <w:lvl w:ilvl="2" w:tplc="314EE668" w:tentative="1">
      <w:start w:val="1"/>
      <w:numFmt w:val="bullet"/>
      <w:lvlText w:val=""/>
      <w:lvlJc w:val="left"/>
      <w:pPr>
        <w:tabs>
          <w:tab w:val="num" w:pos="2160"/>
        </w:tabs>
        <w:ind w:left="2160" w:hanging="360"/>
      </w:pPr>
      <w:rPr>
        <w:rFonts w:ascii="Wingdings" w:hAnsi="Wingdings" w:hint="default"/>
      </w:rPr>
    </w:lvl>
    <w:lvl w:ilvl="3" w:tplc="C41E4568" w:tentative="1">
      <w:start w:val="1"/>
      <w:numFmt w:val="bullet"/>
      <w:lvlText w:val=""/>
      <w:lvlJc w:val="left"/>
      <w:pPr>
        <w:tabs>
          <w:tab w:val="num" w:pos="2880"/>
        </w:tabs>
        <w:ind w:left="2880" w:hanging="360"/>
      </w:pPr>
      <w:rPr>
        <w:rFonts w:ascii="Symbol" w:hAnsi="Symbol" w:hint="default"/>
      </w:rPr>
    </w:lvl>
    <w:lvl w:ilvl="4" w:tplc="25C44B66" w:tentative="1">
      <w:start w:val="1"/>
      <w:numFmt w:val="bullet"/>
      <w:lvlText w:val="o"/>
      <w:lvlJc w:val="left"/>
      <w:pPr>
        <w:tabs>
          <w:tab w:val="num" w:pos="3600"/>
        </w:tabs>
        <w:ind w:left="3600" w:hanging="360"/>
      </w:pPr>
      <w:rPr>
        <w:rFonts w:ascii="Courier New" w:hAnsi="Courier New" w:cs="Courier New" w:hint="default"/>
      </w:rPr>
    </w:lvl>
    <w:lvl w:ilvl="5" w:tplc="012650A8" w:tentative="1">
      <w:start w:val="1"/>
      <w:numFmt w:val="bullet"/>
      <w:lvlText w:val=""/>
      <w:lvlJc w:val="left"/>
      <w:pPr>
        <w:tabs>
          <w:tab w:val="num" w:pos="4320"/>
        </w:tabs>
        <w:ind w:left="4320" w:hanging="360"/>
      </w:pPr>
      <w:rPr>
        <w:rFonts w:ascii="Wingdings" w:hAnsi="Wingdings" w:hint="default"/>
      </w:rPr>
    </w:lvl>
    <w:lvl w:ilvl="6" w:tplc="D7E85E2E" w:tentative="1">
      <w:start w:val="1"/>
      <w:numFmt w:val="bullet"/>
      <w:lvlText w:val=""/>
      <w:lvlJc w:val="left"/>
      <w:pPr>
        <w:tabs>
          <w:tab w:val="num" w:pos="5040"/>
        </w:tabs>
        <w:ind w:left="5040" w:hanging="360"/>
      </w:pPr>
      <w:rPr>
        <w:rFonts w:ascii="Symbol" w:hAnsi="Symbol" w:hint="default"/>
      </w:rPr>
    </w:lvl>
    <w:lvl w:ilvl="7" w:tplc="69984392" w:tentative="1">
      <w:start w:val="1"/>
      <w:numFmt w:val="bullet"/>
      <w:lvlText w:val="o"/>
      <w:lvlJc w:val="left"/>
      <w:pPr>
        <w:tabs>
          <w:tab w:val="num" w:pos="5760"/>
        </w:tabs>
        <w:ind w:left="5760" w:hanging="360"/>
      </w:pPr>
      <w:rPr>
        <w:rFonts w:ascii="Courier New" w:hAnsi="Courier New" w:cs="Courier New" w:hint="default"/>
      </w:rPr>
    </w:lvl>
    <w:lvl w:ilvl="8" w:tplc="A17C81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F06E2B"/>
    <w:multiLevelType w:val="hybridMultilevel"/>
    <w:tmpl w:val="8A38FDBC"/>
    <w:lvl w:ilvl="0" w:tplc="3DD20F4C">
      <w:start w:val="1"/>
      <w:numFmt w:val="lowerLetter"/>
      <w:lvlText w:val="(%1)"/>
      <w:lvlJc w:val="left"/>
      <w:pPr>
        <w:ind w:left="720" w:hanging="360"/>
      </w:pPr>
      <w:rPr>
        <w:rFonts w:hint="default"/>
        <w:b/>
      </w:rPr>
    </w:lvl>
    <w:lvl w:ilvl="1" w:tplc="2A9629B2" w:tentative="1">
      <w:start w:val="1"/>
      <w:numFmt w:val="lowerLetter"/>
      <w:lvlText w:val="%2."/>
      <w:lvlJc w:val="left"/>
      <w:pPr>
        <w:ind w:left="1440" w:hanging="360"/>
      </w:pPr>
    </w:lvl>
    <w:lvl w:ilvl="2" w:tplc="048A827C" w:tentative="1">
      <w:start w:val="1"/>
      <w:numFmt w:val="lowerRoman"/>
      <w:lvlText w:val="%3."/>
      <w:lvlJc w:val="right"/>
      <w:pPr>
        <w:ind w:left="2160" w:hanging="180"/>
      </w:pPr>
    </w:lvl>
    <w:lvl w:ilvl="3" w:tplc="2D06C488" w:tentative="1">
      <w:start w:val="1"/>
      <w:numFmt w:val="decimal"/>
      <w:lvlText w:val="%4."/>
      <w:lvlJc w:val="left"/>
      <w:pPr>
        <w:ind w:left="2880" w:hanging="360"/>
      </w:pPr>
    </w:lvl>
    <w:lvl w:ilvl="4" w:tplc="438EEAFE" w:tentative="1">
      <w:start w:val="1"/>
      <w:numFmt w:val="lowerLetter"/>
      <w:lvlText w:val="%5."/>
      <w:lvlJc w:val="left"/>
      <w:pPr>
        <w:ind w:left="3600" w:hanging="360"/>
      </w:pPr>
    </w:lvl>
    <w:lvl w:ilvl="5" w:tplc="B8EA6B06" w:tentative="1">
      <w:start w:val="1"/>
      <w:numFmt w:val="lowerRoman"/>
      <w:lvlText w:val="%6."/>
      <w:lvlJc w:val="right"/>
      <w:pPr>
        <w:ind w:left="4320" w:hanging="180"/>
      </w:pPr>
    </w:lvl>
    <w:lvl w:ilvl="6" w:tplc="306E7BE0" w:tentative="1">
      <w:start w:val="1"/>
      <w:numFmt w:val="decimal"/>
      <w:lvlText w:val="%7."/>
      <w:lvlJc w:val="left"/>
      <w:pPr>
        <w:ind w:left="5040" w:hanging="360"/>
      </w:pPr>
    </w:lvl>
    <w:lvl w:ilvl="7" w:tplc="9E78CB2A" w:tentative="1">
      <w:start w:val="1"/>
      <w:numFmt w:val="lowerLetter"/>
      <w:lvlText w:val="%8."/>
      <w:lvlJc w:val="left"/>
      <w:pPr>
        <w:ind w:left="5760" w:hanging="360"/>
      </w:pPr>
    </w:lvl>
    <w:lvl w:ilvl="8" w:tplc="C388E5C8" w:tentative="1">
      <w:start w:val="1"/>
      <w:numFmt w:val="lowerRoman"/>
      <w:lvlText w:val="%9."/>
      <w:lvlJc w:val="right"/>
      <w:pPr>
        <w:ind w:left="6480" w:hanging="180"/>
      </w:pPr>
    </w:lvl>
  </w:abstractNum>
  <w:abstractNum w:abstractNumId="14" w15:restartNumberingAfterBreak="0">
    <w:nsid w:val="76AE5095"/>
    <w:multiLevelType w:val="hybridMultilevel"/>
    <w:tmpl w:val="4118BB80"/>
    <w:lvl w:ilvl="0" w:tplc="EFFE782C">
      <w:start w:val="1"/>
      <w:numFmt w:val="upperLetter"/>
      <w:lvlText w:val="%1."/>
      <w:lvlJc w:val="left"/>
      <w:pPr>
        <w:ind w:left="720" w:hanging="360"/>
      </w:pPr>
      <w:rPr>
        <w:i w:val="0"/>
        <w:iCs/>
      </w:rPr>
    </w:lvl>
    <w:lvl w:ilvl="1" w:tplc="9B8607C8" w:tentative="1">
      <w:start w:val="1"/>
      <w:numFmt w:val="lowerLetter"/>
      <w:lvlText w:val="%2."/>
      <w:lvlJc w:val="left"/>
      <w:pPr>
        <w:ind w:left="1440" w:hanging="360"/>
      </w:pPr>
    </w:lvl>
    <w:lvl w:ilvl="2" w:tplc="BFEC36E6" w:tentative="1">
      <w:start w:val="1"/>
      <w:numFmt w:val="lowerRoman"/>
      <w:lvlText w:val="%3."/>
      <w:lvlJc w:val="right"/>
      <w:pPr>
        <w:ind w:left="2160" w:hanging="180"/>
      </w:pPr>
    </w:lvl>
    <w:lvl w:ilvl="3" w:tplc="8DBCEEFE" w:tentative="1">
      <w:start w:val="1"/>
      <w:numFmt w:val="decimal"/>
      <w:lvlText w:val="%4."/>
      <w:lvlJc w:val="left"/>
      <w:pPr>
        <w:ind w:left="2880" w:hanging="360"/>
      </w:pPr>
    </w:lvl>
    <w:lvl w:ilvl="4" w:tplc="3084A5B2" w:tentative="1">
      <w:start w:val="1"/>
      <w:numFmt w:val="lowerLetter"/>
      <w:lvlText w:val="%5."/>
      <w:lvlJc w:val="left"/>
      <w:pPr>
        <w:ind w:left="3600" w:hanging="360"/>
      </w:pPr>
    </w:lvl>
    <w:lvl w:ilvl="5" w:tplc="0AA0EC50" w:tentative="1">
      <w:start w:val="1"/>
      <w:numFmt w:val="lowerRoman"/>
      <w:lvlText w:val="%6."/>
      <w:lvlJc w:val="right"/>
      <w:pPr>
        <w:ind w:left="4320" w:hanging="180"/>
      </w:pPr>
    </w:lvl>
    <w:lvl w:ilvl="6" w:tplc="4C221E16" w:tentative="1">
      <w:start w:val="1"/>
      <w:numFmt w:val="decimal"/>
      <w:lvlText w:val="%7."/>
      <w:lvlJc w:val="left"/>
      <w:pPr>
        <w:ind w:left="5040" w:hanging="360"/>
      </w:pPr>
    </w:lvl>
    <w:lvl w:ilvl="7" w:tplc="B36EF796" w:tentative="1">
      <w:start w:val="1"/>
      <w:numFmt w:val="lowerLetter"/>
      <w:lvlText w:val="%8."/>
      <w:lvlJc w:val="left"/>
      <w:pPr>
        <w:ind w:left="5760" w:hanging="360"/>
      </w:pPr>
    </w:lvl>
    <w:lvl w:ilvl="8" w:tplc="BCCA3290"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14"/>
  </w:num>
  <w:num w:numId="8">
    <w:abstractNumId w:val="6"/>
  </w:num>
  <w:num w:numId="9">
    <w:abstractNumId w:val="4"/>
  </w:num>
  <w:num w:numId="10">
    <w:abstractNumId w:val="1"/>
  </w:num>
  <w:num w:numId="11">
    <w:abstractNumId w:val="10"/>
  </w:num>
  <w:num w:numId="12">
    <w:abstractNumId w:val="2"/>
  </w:num>
  <w:num w:numId="13">
    <w:abstractNumId w:val="1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Formatting/>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34D"/>
    <w:rsid w:val="0000085C"/>
    <w:rsid w:val="00000B72"/>
    <w:rsid w:val="00000D01"/>
    <w:rsid w:val="0000137E"/>
    <w:rsid w:val="000017EA"/>
    <w:rsid w:val="00001B4A"/>
    <w:rsid w:val="00001DAB"/>
    <w:rsid w:val="00002750"/>
    <w:rsid w:val="00002B69"/>
    <w:rsid w:val="00002B93"/>
    <w:rsid w:val="00002F65"/>
    <w:rsid w:val="0000342C"/>
    <w:rsid w:val="0000392A"/>
    <w:rsid w:val="00003E77"/>
    <w:rsid w:val="000040B6"/>
    <w:rsid w:val="00004195"/>
    <w:rsid w:val="00004290"/>
    <w:rsid w:val="000043B6"/>
    <w:rsid w:val="00004B39"/>
    <w:rsid w:val="00006737"/>
    <w:rsid w:val="00006DFC"/>
    <w:rsid w:val="000073E0"/>
    <w:rsid w:val="0000764F"/>
    <w:rsid w:val="00010070"/>
    <w:rsid w:val="000102EC"/>
    <w:rsid w:val="0001039B"/>
    <w:rsid w:val="0001097C"/>
    <w:rsid w:val="00011323"/>
    <w:rsid w:val="0001158C"/>
    <w:rsid w:val="00011A94"/>
    <w:rsid w:val="00012053"/>
    <w:rsid w:val="0001248E"/>
    <w:rsid w:val="0001288F"/>
    <w:rsid w:val="00012E13"/>
    <w:rsid w:val="0001318B"/>
    <w:rsid w:val="000134B5"/>
    <w:rsid w:val="00013C2C"/>
    <w:rsid w:val="00013E76"/>
    <w:rsid w:val="00014112"/>
    <w:rsid w:val="000151E6"/>
    <w:rsid w:val="00015618"/>
    <w:rsid w:val="000156C3"/>
    <w:rsid w:val="00015DA2"/>
    <w:rsid w:val="0001644E"/>
    <w:rsid w:val="00016985"/>
    <w:rsid w:val="00016A59"/>
    <w:rsid w:val="00016CDB"/>
    <w:rsid w:val="0001747B"/>
    <w:rsid w:val="00017A45"/>
    <w:rsid w:val="00017B55"/>
    <w:rsid w:val="00020D58"/>
    <w:rsid w:val="000210D7"/>
    <w:rsid w:val="000212E2"/>
    <w:rsid w:val="00021EB2"/>
    <w:rsid w:val="000222FE"/>
    <w:rsid w:val="00022309"/>
    <w:rsid w:val="00022EBA"/>
    <w:rsid w:val="00022F0D"/>
    <w:rsid w:val="00023218"/>
    <w:rsid w:val="000236CB"/>
    <w:rsid w:val="00023D0C"/>
    <w:rsid w:val="00024623"/>
    <w:rsid w:val="000246D6"/>
    <w:rsid w:val="00025997"/>
    <w:rsid w:val="00025CE8"/>
    <w:rsid w:val="00025E78"/>
    <w:rsid w:val="00025FAD"/>
    <w:rsid w:val="00026E41"/>
    <w:rsid w:val="000271E8"/>
    <w:rsid w:val="000273E3"/>
    <w:rsid w:val="000274B7"/>
    <w:rsid w:val="00027BFC"/>
    <w:rsid w:val="00027D21"/>
    <w:rsid w:val="0003020B"/>
    <w:rsid w:val="000302DB"/>
    <w:rsid w:val="00030517"/>
    <w:rsid w:val="0003065F"/>
    <w:rsid w:val="000313F0"/>
    <w:rsid w:val="000321FE"/>
    <w:rsid w:val="000323DD"/>
    <w:rsid w:val="00032557"/>
    <w:rsid w:val="00032CD8"/>
    <w:rsid w:val="00032D34"/>
    <w:rsid w:val="00033158"/>
    <w:rsid w:val="0003387B"/>
    <w:rsid w:val="00033D10"/>
    <w:rsid w:val="00034ABC"/>
    <w:rsid w:val="0003538F"/>
    <w:rsid w:val="0003565A"/>
    <w:rsid w:val="00035686"/>
    <w:rsid w:val="00035A30"/>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28C6"/>
    <w:rsid w:val="000456FB"/>
    <w:rsid w:val="000459E5"/>
    <w:rsid w:val="00046378"/>
    <w:rsid w:val="000463F7"/>
    <w:rsid w:val="00046ABD"/>
    <w:rsid w:val="00047772"/>
    <w:rsid w:val="00047A4B"/>
    <w:rsid w:val="00047F34"/>
    <w:rsid w:val="00047F7B"/>
    <w:rsid w:val="0005053E"/>
    <w:rsid w:val="000508EB"/>
    <w:rsid w:val="00050E62"/>
    <w:rsid w:val="00051250"/>
    <w:rsid w:val="00051E58"/>
    <w:rsid w:val="00051ED1"/>
    <w:rsid w:val="0005205F"/>
    <w:rsid w:val="0005215E"/>
    <w:rsid w:val="000531DF"/>
    <w:rsid w:val="0005423A"/>
    <w:rsid w:val="000547FE"/>
    <w:rsid w:val="00054FD0"/>
    <w:rsid w:val="0005502B"/>
    <w:rsid w:val="000551E8"/>
    <w:rsid w:val="00055B0E"/>
    <w:rsid w:val="00055E6B"/>
    <w:rsid w:val="000567D3"/>
    <w:rsid w:val="00056E9E"/>
    <w:rsid w:val="000573F2"/>
    <w:rsid w:val="00057422"/>
    <w:rsid w:val="00057FC0"/>
    <w:rsid w:val="00060131"/>
    <w:rsid w:val="000605BD"/>
    <w:rsid w:val="00060930"/>
    <w:rsid w:val="00060A15"/>
    <w:rsid w:val="00060B31"/>
    <w:rsid w:val="000623D9"/>
    <w:rsid w:val="00062716"/>
    <w:rsid w:val="00063526"/>
    <w:rsid w:val="0006358F"/>
    <w:rsid w:val="0006359D"/>
    <w:rsid w:val="00063700"/>
    <w:rsid w:val="00063947"/>
    <w:rsid w:val="00063AF9"/>
    <w:rsid w:val="000642BA"/>
    <w:rsid w:val="00064856"/>
    <w:rsid w:val="000656B3"/>
    <w:rsid w:val="00065E42"/>
    <w:rsid w:val="000665C7"/>
    <w:rsid w:val="000666E0"/>
    <w:rsid w:val="000672EE"/>
    <w:rsid w:val="00067B3A"/>
    <w:rsid w:val="00070446"/>
    <w:rsid w:val="00071073"/>
    <w:rsid w:val="00071A1D"/>
    <w:rsid w:val="00071A6F"/>
    <w:rsid w:val="00071CB0"/>
    <w:rsid w:val="000725EA"/>
    <w:rsid w:val="000735D6"/>
    <w:rsid w:val="0007388A"/>
    <w:rsid w:val="00074900"/>
    <w:rsid w:val="00074A63"/>
    <w:rsid w:val="00074BEF"/>
    <w:rsid w:val="00074D3A"/>
    <w:rsid w:val="00074FF4"/>
    <w:rsid w:val="00075CD8"/>
    <w:rsid w:val="00076A77"/>
    <w:rsid w:val="00076BC1"/>
    <w:rsid w:val="00076D7C"/>
    <w:rsid w:val="00077373"/>
    <w:rsid w:val="000779F7"/>
    <w:rsid w:val="00080208"/>
    <w:rsid w:val="00080669"/>
    <w:rsid w:val="00081074"/>
    <w:rsid w:val="0008182E"/>
    <w:rsid w:val="0008206E"/>
    <w:rsid w:val="000830E5"/>
    <w:rsid w:val="00083CC7"/>
    <w:rsid w:val="00083D9D"/>
    <w:rsid w:val="00083FC8"/>
    <w:rsid w:val="0008405A"/>
    <w:rsid w:val="00084323"/>
    <w:rsid w:val="00084692"/>
    <w:rsid w:val="00084F29"/>
    <w:rsid w:val="00085059"/>
    <w:rsid w:val="00085169"/>
    <w:rsid w:val="00085801"/>
    <w:rsid w:val="00085839"/>
    <w:rsid w:val="00085C09"/>
    <w:rsid w:val="000865BA"/>
    <w:rsid w:val="00086C4F"/>
    <w:rsid w:val="00086C8C"/>
    <w:rsid w:val="00086E47"/>
    <w:rsid w:val="00087A3F"/>
    <w:rsid w:val="00087C87"/>
    <w:rsid w:val="00090DA4"/>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78F"/>
    <w:rsid w:val="000A0AC1"/>
    <w:rsid w:val="000A0CB7"/>
    <w:rsid w:val="000A16AE"/>
    <w:rsid w:val="000A16B2"/>
    <w:rsid w:val="000A1714"/>
    <w:rsid w:val="000A1B92"/>
    <w:rsid w:val="000A1CF8"/>
    <w:rsid w:val="000A1FCA"/>
    <w:rsid w:val="000A21EA"/>
    <w:rsid w:val="000A3007"/>
    <w:rsid w:val="000A3048"/>
    <w:rsid w:val="000A30C5"/>
    <w:rsid w:val="000A316D"/>
    <w:rsid w:val="000A38E9"/>
    <w:rsid w:val="000A52EB"/>
    <w:rsid w:val="000A567C"/>
    <w:rsid w:val="000A5ACB"/>
    <w:rsid w:val="000A64B7"/>
    <w:rsid w:val="000A690B"/>
    <w:rsid w:val="000A6D6E"/>
    <w:rsid w:val="000A7872"/>
    <w:rsid w:val="000A7CC4"/>
    <w:rsid w:val="000A7DA5"/>
    <w:rsid w:val="000B02F8"/>
    <w:rsid w:val="000B0730"/>
    <w:rsid w:val="000B1174"/>
    <w:rsid w:val="000B216B"/>
    <w:rsid w:val="000B2DF6"/>
    <w:rsid w:val="000B3558"/>
    <w:rsid w:val="000B3973"/>
    <w:rsid w:val="000B3E26"/>
    <w:rsid w:val="000B41B7"/>
    <w:rsid w:val="000B42B0"/>
    <w:rsid w:val="000B45FE"/>
    <w:rsid w:val="000B531E"/>
    <w:rsid w:val="000B57B2"/>
    <w:rsid w:val="000B5CF8"/>
    <w:rsid w:val="000B6038"/>
    <w:rsid w:val="000B630F"/>
    <w:rsid w:val="000B66A3"/>
    <w:rsid w:val="000B69C5"/>
    <w:rsid w:val="000B69CB"/>
    <w:rsid w:val="000B705F"/>
    <w:rsid w:val="000B721B"/>
    <w:rsid w:val="000B7262"/>
    <w:rsid w:val="000B77F2"/>
    <w:rsid w:val="000B78E2"/>
    <w:rsid w:val="000C0306"/>
    <w:rsid w:val="000C1992"/>
    <w:rsid w:val="000C23E5"/>
    <w:rsid w:val="000C2955"/>
    <w:rsid w:val="000C2AC9"/>
    <w:rsid w:val="000C3056"/>
    <w:rsid w:val="000C314A"/>
    <w:rsid w:val="000C35EE"/>
    <w:rsid w:val="000C4176"/>
    <w:rsid w:val="000C4352"/>
    <w:rsid w:val="000C43A3"/>
    <w:rsid w:val="000C4429"/>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6C7"/>
    <w:rsid w:val="000D09D1"/>
    <w:rsid w:val="000D13B8"/>
    <w:rsid w:val="000D169C"/>
    <w:rsid w:val="000D1EAF"/>
    <w:rsid w:val="000D234B"/>
    <w:rsid w:val="000D29F5"/>
    <w:rsid w:val="000D2BDE"/>
    <w:rsid w:val="000D2C92"/>
    <w:rsid w:val="000D2CA8"/>
    <w:rsid w:val="000D2FD8"/>
    <w:rsid w:val="000D3AD1"/>
    <w:rsid w:val="000D3DB0"/>
    <w:rsid w:val="000D4B32"/>
    <w:rsid w:val="000D4CD6"/>
    <w:rsid w:val="000D5221"/>
    <w:rsid w:val="000D5256"/>
    <w:rsid w:val="000D528D"/>
    <w:rsid w:val="000D54B6"/>
    <w:rsid w:val="000D5823"/>
    <w:rsid w:val="000D5FF8"/>
    <w:rsid w:val="000D60F1"/>
    <w:rsid w:val="000D6CA7"/>
    <w:rsid w:val="000D7226"/>
    <w:rsid w:val="000D74E4"/>
    <w:rsid w:val="000D773C"/>
    <w:rsid w:val="000D7C9E"/>
    <w:rsid w:val="000D7C9F"/>
    <w:rsid w:val="000E01BE"/>
    <w:rsid w:val="000E0BBE"/>
    <w:rsid w:val="000E17BF"/>
    <w:rsid w:val="000E1BD1"/>
    <w:rsid w:val="000E1DBF"/>
    <w:rsid w:val="000E2221"/>
    <w:rsid w:val="000E2713"/>
    <w:rsid w:val="000E2816"/>
    <w:rsid w:val="000E2958"/>
    <w:rsid w:val="000E3249"/>
    <w:rsid w:val="000E32FE"/>
    <w:rsid w:val="000E370D"/>
    <w:rsid w:val="000E376E"/>
    <w:rsid w:val="000E457F"/>
    <w:rsid w:val="000E4999"/>
    <w:rsid w:val="000E4E29"/>
    <w:rsid w:val="000E4FAC"/>
    <w:rsid w:val="000E5080"/>
    <w:rsid w:val="000E5330"/>
    <w:rsid w:val="000E6128"/>
    <w:rsid w:val="000E6528"/>
    <w:rsid w:val="000E673A"/>
    <w:rsid w:val="000E6773"/>
    <w:rsid w:val="000E6A3D"/>
    <w:rsid w:val="000E6B82"/>
    <w:rsid w:val="000F01F8"/>
    <w:rsid w:val="000F0539"/>
    <w:rsid w:val="000F068C"/>
    <w:rsid w:val="000F1BBD"/>
    <w:rsid w:val="000F1FFC"/>
    <w:rsid w:val="000F228E"/>
    <w:rsid w:val="000F246B"/>
    <w:rsid w:val="000F2860"/>
    <w:rsid w:val="000F2887"/>
    <w:rsid w:val="000F2AA3"/>
    <w:rsid w:val="000F32AF"/>
    <w:rsid w:val="000F352D"/>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20B2"/>
    <w:rsid w:val="00102268"/>
    <w:rsid w:val="00102C75"/>
    <w:rsid w:val="00102EB9"/>
    <w:rsid w:val="00102ED6"/>
    <w:rsid w:val="00103069"/>
    <w:rsid w:val="001036A8"/>
    <w:rsid w:val="001045DA"/>
    <w:rsid w:val="00104F05"/>
    <w:rsid w:val="00104FD9"/>
    <w:rsid w:val="0010512F"/>
    <w:rsid w:val="00105372"/>
    <w:rsid w:val="00105A20"/>
    <w:rsid w:val="001063AE"/>
    <w:rsid w:val="00106643"/>
    <w:rsid w:val="00106708"/>
    <w:rsid w:val="00106945"/>
    <w:rsid w:val="001074FB"/>
    <w:rsid w:val="001100F8"/>
    <w:rsid w:val="0011073C"/>
    <w:rsid w:val="00110C54"/>
    <w:rsid w:val="00110EE5"/>
    <w:rsid w:val="001115C8"/>
    <w:rsid w:val="00111EA8"/>
    <w:rsid w:val="00112442"/>
    <w:rsid w:val="00112A11"/>
    <w:rsid w:val="00112CFB"/>
    <w:rsid w:val="0011312F"/>
    <w:rsid w:val="00114CCC"/>
    <w:rsid w:val="00114F64"/>
    <w:rsid w:val="001153F2"/>
    <w:rsid w:val="00115463"/>
    <w:rsid w:val="00115A30"/>
    <w:rsid w:val="00115E60"/>
    <w:rsid w:val="00116287"/>
    <w:rsid w:val="0011658E"/>
    <w:rsid w:val="001166EA"/>
    <w:rsid w:val="00116CA4"/>
    <w:rsid w:val="001173F8"/>
    <w:rsid w:val="00117CEE"/>
    <w:rsid w:val="001202C7"/>
    <w:rsid w:val="00120339"/>
    <w:rsid w:val="001203FE"/>
    <w:rsid w:val="001215CE"/>
    <w:rsid w:val="00121840"/>
    <w:rsid w:val="00121F90"/>
    <w:rsid w:val="00122FE5"/>
    <w:rsid w:val="001233DB"/>
    <w:rsid w:val="0012360B"/>
    <w:rsid w:val="001236E2"/>
    <w:rsid w:val="0012406C"/>
    <w:rsid w:val="001240C1"/>
    <w:rsid w:val="00124A10"/>
    <w:rsid w:val="001250CA"/>
    <w:rsid w:val="0012533F"/>
    <w:rsid w:val="0012568B"/>
    <w:rsid w:val="0012597D"/>
    <w:rsid w:val="00126324"/>
    <w:rsid w:val="00126463"/>
    <w:rsid w:val="00126465"/>
    <w:rsid w:val="00126993"/>
    <w:rsid w:val="001270B9"/>
    <w:rsid w:val="001271C8"/>
    <w:rsid w:val="0012763B"/>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CF4"/>
    <w:rsid w:val="00134442"/>
    <w:rsid w:val="001344F8"/>
    <w:rsid w:val="00134682"/>
    <w:rsid w:val="0013478F"/>
    <w:rsid w:val="0013577C"/>
    <w:rsid w:val="001377A6"/>
    <w:rsid w:val="00140238"/>
    <w:rsid w:val="001404A2"/>
    <w:rsid w:val="00140D08"/>
    <w:rsid w:val="001412D3"/>
    <w:rsid w:val="00141B93"/>
    <w:rsid w:val="00141D4E"/>
    <w:rsid w:val="00141E00"/>
    <w:rsid w:val="0014227B"/>
    <w:rsid w:val="00142339"/>
    <w:rsid w:val="00142793"/>
    <w:rsid w:val="0014279A"/>
    <w:rsid w:val="00142B29"/>
    <w:rsid w:val="00142CD8"/>
    <w:rsid w:val="00143174"/>
    <w:rsid w:val="001434E3"/>
    <w:rsid w:val="00143BAD"/>
    <w:rsid w:val="00143DF1"/>
    <w:rsid w:val="00143FEB"/>
    <w:rsid w:val="0014466A"/>
    <w:rsid w:val="0014480B"/>
    <w:rsid w:val="00144893"/>
    <w:rsid w:val="00144AA8"/>
    <w:rsid w:val="00144BB4"/>
    <w:rsid w:val="00144EA5"/>
    <w:rsid w:val="001452C7"/>
    <w:rsid w:val="0014562A"/>
    <w:rsid w:val="0014564E"/>
    <w:rsid w:val="00145892"/>
    <w:rsid w:val="001467C1"/>
    <w:rsid w:val="00146BAB"/>
    <w:rsid w:val="00146DA4"/>
    <w:rsid w:val="00146F4D"/>
    <w:rsid w:val="001470C8"/>
    <w:rsid w:val="00147922"/>
    <w:rsid w:val="00147945"/>
    <w:rsid w:val="00147D5A"/>
    <w:rsid w:val="00147DB6"/>
    <w:rsid w:val="00147EB7"/>
    <w:rsid w:val="001505DD"/>
    <w:rsid w:val="00150601"/>
    <w:rsid w:val="00150B86"/>
    <w:rsid w:val="00150E19"/>
    <w:rsid w:val="00150EE0"/>
    <w:rsid w:val="00150FBF"/>
    <w:rsid w:val="001512E3"/>
    <w:rsid w:val="0015140E"/>
    <w:rsid w:val="00152601"/>
    <w:rsid w:val="0015263A"/>
    <w:rsid w:val="00152661"/>
    <w:rsid w:val="001527E0"/>
    <w:rsid w:val="0015282F"/>
    <w:rsid w:val="001531EA"/>
    <w:rsid w:val="00153312"/>
    <w:rsid w:val="00153E5E"/>
    <w:rsid w:val="00153F32"/>
    <w:rsid w:val="0015491D"/>
    <w:rsid w:val="001553F7"/>
    <w:rsid w:val="00155575"/>
    <w:rsid w:val="00155697"/>
    <w:rsid w:val="001561EA"/>
    <w:rsid w:val="001562A0"/>
    <w:rsid w:val="0015646E"/>
    <w:rsid w:val="001565FA"/>
    <w:rsid w:val="00156692"/>
    <w:rsid w:val="00156BD6"/>
    <w:rsid w:val="00156C00"/>
    <w:rsid w:val="00157217"/>
    <w:rsid w:val="001577C4"/>
    <w:rsid w:val="001577D2"/>
    <w:rsid w:val="001577E0"/>
    <w:rsid w:val="00157BE0"/>
    <w:rsid w:val="00157CA3"/>
    <w:rsid w:val="00157DE4"/>
    <w:rsid w:val="0016003B"/>
    <w:rsid w:val="001601DA"/>
    <w:rsid w:val="001607C6"/>
    <w:rsid w:val="001622AE"/>
    <w:rsid w:val="001625DA"/>
    <w:rsid w:val="00163B54"/>
    <w:rsid w:val="0016524A"/>
    <w:rsid w:val="001652D9"/>
    <w:rsid w:val="001654C5"/>
    <w:rsid w:val="001659C5"/>
    <w:rsid w:val="00165ED4"/>
    <w:rsid w:val="001665AC"/>
    <w:rsid w:val="00167237"/>
    <w:rsid w:val="0016745E"/>
    <w:rsid w:val="0016793C"/>
    <w:rsid w:val="001679D9"/>
    <w:rsid w:val="00167A6D"/>
    <w:rsid w:val="00167BAD"/>
    <w:rsid w:val="00167C0A"/>
    <w:rsid w:val="00167E06"/>
    <w:rsid w:val="00167FA4"/>
    <w:rsid w:val="001708A1"/>
    <w:rsid w:val="00170DFE"/>
    <w:rsid w:val="0017126C"/>
    <w:rsid w:val="001717BC"/>
    <w:rsid w:val="00172693"/>
    <w:rsid w:val="00172AF6"/>
    <w:rsid w:val="00172F6F"/>
    <w:rsid w:val="001735A1"/>
    <w:rsid w:val="001737C8"/>
    <w:rsid w:val="00173EB8"/>
    <w:rsid w:val="001743DC"/>
    <w:rsid w:val="001744B9"/>
    <w:rsid w:val="001744DE"/>
    <w:rsid w:val="001749D4"/>
    <w:rsid w:val="00174BF1"/>
    <w:rsid w:val="0017532E"/>
    <w:rsid w:val="00175375"/>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ECA"/>
    <w:rsid w:val="00183F9B"/>
    <w:rsid w:val="00184F4D"/>
    <w:rsid w:val="00185003"/>
    <w:rsid w:val="001850C2"/>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5CD"/>
    <w:rsid w:val="001946CD"/>
    <w:rsid w:val="00194C24"/>
    <w:rsid w:val="00195127"/>
    <w:rsid w:val="0019560B"/>
    <w:rsid w:val="0019578F"/>
    <w:rsid w:val="00195BE5"/>
    <w:rsid w:val="00196282"/>
    <w:rsid w:val="00196915"/>
    <w:rsid w:val="00197EB3"/>
    <w:rsid w:val="00197ED6"/>
    <w:rsid w:val="001A0342"/>
    <w:rsid w:val="001A06AE"/>
    <w:rsid w:val="001A0DC5"/>
    <w:rsid w:val="001A11B6"/>
    <w:rsid w:val="001A1432"/>
    <w:rsid w:val="001A1F48"/>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147E"/>
    <w:rsid w:val="001B150F"/>
    <w:rsid w:val="001B15B7"/>
    <w:rsid w:val="001B1A3E"/>
    <w:rsid w:val="001B1F19"/>
    <w:rsid w:val="001B1F5F"/>
    <w:rsid w:val="001B2E3F"/>
    <w:rsid w:val="001B384C"/>
    <w:rsid w:val="001B3D79"/>
    <w:rsid w:val="001B3F34"/>
    <w:rsid w:val="001B49AB"/>
    <w:rsid w:val="001B4A38"/>
    <w:rsid w:val="001B5865"/>
    <w:rsid w:val="001B5941"/>
    <w:rsid w:val="001B602E"/>
    <w:rsid w:val="001B6090"/>
    <w:rsid w:val="001B641B"/>
    <w:rsid w:val="001B71D9"/>
    <w:rsid w:val="001B7398"/>
    <w:rsid w:val="001B7C77"/>
    <w:rsid w:val="001B7D89"/>
    <w:rsid w:val="001B7DFB"/>
    <w:rsid w:val="001C0825"/>
    <w:rsid w:val="001C083C"/>
    <w:rsid w:val="001C0909"/>
    <w:rsid w:val="001C1417"/>
    <w:rsid w:val="001C1D76"/>
    <w:rsid w:val="001C1E8F"/>
    <w:rsid w:val="001C2609"/>
    <w:rsid w:val="001C2960"/>
    <w:rsid w:val="001C3478"/>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C9C"/>
    <w:rsid w:val="001E2F97"/>
    <w:rsid w:val="001E4362"/>
    <w:rsid w:val="001E505B"/>
    <w:rsid w:val="001E5060"/>
    <w:rsid w:val="001E51C4"/>
    <w:rsid w:val="001E5C22"/>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826"/>
    <w:rsid w:val="001F2843"/>
    <w:rsid w:val="001F3166"/>
    <w:rsid w:val="001F32FF"/>
    <w:rsid w:val="001F3958"/>
    <w:rsid w:val="001F397D"/>
    <w:rsid w:val="001F3C7E"/>
    <w:rsid w:val="001F3F36"/>
    <w:rsid w:val="001F47E4"/>
    <w:rsid w:val="001F49D4"/>
    <w:rsid w:val="001F58A9"/>
    <w:rsid w:val="001F5AC3"/>
    <w:rsid w:val="001F5BEE"/>
    <w:rsid w:val="001F72DF"/>
    <w:rsid w:val="002000ED"/>
    <w:rsid w:val="002002C0"/>
    <w:rsid w:val="0020095E"/>
    <w:rsid w:val="00200A04"/>
    <w:rsid w:val="00200D15"/>
    <w:rsid w:val="00200E17"/>
    <w:rsid w:val="00201519"/>
    <w:rsid w:val="00201638"/>
    <w:rsid w:val="00201942"/>
    <w:rsid w:val="002019EA"/>
    <w:rsid w:val="00201A40"/>
    <w:rsid w:val="002026A2"/>
    <w:rsid w:val="0020319A"/>
    <w:rsid w:val="00203A82"/>
    <w:rsid w:val="00203FF2"/>
    <w:rsid w:val="002045AC"/>
    <w:rsid w:val="002045C6"/>
    <w:rsid w:val="002046DC"/>
    <w:rsid w:val="00204D24"/>
    <w:rsid w:val="00205C68"/>
    <w:rsid w:val="00205EDC"/>
    <w:rsid w:val="002064A2"/>
    <w:rsid w:val="00206A6D"/>
    <w:rsid w:val="002076EA"/>
    <w:rsid w:val="002077EC"/>
    <w:rsid w:val="0020786E"/>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0A47"/>
    <w:rsid w:val="00221585"/>
    <w:rsid w:val="00221CB5"/>
    <w:rsid w:val="002222DE"/>
    <w:rsid w:val="00222567"/>
    <w:rsid w:val="00222711"/>
    <w:rsid w:val="002237B1"/>
    <w:rsid w:val="00223C94"/>
    <w:rsid w:val="00223E0D"/>
    <w:rsid w:val="0022406B"/>
    <w:rsid w:val="002242A5"/>
    <w:rsid w:val="00224590"/>
    <w:rsid w:val="002269FE"/>
    <w:rsid w:val="00226E47"/>
    <w:rsid w:val="002270F2"/>
    <w:rsid w:val="002277EC"/>
    <w:rsid w:val="002278BA"/>
    <w:rsid w:val="002279CC"/>
    <w:rsid w:val="00227B0A"/>
    <w:rsid w:val="0023107E"/>
    <w:rsid w:val="00231AC3"/>
    <w:rsid w:val="00232974"/>
    <w:rsid w:val="00233AB0"/>
    <w:rsid w:val="002344BB"/>
    <w:rsid w:val="00234ABB"/>
    <w:rsid w:val="00234B70"/>
    <w:rsid w:val="00234F34"/>
    <w:rsid w:val="002353BF"/>
    <w:rsid w:val="00235731"/>
    <w:rsid w:val="0023591E"/>
    <w:rsid w:val="00235AFA"/>
    <w:rsid w:val="00235F25"/>
    <w:rsid w:val="00236437"/>
    <w:rsid w:val="00236840"/>
    <w:rsid w:val="002369DC"/>
    <w:rsid w:val="00236AAC"/>
    <w:rsid w:val="00236C53"/>
    <w:rsid w:val="00237136"/>
    <w:rsid w:val="002400FF"/>
    <w:rsid w:val="0024039A"/>
    <w:rsid w:val="00240EC5"/>
    <w:rsid w:val="00241495"/>
    <w:rsid w:val="002417F0"/>
    <w:rsid w:val="00241B9E"/>
    <w:rsid w:val="00241C6B"/>
    <w:rsid w:val="0024266D"/>
    <w:rsid w:val="00243B72"/>
    <w:rsid w:val="00243E37"/>
    <w:rsid w:val="002440DE"/>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32FE"/>
    <w:rsid w:val="002533E8"/>
    <w:rsid w:val="002539F8"/>
    <w:rsid w:val="00253C3E"/>
    <w:rsid w:val="0025417A"/>
    <w:rsid w:val="0025444C"/>
    <w:rsid w:val="002544E4"/>
    <w:rsid w:val="00254562"/>
    <w:rsid w:val="00254A2B"/>
    <w:rsid w:val="00255DE9"/>
    <w:rsid w:val="00255ECB"/>
    <w:rsid w:val="00256AAE"/>
    <w:rsid w:val="002570F8"/>
    <w:rsid w:val="00257216"/>
    <w:rsid w:val="00257251"/>
    <w:rsid w:val="00257600"/>
    <w:rsid w:val="00257947"/>
    <w:rsid w:val="00257964"/>
    <w:rsid w:val="00257D1F"/>
    <w:rsid w:val="00257F54"/>
    <w:rsid w:val="0026032E"/>
    <w:rsid w:val="00260AE4"/>
    <w:rsid w:val="00260B32"/>
    <w:rsid w:val="00260C92"/>
    <w:rsid w:val="00260E4E"/>
    <w:rsid w:val="00261115"/>
    <w:rsid w:val="00261FDB"/>
    <w:rsid w:val="00262D0E"/>
    <w:rsid w:val="00262F1F"/>
    <w:rsid w:val="00263382"/>
    <w:rsid w:val="0026378F"/>
    <w:rsid w:val="00263C7B"/>
    <w:rsid w:val="00263E7A"/>
    <w:rsid w:val="002645E7"/>
    <w:rsid w:val="00264979"/>
    <w:rsid w:val="00264F2A"/>
    <w:rsid w:val="002657EB"/>
    <w:rsid w:val="00265B73"/>
    <w:rsid w:val="00266379"/>
    <w:rsid w:val="002665D2"/>
    <w:rsid w:val="00266EC6"/>
    <w:rsid w:val="00266F55"/>
    <w:rsid w:val="002672E0"/>
    <w:rsid w:val="00267623"/>
    <w:rsid w:val="0027058C"/>
    <w:rsid w:val="00270990"/>
    <w:rsid w:val="00270E0C"/>
    <w:rsid w:val="00271942"/>
    <w:rsid w:val="00271A0A"/>
    <w:rsid w:val="00271B84"/>
    <w:rsid w:val="00271BDF"/>
    <w:rsid w:val="00271D9E"/>
    <w:rsid w:val="002726FF"/>
    <w:rsid w:val="00272B0E"/>
    <w:rsid w:val="00272FC9"/>
    <w:rsid w:val="002733EB"/>
    <w:rsid w:val="00273BF5"/>
    <w:rsid w:val="00273C4B"/>
    <w:rsid w:val="00273F08"/>
    <w:rsid w:val="00274130"/>
    <w:rsid w:val="0027491F"/>
    <w:rsid w:val="00274B90"/>
    <w:rsid w:val="002751D9"/>
    <w:rsid w:val="0027551A"/>
    <w:rsid w:val="0027575A"/>
    <w:rsid w:val="00275769"/>
    <w:rsid w:val="00275D96"/>
    <w:rsid w:val="00275FAA"/>
    <w:rsid w:val="00276264"/>
    <w:rsid w:val="002765AC"/>
    <w:rsid w:val="00276E0C"/>
    <w:rsid w:val="00276FCE"/>
    <w:rsid w:val="002774C9"/>
    <w:rsid w:val="0027787F"/>
    <w:rsid w:val="002779EF"/>
    <w:rsid w:val="00277D4C"/>
    <w:rsid w:val="002800D3"/>
    <w:rsid w:val="00280612"/>
    <w:rsid w:val="0028086B"/>
    <w:rsid w:val="0028178C"/>
    <w:rsid w:val="002820C7"/>
    <w:rsid w:val="002822FC"/>
    <w:rsid w:val="00282AAC"/>
    <w:rsid w:val="00283D4D"/>
    <w:rsid w:val="00283E95"/>
    <w:rsid w:val="00284697"/>
    <w:rsid w:val="00284877"/>
    <w:rsid w:val="0028559D"/>
    <w:rsid w:val="00285833"/>
    <w:rsid w:val="002862EC"/>
    <w:rsid w:val="00286797"/>
    <w:rsid w:val="002867B1"/>
    <w:rsid w:val="00286968"/>
    <w:rsid w:val="0028723B"/>
    <w:rsid w:val="002875C8"/>
    <w:rsid w:val="0028781E"/>
    <w:rsid w:val="0028785E"/>
    <w:rsid w:val="00287937"/>
    <w:rsid w:val="00287D6A"/>
    <w:rsid w:val="00290FE9"/>
    <w:rsid w:val="002910D1"/>
    <w:rsid w:val="002913C7"/>
    <w:rsid w:val="00291693"/>
    <w:rsid w:val="002918AD"/>
    <w:rsid w:val="00291BFD"/>
    <w:rsid w:val="00291FBF"/>
    <w:rsid w:val="00292118"/>
    <w:rsid w:val="002932BD"/>
    <w:rsid w:val="00293CC5"/>
    <w:rsid w:val="0029432C"/>
    <w:rsid w:val="002946AD"/>
    <w:rsid w:val="0029519B"/>
    <w:rsid w:val="00295528"/>
    <w:rsid w:val="0029574F"/>
    <w:rsid w:val="00296743"/>
    <w:rsid w:val="00296F82"/>
    <w:rsid w:val="00297480"/>
    <w:rsid w:val="0029761A"/>
    <w:rsid w:val="00297647"/>
    <w:rsid w:val="002978CF"/>
    <w:rsid w:val="00297BF2"/>
    <w:rsid w:val="00297CA2"/>
    <w:rsid w:val="002A0A6B"/>
    <w:rsid w:val="002A0A8D"/>
    <w:rsid w:val="002A0D17"/>
    <w:rsid w:val="002A1F4B"/>
    <w:rsid w:val="002A249A"/>
    <w:rsid w:val="002A2623"/>
    <w:rsid w:val="002A2BBC"/>
    <w:rsid w:val="002A34FA"/>
    <w:rsid w:val="002A37BF"/>
    <w:rsid w:val="002A3859"/>
    <w:rsid w:val="002A3866"/>
    <w:rsid w:val="002A38E6"/>
    <w:rsid w:val="002A4895"/>
    <w:rsid w:val="002A502A"/>
    <w:rsid w:val="002A50DE"/>
    <w:rsid w:val="002A52AB"/>
    <w:rsid w:val="002A5684"/>
    <w:rsid w:val="002A5D1C"/>
    <w:rsid w:val="002A62D5"/>
    <w:rsid w:val="002A65BD"/>
    <w:rsid w:val="002A6912"/>
    <w:rsid w:val="002A712F"/>
    <w:rsid w:val="002A76B6"/>
    <w:rsid w:val="002B03CA"/>
    <w:rsid w:val="002B0495"/>
    <w:rsid w:val="002B259E"/>
    <w:rsid w:val="002B2A46"/>
    <w:rsid w:val="002B2B3D"/>
    <w:rsid w:val="002B2DD6"/>
    <w:rsid w:val="002B3995"/>
    <w:rsid w:val="002B3FC9"/>
    <w:rsid w:val="002B4839"/>
    <w:rsid w:val="002B4841"/>
    <w:rsid w:val="002B4C9A"/>
    <w:rsid w:val="002B56DF"/>
    <w:rsid w:val="002B5872"/>
    <w:rsid w:val="002B59C0"/>
    <w:rsid w:val="002B7EBA"/>
    <w:rsid w:val="002C0524"/>
    <w:rsid w:val="002C10D6"/>
    <w:rsid w:val="002C19DB"/>
    <w:rsid w:val="002C1AB3"/>
    <w:rsid w:val="002C2EA3"/>
    <w:rsid w:val="002C30EE"/>
    <w:rsid w:val="002C336E"/>
    <w:rsid w:val="002C34C7"/>
    <w:rsid w:val="002C369C"/>
    <w:rsid w:val="002C38D1"/>
    <w:rsid w:val="002C3CA8"/>
    <w:rsid w:val="002C3D81"/>
    <w:rsid w:val="002C4548"/>
    <w:rsid w:val="002C4D7F"/>
    <w:rsid w:val="002C532D"/>
    <w:rsid w:val="002C5C23"/>
    <w:rsid w:val="002C66DA"/>
    <w:rsid w:val="002C6A0B"/>
    <w:rsid w:val="002C747E"/>
    <w:rsid w:val="002C7773"/>
    <w:rsid w:val="002C7CE9"/>
    <w:rsid w:val="002D02CE"/>
    <w:rsid w:val="002D0A57"/>
    <w:rsid w:val="002D0C67"/>
    <w:rsid w:val="002D145B"/>
    <w:rsid w:val="002D1D65"/>
    <w:rsid w:val="002D2150"/>
    <w:rsid w:val="002D2DDF"/>
    <w:rsid w:val="002D3709"/>
    <w:rsid w:val="002D37FE"/>
    <w:rsid w:val="002D3DF7"/>
    <w:rsid w:val="002D447D"/>
    <w:rsid w:val="002D47C3"/>
    <w:rsid w:val="002D4958"/>
    <w:rsid w:val="002D4BB0"/>
    <w:rsid w:val="002D4DCB"/>
    <w:rsid w:val="002D53BE"/>
    <w:rsid w:val="002D6002"/>
    <w:rsid w:val="002D608C"/>
    <w:rsid w:val="002D6093"/>
    <w:rsid w:val="002D6C64"/>
    <w:rsid w:val="002D6C86"/>
    <w:rsid w:val="002D6E3B"/>
    <w:rsid w:val="002D7242"/>
    <w:rsid w:val="002E0B49"/>
    <w:rsid w:val="002E1318"/>
    <w:rsid w:val="002E1664"/>
    <w:rsid w:val="002E186C"/>
    <w:rsid w:val="002E1AB9"/>
    <w:rsid w:val="002E25E0"/>
    <w:rsid w:val="002E2E63"/>
    <w:rsid w:val="002E30CB"/>
    <w:rsid w:val="002E39B0"/>
    <w:rsid w:val="002E3B00"/>
    <w:rsid w:val="002E3B70"/>
    <w:rsid w:val="002E4152"/>
    <w:rsid w:val="002E4192"/>
    <w:rsid w:val="002E44C8"/>
    <w:rsid w:val="002E4B17"/>
    <w:rsid w:val="002E502B"/>
    <w:rsid w:val="002E526A"/>
    <w:rsid w:val="002E6067"/>
    <w:rsid w:val="002E6872"/>
    <w:rsid w:val="002E6965"/>
    <w:rsid w:val="002E6AF2"/>
    <w:rsid w:val="002E7267"/>
    <w:rsid w:val="002E7578"/>
    <w:rsid w:val="002E764E"/>
    <w:rsid w:val="002E7BB4"/>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9C0"/>
    <w:rsid w:val="00300B59"/>
    <w:rsid w:val="00300FB6"/>
    <w:rsid w:val="00301B84"/>
    <w:rsid w:val="0030238A"/>
    <w:rsid w:val="003025F0"/>
    <w:rsid w:val="00303FF1"/>
    <w:rsid w:val="00304AF8"/>
    <w:rsid w:val="00304E02"/>
    <w:rsid w:val="00305523"/>
    <w:rsid w:val="003057E5"/>
    <w:rsid w:val="00305F5D"/>
    <w:rsid w:val="00306033"/>
    <w:rsid w:val="003065E6"/>
    <w:rsid w:val="00307856"/>
    <w:rsid w:val="00307F28"/>
    <w:rsid w:val="00310F0C"/>
    <w:rsid w:val="003112FC"/>
    <w:rsid w:val="003113CC"/>
    <w:rsid w:val="00311A74"/>
    <w:rsid w:val="00312051"/>
    <w:rsid w:val="003126B0"/>
    <w:rsid w:val="003127C6"/>
    <w:rsid w:val="003129DF"/>
    <w:rsid w:val="00312B7F"/>
    <w:rsid w:val="00312C34"/>
    <w:rsid w:val="00312EA9"/>
    <w:rsid w:val="0031363D"/>
    <w:rsid w:val="00313E64"/>
    <w:rsid w:val="00314112"/>
    <w:rsid w:val="00314B38"/>
    <w:rsid w:val="00314BF5"/>
    <w:rsid w:val="00314E0D"/>
    <w:rsid w:val="00315337"/>
    <w:rsid w:val="00315996"/>
    <w:rsid w:val="00315C6C"/>
    <w:rsid w:val="00315CCE"/>
    <w:rsid w:val="00315DD8"/>
    <w:rsid w:val="00316490"/>
    <w:rsid w:val="00316D45"/>
    <w:rsid w:val="00317400"/>
    <w:rsid w:val="003176D1"/>
    <w:rsid w:val="00317A4D"/>
    <w:rsid w:val="003205B3"/>
    <w:rsid w:val="00320A2D"/>
    <w:rsid w:val="00321A60"/>
    <w:rsid w:val="00321BB0"/>
    <w:rsid w:val="00321EAF"/>
    <w:rsid w:val="003222E7"/>
    <w:rsid w:val="00322622"/>
    <w:rsid w:val="003226A3"/>
    <w:rsid w:val="00322D98"/>
    <w:rsid w:val="00323093"/>
    <w:rsid w:val="0032344D"/>
    <w:rsid w:val="003238C8"/>
    <w:rsid w:val="00323A0B"/>
    <w:rsid w:val="00323BEB"/>
    <w:rsid w:val="00323EA4"/>
    <w:rsid w:val="00324147"/>
    <w:rsid w:val="0032462A"/>
    <w:rsid w:val="00324A7D"/>
    <w:rsid w:val="00324C97"/>
    <w:rsid w:val="00324F82"/>
    <w:rsid w:val="00325DA2"/>
    <w:rsid w:val="003261DC"/>
    <w:rsid w:val="00326ED2"/>
    <w:rsid w:val="00326F8C"/>
    <w:rsid w:val="0033004C"/>
    <w:rsid w:val="0033089F"/>
    <w:rsid w:val="00330A25"/>
    <w:rsid w:val="00330BAE"/>
    <w:rsid w:val="00330D6E"/>
    <w:rsid w:val="00330EAA"/>
    <w:rsid w:val="003310F0"/>
    <w:rsid w:val="00331112"/>
    <w:rsid w:val="003313D5"/>
    <w:rsid w:val="0033163D"/>
    <w:rsid w:val="00332720"/>
    <w:rsid w:val="00332AF9"/>
    <w:rsid w:val="003331DD"/>
    <w:rsid w:val="003333C2"/>
    <w:rsid w:val="003337A6"/>
    <w:rsid w:val="00333F24"/>
    <w:rsid w:val="0033468B"/>
    <w:rsid w:val="003346F4"/>
    <w:rsid w:val="00334868"/>
    <w:rsid w:val="00334B0A"/>
    <w:rsid w:val="00335727"/>
    <w:rsid w:val="00335F3F"/>
    <w:rsid w:val="00336583"/>
    <w:rsid w:val="00336E80"/>
    <w:rsid w:val="00336EA0"/>
    <w:rsid w:val="0033725A"/>
    <w:rsid w:val="00337757"/>
    <w:rsid w:val="003379AA"/>
    <w:rsid w:val="00337D8C"/>
    <w:rsid w:val="00340390"/>
    <w:rsid w:val="003404E4"/>
    <w:rsid w:val="0034113F"/>
    <w:rsid w:val="003411E9"/>
    <w:rsid w:val="003417AB"/>
    <w:rsid w:val="00342EDC"/>
    <w:rsid w:val="003435B6"/>
    <w:rsid w:val="00343712"/>
    <w:rsid w:val="00343A09"/>
    <w:rsid w:val="00343A0E"/>
    <w:rsid w:val="00343DBE"/>
    <w:rsid w:val="00343E56"/>
    <w:rsid w:val="00344346"/>
    <w:rsid w:val="00344513"/>
    <w:rsid w:val="00344C6A"/>
    <w:rsid w:val="00344D28"/>
    <w:rsid w:val="00345015"/>
    <w:rsid w:val="00345219"/>
    <w:rsid w:val="003454DD"/>
    <w:rsid w:val="00345891"/>
    <w:rsid w:val="0034595A"/>
    <w:rsid w:val="00345A10"/>
    <w:rsid w:val="00345C37"/>
    <w:rsid w:val="00345EE0"/>
    <w:rsid w:val="0034621A"/>
    <w:rsid w:val="0034655B"/>
    <w:rsid w:val="003467DC"/>
    <w:rsid w:val="00346904"/>
    <w:rsid w:val="00346921"/>
    <w:rsid w:val="00346BA8"/>
    <w:rsid w:val="00346E1A"/>
    <w:rsid w:val="003472EC"/>
    <w:rsid w:val="003478DF"/>
    <w:rsid w:val="003500AD"/>
    <w:rsid w:val="00350183"/>
    <w:rsid w:val="00350247"/>
    <w:rsid w:val="003506E6"/>
    <w:rsid w:val="00350A95"/>
    <w:rsid w:val="00350B66"/>
    <w:rsid w:val="00351042"/>
    <w:rsid w:val="00351277"/>
    <w:rsid w:val="00351434"/>
    <w:rsid w:val="0035149A"/>
    <w:rsid w:val="0035218F"/>
    <w:rsid w:val="00352297"/>
    <w:rsid w:val="003522A2"/>
    <w:rsid w:val="0035264E"/>
    <w:rsid w:val="003526F8"/>
    <w:rsid w:val="00352C64"/>
    <w:rsid w:val="003530BA"/>
    <w:rsid w:val="0035314E"/>
    <w:rsid w:val="003533EB"/>
    <w:rsid w:val="00353EFA"/>
    <w:rsid w:val="00353F7B"/>
    <w:rsid w:val="003541B0"/>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EEF"/>
    <w:rsid w:val="00370D68"/>
    <w:rsid w:val="00371416"/>
    <w:rsid w:val="00371C34"/>
    <w:rsid w:val="00371D65"/>
    <w:rsid w:val="003720D3"/>
    <w:rsid w:val="0037279E"/>
    <w:rsid w:val="00372F74"/>
    <w:rsid w:val="0037303B"/>
    <w:rsid w:val="00373C5E"/>
    <w:rsid w:val="00374292"/>
    <w:rsid w:val="00374309"/>
    <w:rsid w:val="003747D2"/>
    <w:rsid w:val="00374E39"/>
    <w:rsid w:val="0037502A"/>
    <w:rsid w:val="00375444"/>
    <w:rsid w:val="00375458"/>
    <w:rsid w:val="00375545"/>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AA3"/>
    <w:rsid w:val="00385F69"/>
    <w:rsid w:val="003864A4"/>
    <w:rsid w:val="00386851"/>
    <w:rsid w:val="00386BCE"/>
    <w:rsid w:val="00386D59"/>
    <w:rsid w:val="00386D76"/>
    <w:rsid w:val="00386FC5"/>
    <w:rsid w:val="00387CDE"/>
    <w:rsid w:val="00390A50"/>
    <w:rsid w:val="00391AA0"/>
    <w:rsid w:val="0039229C"/>
    <w:rsid w:val="00392440"/>
    <w:rsid w:val="0039322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185B"/>
    <w:rsid w:val="003A18C4"/>
    <w:rsid w:val="003A18CF"/>
    <w:rsid w:val="003A1CF3"/>
    <w:rsid w:val="003A27E2"/>
    <w:rsid w:val="003A2F00"/>
    <w:rsid w:val="003A3046"/>
    <w:rsid w:val="003A33E6"/>
    <w:rsid w:val="003A4B4E"/>
    <w:rsid w:val="003A6813"/>
    <w:rsid w:val="003A7000"/>
    <w:rsid w:val="003A74C3"/>
    <w:rsid w:val="003A7619"/>
    <w:rsid w:val="003B15EA"/>
    <w:rsid w:val="003B16BA"/>
    <w:rsid w:val="003B18DF"/>
    <w:rsid w:val="003B1EE9"/>
    <w:rsid w:val="003B2589"/>
    <w:rsid w:val="003B2A31"/>
    <w:rsid w:val="003B3D0B"/>
    <w:rsid w:val="003B4821"/>
    <w:rsid w:val="003B4834"/>
    <w:rsid w:val="003B4BEB"/>
    <w:rsid w:val="003B4C4D"/>
    <w:rsid w:val="003B58A0"/>
    <w:rsid w:val="003B5C1E"/>
    <w:rsid w:val="003B5E57"/>
    <w:rsid w:val="003B66D8"/>
    <w:rsid w:val="003B6A46"/>
    <w:rsid w:val="003B75B6"/>
    <w:rsid w:val="003B7993"/>
    <w:rsid w:val="003B7D76"/>
    <w:rsid w:val="003C0608"/>
    <w:rsid w:val="003C1B83"/>
    <w:rsid w:val="003C1BEB"/>
    <w:rsid w:val="003C2117"/>
    <w:rsid w:val="003C240B"/>
    <w:rsid w:val="003C3743"/>
    <w:rsid w:val="003C37DD"/>
    <w:rsid w:val="003C3AA1"/>
    <w:rsid w:val="003C3B7C"/>
    <w:rsid w:val="003C41A6"/>
    <w:rsid w:val="003C4221"/>
    <w:rsid w:val="003C48B9"/>
    <w:rsid w:val="003C4BCC"/>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7D9"/>
    <w:rsid w:val="003D01EE"/>
    <w:rsid w:val="003D040A"/>
    <w:rsid w:val="003D0597"/>
    <w:rsid w:val="003D0681"/>
    <w:rsid w:val="003D239B"/>
    <w:rsid w:val="003D2615"/>
    <w:rsid w:val="003D27EB"/>
    <w:rsid w:val="003D2826"/>
    <w:rsid w:val="003D2F51"/>
    <w:rsid w:val="003D3130"/>
    <w:rsid w:val="003D3C9B"/>
    <w:rsid w:val="003D42D3"/>
    <w:rsid w:val="003D47AC"/>
    <w:rsid w:val="003D4A98"/>
    <w:rsid w:val="003D4AEA"/>
    <w:rsid w:val="003D4CFE"/>
    <w:rsid w:val="003D4D99"/>
    <w:rsid w:val="003D4F1A"/>
    <w:rsid w:val="003D56F2"/>
    <w:rsid w:val="003D5C21"/>
    <w:rsid w:val="003D690C"/>
    <w:rsid w:val="003D6921"/>
    <w:rsid w:val="003D6ACE"/>
    <w:rsid w:val="003D6CDE"/>
    <w:rsid w:val="003D6DA9"/>
    <w:rsid w:val="003D6FF4"/>
    <w:rsid w:val="003D772D"/>
    <w:rsid w:val="003D7A86"/>
    <w:rsid w:val="003D7AD3"/>
    <w:rsid w:val="003E01D9"/>
    <w:rsid w:val="003E0994"/>
    <w:rsid w:val="003E1692"/>
    <w:rsid w:val="003E1809"/>
    <w:rsid w:val="003E216F"/>
    <w:rsid w:val="003E28F8"/>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87C"/>
    <w:rsid w:val="003E70AE"/>
    <w:rsid w:val="003E7733"/>
    <w:rsid w:val="003E7AB6"/>
    <w:rsid w:val="003E7F07"/>
    <w:rsid w:val="003F0225"/>
    <w:rsid w:val="003F0347"/>
    <w:rsid w:val="003F0BC1"/>
    <w:rsid w:val="003F13B9"/>
    <w:rsid w:val="003F1803"/>
    <w:rsid w:val="003F34BA"/>
    <w:rsid w:val="003F44F7"/>
    <w:rsid w:val="003F4EFC"/>
    <w:rsid w:val="003F501F"/>
    <w:rsid w:val="003F51E3"/>
    <w:rsid w:val="003F5813"/>
    <w:rsid w:val="003F5895"/>
    <w:rsid w:val="003F60CA"/>
    <w:rsid w:val="003F625D"/>
    <w:rsid w:val="003F680B"/>
    <w:rsid w:val="003F71A6"/>
    <w:rsid w:val="003F7589"/>
    <w:rsid w:val="003F775B"/>
    <w:rsid w:val="003F78F2"/>
    <w:rsid w:val="003F79F8"/>
    <w:rsid w:val="004000B9"/>
    <w:rsid w:val="004004A0"/>
    <w:rsid w:val="00400A2F"/>
    <w:rsid w:val="00400C31"/>
    <w:rsid w:val="00401D88"/>
    <w:rsid w:val="004026DD"/>
    <w:rsid w:val="004028AB"/>
    <w:rsid w:val="004031BE"/>
    <w:rsid w:val="00403341"/>
    <w:rsid w:val="00403937"/>
    <w:rsid w:val="004043E8"/>
    <w:rsid w:val="00404BAA"/>
    <w:rsid w:val="00404FE8"/>
    <w:rsid w:val="0040543F"/>
    <w:rsid w:val="0040549E"/>
    <w:rsid w:val="004055A2"/>
    <w:rsid w:val="00406A5A"/>
    <w:rsid w:val="00406FEE"/>
    <w:rsid w:val="0040717C"/>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AA1"/>
    <w:rsid w:val="00412CEB"/>
    <w:rsid w:val="0041309F"/>
    <w:rsid w:val="004133EB"/>
    <w:rsid w:val="00413B67"/>
    <w:rsid w:val="004145E2"/>
    <w:rsid w:val="00414614"/>
    <w:rsid w:val="004149FB"/>
    <w:rsid w:val="00415390"/>
    <w:rsid w:val="0041568C"/>
    <w:rsid w:val="00415C71"/>
    <w:rsid w:val="00415D08"/>
    <w:rsid w:val="00416342"/>
    <w:rsid w:val="00417141"/>
    <w:rsid w:val="0041730F"/>
    <w:rsid w:val="00417513"/>
    <w:rsid w:val="0041756F"/>
    <w:rsid w:val="004205BE"/>
    <w:rsid w:val="00421009"/>
    <w:rsid w:val="004213DE"/>
    <w:rsid w:val="00421E06"/>
    <w:rsid w:val="0042210F"/>
    <w:rsid w:val="004222CB"/>
    <w:rsid w:val="00422879"/>
    <w:rsid w:val="00422AAE"/>
    <w:rsid w:val="00422C7C"/>
    <w:rsid w:val="004236C9"/>
    <w:rsid w:val="00423D29"/>
    <w:rsid w:val="00423F65"/>
    <w:rsid w:val="00424051"/>
    <w:rsid w:val="00424983"/>
    <w:rsid w:val="00424BA7"/>
    <w:rsid w:val="00424D3B"/>
    <w:rsid w:val="00425434"/>
    <w:rsid w:val="004254E1"/>
    <w:rsid w:val="0042598D"/>
    <w:rsid w:val="00425C8C"/>
    <w:rsid w:val="004262DE"/>
    <w:rsid w:val="004265AB"/>
    <w:rsid w:val="004266C6"/>
    <w:rsid w:val="00426D8C"/>
    <w:rsid w:val="00426F25"/>
    <w:rsid w:val="004273C9"/>
    <w:rsid w:val="00427863"/>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88C"/>
    <w:rsid w:val="00434C02"/>
    <w:rsid w:val="00435F37"/>
    <w:rsid w:val="004361E8"/>
    <w:rsid w:val="00436EEF"/>
    <w:rsid w:val="004374F9"/>
    <w:rsid w:val="00437684"/>
    <w:rsid w:val="00437687"/>
    <w:rsid w:val="00440075"/>
    <w:rsid w:val="0044061C"/>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315"/>
    <w:rsid w:val="004473FA"/>
    <w:rsid w:val="0044745E"/>
    <w:rsid w:val="0044754D"/>
    <w:rsid w:val="0044772C"/>
    <w:rsid w:val="004477D1"/>
    <w:rsid w:val="00447B88"/>
    <w:rsid w:val="00447CBE"/>
    <w:rsid w:val="00450130"/>
    <w:rsid w:val="004508B4"/>
    <w:rsid w:val="00450C61"/>
    <w:rsid w:val="00450DED"/>
    <w:rsid w:val="0045128A"/>
    <w:rsid w:val="0045170B"/>
    <w:rsid w:val="0045217C"/>
    <w:rsid w:val="0045238A"/>
    <w:rsid w:val="0045335F"/>
    <w:rsid w:val="004533CA"/>
    <w:rsid w:val="00454B89"/>
    <w:rsid w:val="004552FA"/>
    <w:rsid w:val="004555DA"/>
    <w:rsid w:val="00455755"/>
    <w:rsid w:val="004559EF"/>
    <w:rsid w:val="00455D2B"/>
    <w:rsid w:val="00455EAD"/>
    <w:rsid w:val="004565AE"/>
    <w:rsid w:val="00456D80"/>
    <w:rsid w:val="00456E54"/>
    <w:rsid w:val="00457088"/>
    <w:rsid w:val="00457517"/>
    <w:rsid w:val="004601E9"/>
    <w:rsid w:val="00460495"/>
    <w:rsid w:val="0046077A"/>
    <w:rsid w:val="00460A57"/>
    <w:rsid w:val="00461303"/>
    <w:rsid w:val="00461423"/>
    <w:rsid w:val="004615BD"/>
    <w:rsid w:val="004621E4"/>
    <w:rsid w:val="00462231"/>
    <w:rsid w:val="00462742"/>
    <w:rsid w:val="00462D0D"/>
    <w:rsid w:val="00463720"/>
    <w:rsid w:val="00463C55"/>
    <w:rsid w:val="004644C2"/>
    <w:rsid w:val="00465159"/>
    <w:rsid w:val="00465464"/>
    <w:rsid w:val="00465A0A"/>
    <w:rsid w:val="00466B52"/>
    <w:rsid w:val="004671A7"/>
    <w:rsid w:val="00470E05"/>
    <w:rsid w:val="00471FF0"/>
    <w:rsid w:val="00472340"/>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511"/>
    <w:rsid w:val="00477BC0"/>
    <w:rsid w:val="00477CB5"/>
    <w:rsid w:val="00480D9F"/>
    <w:rsid w:val="00480F7F"/>
    <w:rsid w:val="004824BC"/>
    <w:rsid w:val="004827D3"/>
    <w:rsid w:val="00482922"/>
    <w:rsid w:val="00482AC8"/>
    <w:rsid w:val="00482B3E"/>
    <w:rsid w:val="0048311F"/>
    <w:rsid w:val="0048430A"/>
    <w:rsid w:val="004843BB"/>
    <w:rsid w:val="004843FE"/>
    <w:rsid w:val="00485F24"/>
    <w:rsid w:val="00486155"/>
    <w:rsid w:val="004861D2"/>
    <w:rsid w:val="00486784"/>
    <w:rsid w:val="00486913"/>
    <w:rsid w:val="00486C85"/>
    <w:rsid w:val="00486F2A"/>
    <w:rsid w:val="00487761"/>
    <w:rsid w:val="00487A2B"/>
    <w:rsid w:val="00487B36"/>
    <w:rsid w:val="00487C0E"/>
    <w:rsid w:val="00490B15"/>
    <w:rsid w:val="00491082"/>
    <w:rsid w:val="004929E7"/>
    <w:rsid w:val="00492B6F"/>
    <w:rsid w:val="0049347A"/>
    <w:rsid w:val="00493901"/>
    <w:rsid w:val="00493A80"/>
    <w:rsid w:val="00493E3C"/>
    <w:rsid w:val="004940E3"/>
    <w:rsid w:val="004943F8"/>
    <w:rsid w:val="004949A7"/>
    <w:rsid w:val="004949F9"/>
    <w:rsid w:val="004952F8"/>
    <w:rsid w:val="00495992"/>
    <w:rsid w:val="00495B1E"/>
    <w:rsid w:val="00495C18"/>
    <w:rsid w:val="004960F8"/>
    <w:rsid w:val="004966AC"/>
    <w:rsid w:val="00496B6D"/>
    <w:rsid w:val="004971AF"/>
    <w:rsid w:val="00497DD3"/>
    <w:rsid w:val="00497EFB"/>
    <w:rsid w:val="004A01BA"/>
    <w:rsid w:val="004A03FD"/>
    <w:rsid w:val="004A0856"/>
    <w:rsid w:val="004A106C"/>
    <w:rsid w:val="004A11E9"/>
    <w:rsid w:val="004A167D"/>
    <w:rsid w:val="004A19F8"/>
    <w:rsid w:val="004A1C44"/>
    <w:rsid w:val="004A1FE4"/>
    <w:rsid w:val="004A313B"/>
    <w:rsid w:val="004A35CB"/>
    <w:rsid w:val="004A3CE3"/>
    <w:rsid w:val="004A3CF0"/>
    <w:rsid w:val="004A4611"/>
    <w:rsid w:val="004A5008"/>
    <w:rsid w:val="004A51FC"/>
    <w:rsid w:val="004A5733"/>
    <w:rsid w:val="004A58F4"/>
    <w:rsid w:val="004A5BC8"/>
    <w:rsid w:val="004A62AE"/>
    <w:rsid w:val="004A6411"/>
    <w:rsid w:val="004A732D"/>
    <w:rsid w:val="004A78E0"/>
    <w:rsid w:val="004B0BCF"/>
    <w:rsid w:val="004B1051"/>
    <w:rsid w:val="004B1989"/>
    <w:rsid w:val="004B1FD3"/>
    <w:rsid w:val="004B200B"/>
    <w:rsid w:val="004B22E4"/>
    <w:rsid w:val="004B2EA4"/>
    <w:rsid w:val="004B3F3C"/>
    <w:rsid w:val="004B414D"/>
    <w:rsid w:val="004B4C3F"/>
    <w:rsid w:val="004B4F63"/>
    <w:rsid w:val="004B54BF"/>
    <w:rsid w:val="004B581F"/>
    <w:rsid w:val="004B69F9"/>
    <w:rsid w:val="004B7156"/>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318"/>
    <w:rsid w:val="004C79CB"/>
    <w:rsid w:val="004C7F96"/>
    <w:rsid w:val="004C7FEA"/>
    <w:rsid w:val="004D03F8"/>
    <w:rsid w:val="004D053D"/>
    <w:rsid w:val="004D0835"/>
    <w:rsid w:val="004D0929"/>
    <w:rsid w:val="004D0EC6"/>
    <w:rsid w:val="004D1015"/>
    <w:rsid w:val="004D1BB6"/>
    <w:rsid w:val="004D2B97"/>
    <w:rsid w:val="004D2F08"/>
    <w:rsid w:val="004D37D9"/>
    <w:rsid w:val="004D3B81"/>
    <w:rsid w:val="004D3BFC"/>
    <w:rsid w:val="004D47CA"/>
    <w:rsid w:val="004D4A60"/>
    <w:rsid w:val="004D5291"/>
    <w:rsid w:val="004D5720"/>
    <w:rsid w:val="004D57FA"/>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8C9"/>
    <w:rsid w:val="004E354B"/>
    <w:rsid w:val="004E37B3"/>
    <w:rsid w:val="004E3954"/>
    <w:rsid w:val="004E3A08"/>
    <w:rsid w:val="004E418C"/>
    <w:rsid w:val="004E41F9"/>
    <w:rsid w:val="004E5077"/>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50007E"/>
    <w:rsid w:val="005004AB"/>
    <w:rsid w:val="0050064D"/>
    <w:rsid w:val="00501203"/>
    <w:rsid w:val="0050166C"/>
    <w:rsid w:val="00502503"/>
    <w:rsid w:val="00503146"/>
    <w:rsid w:val="005037D3"/>
    <w:rsid w:val="0050402B"/>
    <w:rsid w:val="00504DE7"/>
    <w:rsid w:val="00505416"/>
    <w:rsid w:val="00505EE8"/>
    <w:rsid w:val="00506628"/>
    <w:rsid w:val="0050667E"/>
    <w:rsid w:val="0050686C"/>
    <w:rsid w:val="00510042"/>
    <w:rsid w:val="0051034E"/>
    <w:rsid w:val="005106AE"/>
    <w:rsid w:val="005108DB"/>
    <w:rsid w:val="00511052"/>
    <w:rsid w:val="00512398"/>
    <w:rsid w:val="00512761"/>
    <w:rsid w:val="00512F79"/>
    <w:rsid w:val="005133F0"/>
    <w:rsid w:val="00513490"/>
    <w:rsid w:val="00513AA6"/>
    <w:rsid w:val="00513DDE"/>
    <w:rsid w:val="00513EEF"/>
    <w:rsid w:val="0051417A"/>
    <w:rsid w:val="0051498D"/>
    <w:rsid w:val="00514B6B"/>
    <w:rsid w:val="005157A3"/>
    <w:rsid w:val="00515CF0"/>
    <w:rsid w:val="00516058"/>
    <w:rsid w:val="00516CEC"/>
    <w:rsid w:val="00516E19"/>
    <w:rsid w:val="00516F78"/>
    <w:rsid w:val="0051725B"/>
    <w:rsid w:val="005176DA"/>
    <w:rsid w:val="00517C4E"/>
    <w:rsid w:val="00517F83"/>
    <w:rsid w:val="0052085C"/>
    <w:rsid w:val="005211D1"/>
    <w:rsid w:val="00521285"/>
    <w:rsid w:val="00521974"/>
    <w:rsid w:val="00521BB2"/>
    <w:rsid w:val="005226E7"/>
    <w:rsid w:val="00522C35"/>
    <w:rsid w:val="005230CF"/>
    <w:rsid w:val="005237BF"/>
    <w:rsid w:val="00523872"/>
    <w:rsid w:val="00523B79"/>
    <w:rsid w:val="00523F4F"/>
    <w:rsid w:val="00524222"/>
    <w:rsid w:val="0052426B"/>
    <w:rsid w:val="005251AF"/>
    <w:rsid w:val="00525625"/>
    <w:rsid w:val="0052565F"/>
    <w:rsid w:val="005257FA"/>
    <w:rsid w:val="00525FD8"/>
    <w:rsid w:val="00526066"/>
    <w:rsid w:val="0052676F"/>
    <w:rsid w:val="00527C5E"/>
    <w:rsid w:val="00530636"/>
    <w:rsid w:val="00531097"/>
    <w:rsid w:val="005312C4"/>
    <w:rsid w:val="00531B27"/>
    <w:rsid w:val="00531B61"/>
    <w:rsid w:val="005321C7"/>
    <w:rsid w:val="00532D50"/>
    <w:rsid w:val="00533173"/>
    <w:rsid w:val="00533667"/>
    <w:rsid w:val="00533B29"/>
    <w:rsid w:val="00533EE3"/>
    <w:rsid w:val="00533F51"/>
    <w:rsid w:val="005340A8"/>
    <w:rsid w:val="00534681"/>
    <w:rsid w:val="00534C70"/>
    <w:rsid w:val="00534F0A"/>
    <w:rsid w:val="0053507E"/>
    <w:rsid w:val="00535644"/>
    <w:rsid w:val="00535724"/>
    <w:rsid w:val="00536119"/>
    <w:rsid w:val="005366B7"/>
    <w:rsid w:val="005366C2"/>
    <w:rsid w:val="00536A19"/>
    <w:rsid w:val="00537268"/>
    <w:rsid w:val="0053737F"/>
    <w:rsid w:val="0053741D"/>
    <w:rsid w:val="00537633"/>
    <w:rsid w:val="00537A7E"/>
    <w:rsid w:val="00537A8F"/>
    <w:rsid w:val="0054030C"/>
    <w:rsid w:val="00540E7A"/>
    <w:rsid w:val="005418CB"/>
    <w:rsid w:val="00541AA0"/>
    <w:rsid w:val="00541B86"/>
    <w:rsid w:val="0054225C"/>
    <w:rsid w:val="005424B9"/>
    <w:rsid w:val="00542A53"/>
    <w:rsid w:val="00542A94"/>
    <w:rsid w:val="00542C1F"/>
    <w:rsid w:val="00542FEA"/>
    <w:rsid w:val="0054480E"/>
    <w:rsid w:val="005458B0"/>
    <w:rsid w:val="00545DEA"/>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BFF"/>
    <w:rsid w:val="00553C9B"/>
    <w:rsid w:val="00553F6A"/>
    <w:rsid w:val="00554A00"/>
    <w:rsid w:val="00554D44"/>
    <w:rsid w:val="0055523C"/>
    <w:rsid w:val="00555507"/>
    <w:rsid w:val="00555B2B"/>
    <w:rsid w:val="00555DA2"/>
    <w:rsid w:val="005566C3"/>
    <w:rsid w:val="00556D9D"/>
    <w:rsid w:val="005575B6"/>
    <w:rsid w:val="00557AFD"/>
    <w:rsid w:val="00557E6B"/>
    <w:rsid w:val="00557EFC"/>
    <w:rsid w:val="005612E0"/>
    <w:rsid w:val="0056147D"/>
    <w:rsid w:val="00561D8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6CC0"/>
    <w:rsid w:val="00576F1A"/>
    <w:rsid w:val="00576F3F"/>
    <w:rsid w:val="00577B9F"/>
    <w:rsid w:val="005809AD"/>
    <w:rsid w:val="00580EFF"/>
    <w:rsid w:val="00581595"/>
    <w:rsid w:val="00581691"/>
    <w:rsid w:val="00582255"/>
    <w:rsid w:val="005823F5"/>
    <w:rsid w:val="00582553"/>
    <w:rsid w:val="00582AFE"/>
    <w:rsid w:val="00582BB2"/>
    <w:rsid w:val="00583717"/>
    <w:rsid w:val="00585676"/>
    <w:rsid w:val="0058596F"/>
    <w:rsid w:val="00585B9D"/>
    <w:rsid w:val="005868C4"/>
    <w:rsid w:val="00586E1E"/>
    <w:rsid w:val="00587317"/>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CA4"/>
    <w:rsid w:val="005A0FF0"/>
    <w:rsid w:val="005A1689"/>
    <w:rsid w:val="005A16E1"/>
    <w:rsid w:val="005A20D8"/>
    <w:rsid w:val="005A2854"/>
    <w:rsid w:val="005A3C63"/>
    <w:rsid w:val="005A3D01"/>
    <w:rsid w:val="005A3E28"/>
    <w:rsid w:val="005A43CF"/>
    <w:rsid w:val="005A470B"/>
    <w:rsid w:val="005A489C"/>
    <w:rsid w:val="005A511F"/>
    <w:rsid w:val="005A6444"/>
    <w:rsid w:val="005A6507"/>
    <w:rsid w:val="005A68B5"/>
    <w:rsid w:val="005A694F"/>
    <w:rsid w:val="005A6A30"/>
    <w:rsid w:val="005A6AA4"/>
    <w:rsid w:val="005A6FA4"/>
    <w:rsid w:val="005A7078"/>
    <w:rsid w:val="005A7084"/>
    <w:rsid w:val="005A7746"/>
    <w:rsid w:val="005A7CAD"/>
    <w:rsid w:val="005B04B9"/>
    <w:rsid w:val="005B0571"/>
    <w:rsid w:val="005B0C84"/>
    <w:rsid w:val="005B0E94"/>
    <w:rsid w:val="005B213A"/>
    <w:rsid w:val="005B21D7"/>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43F"/>
    <w:rsid w:val="005C05B8"/>
    <w:rsid w:val="005C0D84"/>
    <w:rsid w:val="005C0E8B"/>
    <w:rsid w:val="005C16A4"/>
    <w:rsid w:val="005C1DA1"/>
    <w:rsid w:val="005C296F"/>
    <w:rsid w:val="005C2D3A"/>
    <w:rsid w:val="005C2E93"/>
    <w:rsid w:val="005C38DF"/>
    <w:rsid w:val="005C3C01"/>
    <w:rsid w:val="005C3C0B"/>
    <w:rsid w:val="005C406B"/>
    <w:rsid w:val="005C4819"/>
    <w:rsid w:val="005C486A"/>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308A"/>
    <w:rsid w:val="005D35F5"/>
    <w:rsid w:val="005D37E5"/>
    <w:rsid w:val="005D3E9C"/>
    <w:rsid w:val="005D429D"/>
    <w:rsid w:val="005D4B4E"/>
    <w:rsid w:val="005D51EF"/>
    <w:rsid w:val="005D5D05"/>
    <w:rsid w:val="005D6141"/>
    <w:rsid w:val="005D640E"/>
    <w:rsid w:val="005D733D"/>
    <w:rsid w:val="005D7607"/>
    <w:rsid w:val="005D7D41"/>
    <w:rsid w:val="005E01ED"/>
    <w:rsid w:val="005E0294"/>
    <w:rsid w:val="005E033C"/>
    <w:rsid w:val="005E03AA"/>
    <w:rsid w:val="005E049C"/>
    <w:rsid w:val="005E091A"/>
    <w:rsid w:val="005E16C7"/>
    <w:rsid w:val="005E1E52"/>
    <w:rsid w:val="005E22F6"/>
    <w:rsid w:val="005E2345"/>
    <w:rsid w:val="005E2B0A"/>
    <w:rsid w:val="005E2C0D"/>
    <w:rsid w:val="005E2ECB"/>
    <w:rsid w:val="005E32A7"/>
    <w:rsid w:val="005E3756"/>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E4B"/>
    <w:rsid w:val="005F07F1"/>
    <w:rsid w:val="005F0CE2"/>
    <w:rsid w:val="005F16CF"/>
    <w:rsid w:val="005F1BFF"/>
    <w:rsid w:val="005F1D37"/>
    <w:rsid w:val="005F25B4"/>
    <w:rsid w:val="005F2922"/>
    <w:rsid w:val="005F2E59"/>
    <w:rsid w:val="005F3017"/>
    <w:rsid w:val="005F36CB"/>
    <w:rsid w:val="005F392C"/>
    <w:rsid w:val="005F39D0"/>
    <w:rsid w:val="005F3EC2"/>
    <w:rsid w:val="005F418D"/>
    <w:rsid w:val="005F4347"/>
    <w:rsid w:val="005F4852"/>
    <w:rsid w:val="005F4ECE"/>
    <w:rsid w:val="005F4FE1"/>
    <w:rsid w:val="005F564C"/>
    <w:rsid w:val="005F6653"/>
    <w:rsid w:val="005F683E"/>
    <w:rsid w:val="005F703F"/>
    <w:rsid w:val="005F717F"/>
    <w:rsid w:val="005F7598"/>
    <w:rsid w:val="005F75B1"/>
    <w:rsid w:val="005F7608"/>
    <w:rsid w:val="005F7966"/>
    <w:rsid w:val="006002D5"/>
    <w:rsid w:val="00600A6A"/>
    <w:rsid w:val="006015D8"/>
    <w:rsid w:val="0060193D"/>
    <w:rsid w:val="00601B74"/>
    <w:rsid w:val="00602222"/>
    <w:rsid w:val="0060241C"/>
    <w:rsid w:val="00602BA7"/>
    <w:rsid w:val="00602DE0"/>
    <w:rsid w:val="00603177"/>
    <w:rsid w:val="00604FCD"/>
    <w:rsid w:val="00605206"/>
    <w:rsid w:val="00606B46"/>
    <w:rsid w:val="0060772D"/>
    <w:rsid w:val="006078DD"/>
    <w:rsid w:val="006101DE"/>
    <w:rsid w:val="00610FCF"/>
    <w:rsid w:val="006116FF"/>
    <w:rsid w:val="00611966"/>
    <w:rsid w:val="0061235A"/>
    <w:rsid w:val="0061235C"/>
    <w:rsid w:val="006127A5"/>
    <w:rsid w:val="0061456E"/>
    <w:rsid w:val="006153FE"/>
    <w:rsid w:val="00615AD8"/>
    <w:rsid w:val="00615FB6"/>
    <w:rsid w:val="00616B08"/>
    <w:rsid w:val="00616DC0"/>
    <w:rsid w:val="00616F1A"/>
    <w:rsid w:val="00617049"/>
    <w:rsid w:val="0061716A"/>
    <w:rsid w:val="00617732"/>
    <w:rsid w:val="00617FD2"/>
    <w:rsid w:val="00620455"/>
    <w:rsid w:val="0062051B"/>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5241"/>
    <w:rsid w:val="006354DE"/>
    <w:rsid w:val="0063552B"/>
    <w:rsid w:val="0063589D"/>
    <w:rsid w:val="00636270"/>
    <w:rsid w:val="00636809"/>
    <w:rsid w:val="00636977"/>
    <w:rsid w:val="006376DB"/>
    <w:rsid w:val="00637B55"/>
    <w:rsid w:val="006402B3"/>
    <w:rsid w:val="006405B2"/>
    <w:rsid w:val="006405F4"/>
    <w:rsid w:val="006408EF"/>
    <w:rsid w:val="00640C0C"/>
    <w:rsid w:val="00640E19"/>
    <w:rsid w:val="00640EF9"/>
    <w:rsid w:val="00640FE9"/>
    <w:rsid w:val="00641FD4"/>
    <w:rsid w:val="0064236F"/>
    <w:rsid w:val="00642BFF"/>
    <w:rsid w:val="00642C5C"/>
    <w:rsid w:val="00643AEA"/>
    <w:rsid w:val="00643C0E"/>
    <w:rsid w:val="00643C29"/>
    <w:rsid w:val="00644185"/>
    <w:rsid w:val="006441D4"/>
    <w:rsid w:val="006442F1"/>
    <w:rsid w:val="006454CB"/>
    <w:rsid w:val="00645CB6"/>
    <w:rsid w:val="00646F66"/>
    <w:rsid w:val="006475FC"/>
    <w:rsid w:val="00647B37"/>
    <w:rsid w:val="00647B4D"/>
    <w:rsid w:val="00647F11"/>
    <w:rsid w:val="00650129"/>
    <w:rsid w:val="00651A21"/>
    <w:rsid w:val="00651D65"/>
    <w:rsid w:val="006520EA"/>
    <w:rsid w:val="00652195"/>
    <w:rsid w:val="00652A02"/>
    <w:rsid w:val="00654F08"/>
    <w:rsid w:val="00655023"/>
    <w:rsid w:val="006551C6"/>
    <w:rsid w:val="006552A3"/>
    <w:rsid w:val="00655556"/>
    <w:rsid w:val="006555B3"/>
    <w:rsid w:val="00655824"/>
    <w:rsid w:val="00655886"/>
    <w:rsid w:val="00655B11"/>
    <w:rsid w:val="00655F38"/>
    <w:rsid w:val="006564C0"/>
    <w:rsid w:val="006568B7"/>
    <w:rsid w:val="00656D39"/>
    <w:rsid w:val="00656E56"/>
    <w:rsid w:val="00657704"/>
    <w:rsid w:val="00657746"/>
    <w:rsid w:val="00657E8E"/>
    <w:rsid w:val="00657F8F"/>
    <w:rsid w:val="00660370"/>
    <w:rsid w:val="00660D28"/>
    <w:rsid w:val="00661309"/>
    <w:rsid w:val="00661B5F"/>
    <w:rsid w:val="00661BEA"/>
    <w:rsid w:val="00661F24"/>
    <w:rsid w:val="006629D2"/>
    <w:rsid w:val="00662BC9"/>
    <w:rsid w:val="00663738"/>
    <w:rsid w:val="00663940"/>
    <w:rsid w:val="00664A27"/>
    <w:rsid w:val="00665032"/>
    <w:rsid w:val="006655B5"/>
    <w:rsid w:val="0066562A"/>
    <w:rsid w:val="00665B4B"/>
    <w:rsid w:val="00666109"/>
    <w:rsid w:val="006664E9"/>
    <w:rsid w:val="00666774"/>
    <w:rsid w:val="00666C75"/>
    <w:rsid w:val="0066735C"/>
    <w:rsid w:val="006675CA"/>
    <w:rsid w:val="00667624"/>
    <w:rsid w:val="00667883"/>
    <w:rsid w:val="00667915"/>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77EDE"/>
    <w:rsid w:val="00680706"/>
    <w:rsid w:val="0068081A"/>
    <w:rsid w:val="00680830"/>
    <w:rsid w:val="00681450"/>
    <w:rsid w:val="006816EC"/>
    <w:rsid w:val="00681E39"/>
    <w:rsid w:val="00682262"/>
    <w:rsid w:val="00682918"/>
    <w:rsid w:val="00682AAD"/>
    <w:rsid w:val="00682B0C"/>
    <w:rsid w:val="00682EBE"/>
    <w:rsid w:val="00683A27"/>
    <w:rsid w:val="00683DEA"/>
    <w:rsid w:val="006849BA"/>
    <w:rsid w:val="00684C4B"/>
    <w:rsid w:val="00684D06"/>
    <w:rsid w:val="00684DF8"/>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EB0"/>
    <w:rsid w:val="00692EC4"/>
    <w:rsid w:val="0069320E"/>
    <w:rsid w:val="00694158"/>
    <w:rsid w:val="00694202"/>
    <w:rsid w:val="00694310"/>
    <w:rsid w:val="00694421"/>
    <w:rsid w:val="006959E5"/>
    <w:rsid w:val="00696091"/>
    <w:rsid w:val="006960D4"/>
    <w:rsid w:val="00696307"/>
    <w:rsid w:val="0069667E"/>
    <w:rsid w:val="006972A1"/>
    <w:rsid w:val="006A02F7"/>
    <w:rsid w:val="006A08F1"/>
    <w:rsid w:val="006A11CD"/>
    <w:rsid w:val="006A1C43"/>
    <w:rsid w:val="006A2030"/>
    <w:rsid w:val="006A22C9"/>
    <w:rsid w:val="006A2407"/>
    <w:rsid w:val="006A2D9A"/>
    <w:rsid w:val="006A2DF4"/>
    <w:rsid w:val="006A2E37"/>
    <w:rsid w:val="006A30D3"/>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11D"/>
    <w:rsid w:val="006B7483"/>
    <w:rsid w:val="006B7C22"/>
    <w:rsid w:val="006B7D08"/>
    <w:rsid w:val="006B7E45"/>
    <w:rsid w:val="006C0971"/>
    <w:rsid w:val="006C0A3B"/>
    <w:rsid w:val="006C0E01"/>
    <w:rsid w:val="006C0E1A"/>
    <w:rsid w:val="006C1411"/>
    <w:rsid w:val="006C1807"/>
    <w:rsid w:val="006C1B26"/>
    <w:rsid w:val="006C26F1"/>
    <w:rsid w:val="006C3659"/>
    <w:rsid w:val="006C4115"/>
    <w:rsid w:val="006C5DAB"/>
    <w:rsid w:val="006C6116"/>
    <w:rsid w:val="006C628F"/>
    <w:rsid w:val="006C6C8E"/>
    <w:rsid w:val="006C6FBD"/>
    <w:rsid w:val="006D0A3E"/>
    <w:rsid w:val="006D0F48"/>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A2D"/>
    <w:rsid w:val="006D7EEF"/>
    <w:rsid w:val="006E0416"/>
    <w:rsid w:val="006E0506"/>
    <w:rsid w:val="006E0A23"/>
    <w:rsid w:val="006E0C6E"/>
    <w:rsid w:val="006E0D98"/>
    <w:rsid w:val="006E1432"/>
    <w:rsid w:val="006E188D"/>
    <w:rsid w:val="006E2546"/>
    <w:rsid w:val="006E27C4"/>
    <w:rsid w:val="006E3841"/>
    <w:rsid w:val="006E41E4"/>
    <w:rsid w:val="006E59A5"/>
    <w:rsid w:val="006E5A3A"/>
    <w:rsid w:val="006E5A48"/>
    <w:rsid w:val="006E64DC"/>
    <w:rsid w:val="006E68AE"/>
    <w:rsid w:val="006E6CBB"/>
    <w:rsid w:val="006E756D"/>
    <w:rsid w:val="006E78A4"/>
    <w:rsid w:val="006E7E40"/>
    <w:rsid w:val="006F0224"/>
    <w:rsid w:val="006F06EC"/>
    <w:rsid w:val="006F0A72"/>
    <w:rsid w:val="006F137B"/>
    <w:rsid w:val="006F1597"/>
    <w:rsid w:val="006F1961"/>
    <w:rsid w:val="006F19E9"/>
    <w:rsid w:val="006F1C0C"/>
    <w:rsid w:val="006F1E79"/>
    <w:rsid w:val="006F2284"/>
    <w:rsid w:val="006F2881"/>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7B7"/>
    <w:rsid w:val="00701B32"/>
    <w:rsid w:val="00701EBA"/>
    <w:rsid w:val="007024C3"/>
    <w:rsid w:val="00702E15"/>
    <w:rsid w:val="00702EDF"/>
    <w:rsid w:val="007032CA"/>
    <w:rsid w:val="00703376"/>
    <w:rsid w:val="007034CC"/>
    <w:rsid w:val="00703549"/>
    <w:rsid w:val="00703608"/>
    <w:rsid w:val="00703873"/>
    <w:rsid w:val="007043E9"/>
    <w:rsid w:val="00704DAA"/>
    <w:rsid w:val="007056B4"/>
    <w:rsid w:val="00705DF4"/>
    <w:rsid w:val="0070631D"/>
    <w:rsid w:val="00706378"/>
    <w:rsid w:val="00706D9F"/>
    <w:rsid w:val="007071DA"/>
    <w:rsid w:val="00707F6C"/>
    <w:rsid w:val="00707F8F"/>
    <w:rsid w:val="007113A8"/>
    <w:rsid w:val="00711992"/>
    <w:rsid w:val="00711B0E"/>
    <w:rsid w:val="00711C6D"/>
    <w:rsid w:val="00711F3A"/>
    <w:rsid w:val="007124B2"/>
    <w:rsid w:val="00712E42"/>
    <w:rsid w:val="00713057"/>
    <w:rsid w:val="007133CF"/>
    <w:rsid w:val="00713C88"/>
    <w:rsid w:val="00713E5F"/>
    <w:rsid w:val="0071444A"/>
    <w:rsid w:val="00715100"/>
    <w:rsid w:val="00715109"/>
    <w:rsid w:val="00715614"/>
    <w:rsid w:val="00715A52"/>
    <w:rsid w:val="00715B18"/>
    <w:rsid w:val="0071694E"/>
    <w:rsid w:val="00716A0E"/>
    <w:rsid w:val="00716C04"/>
    <w:rsid w:val="00716EB8"/>
    <w:rsid w:val="00717260"/>
    <w:rsid w:val="00717619"/>
    <w:rsid w:val="00717C23"/>
    <w:rsid w:val="00717D88"/>
    <w:rsid w:val="00717F10"/>
    <w:rsid w:val="007204BD"/>
    <w:rsid w:val="0072059E"/>
    <w:rsid w:val="00720C51"/>
    <w:rsid w:val="007215E1"/>
    <w:rsid w:val="00721660"/>
    <w:rsid w:val="00723C24"/>
    <w:rsid w:val="00723EEC"/>
    <w:rsid w:val="007242F0"/>
    <w:rsid w:val="007242F2"/>
    <w:rsid w:val="00724B80"/>
    <w:rsid w:val="007250B8"/>
    <w:rsid w:val="00725826"/>
    <w:rsid w:val="00725F27"/>
    <w:rsid w:val="00726242"/>
    <w:rsid w:val="00727B14"/>
    <w:rsid w:val="00727C11"/>
    <w:rsid w:val="00730246"/>
    <w:rsid w:val="00730D2E"/>
    <w:rsid w:val="00730E6C"/>
    <w:rsid w:val="00731705"/>
    <w:rsid w:val="00731877"/>
    <w:rsid w:val="00731BD4"/>
    <w:rsid w:val="00732E65"/>
    <w:rsid w:val="007331F7"/>
    <w:rsid w:val="0073338B"/>
    <w:rsid w:val="0073401F"/>
    <w:rsid w:val="007341EF"/>
    <w:rsid w:val="007346F4"/>
    <w:rsid w:val="007354CC"/>
    <w:rsid w:val="0073572A"/>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748"/>
    <w:rsid w:val="00743A24"/>
    <w:rsid w:val="00743E63"/>
    <w:rsid w:val="00743F0F"/>
    <w:rsid w:val="007440EB"/>
    <w:rsid w:val="00744A18"/>
    <w:rsid w:val="0074508B"/>
    <w:rsid w:val="00745892"/>
    <w:rsid w:val="00745B44"/>
    <w:rsid w:val="00745BFD"/>
    <w:rsid w:val="00745E6F"/>
    <w:rsid w:val="007462C8"/>
    <w:rsid w:val="00746D89"/>
    <w:rsid w:val="00746F22"/>
    <w:rsid w:val="00747E00"/>
    <w:rsid w:val="00750208"/>
    <w:rsid w:val="00750AEB"/>
    <w:rsid w:val="00750E5E"/>
    <w:rsid w:val="007517DB"/>
    <w:rsid w:val="00751FEB"/>
    <w:rsid w:val="0075223E"/>
    <w:rsid w:val="007527CC"/>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C8"/>
    <w:rsid w:val="00755937"/>
    <w:rsid w:val="007559B4"/>
    <w:rsid w:val="00755FE3"/>
    <w:rsid w:val="007567E5"/>
    <w:rsid w:val="00756C1E"/>
    <w:rsid w:val="0075716D"/>
    <w:rsid w:val="00757458"/>
    <w:rsid w:val="00757494"/>
    <w:rsid w:val="00757B67"/>
    <w:rsid w:val="00757E60"/>
    <w:rsid w:val="007601CE"/>
    <w:rsid w:val="00760351"/>
    <w:rsid w:val="00760586"/>
    <w:rsid w:val="00760730"/>
    <w:rsid w:val="00760F0B"/>
    <w:rsid w:val="00760FAB"/>
    <w:rsid w:val="00761DD8"/>
    <w:rsid w:val="007623C4"/>
    <w:rsid w:val="007624C1"/>
    <w:rsid w:val="0076292D"/>
    <w:rsid w:val="00762FDF"/>
    <w:rsid w:val="00763681"/>
    <w:rsid w:val="00763684"/>
    <w:rsid w:val="007636C3"/>
    <w:rsid w:val="00763CE6"/>
    <w:rsid w:val="007642AD"/>
    <w:rsid w:val="00764A43"/>
    <w:rsid w:val="00764F1A"/>
    <w:rsid w:val="00764FF4"/>
    <w:rsid w:val="00765396"/>
    <w:rsid w:val="00765DC3"/>
    <w:rsid w:val="00766197"/>
    <w:rsid w:val="007664E7"/>
    <w:rsid w:val="00767328"/>
    <w:rsid w:val="0076798D"/>
    <w:rsid w:val="00767CA3"/>
    <w:rsid w:val="0077045B"/>
    <w:rsid w:val="00770B76"/>
    <w:rsid w:val="00771020"/>
    <w:rsid w:val="00771822"/>
    <w:rsid w:val="00772EEC"/>
    <w:rsid w:val="00773443"/>
    <w:rsid w:val="00773871"/>
    <w:rsid w:val="00773F19"/>
    <w:rsid w:val="00773F92"/>
    <w:rsid w:val="0077409D"/>
    <w:rsid w:val="0077479F"/>
    <w:rsid w:val="007748E3"/>
    <w:rsid w:val="0077551B"/>
    <w:rsid w:val="00775741"/>
    <w:rsid w:val="00775DE7"/>
    <w:rsid w:val="00776120"/>
    <w:rsid w:val="007765A3"/>
    <w:rsid w:val="00776A33"/>
    <w:rsid w:val="00776AA8"/>
    <w:rsid w:val="00780288"/>
    <w:rsid w:val="00780E86"/>
    <w:rsid w:val="007815E7"/>
    <w:rsid w:val="00781C15"/>
    <w:rsid w:val="00782599"/>
    <w:rsid w:val="007832A6"/>
    <w:rsid w:val="00783DF8"/>
    <w:rsid w:val="007846C7"/>
    <w:rsid w:val="00784EBB"/>
    <w:rsid w:val="007852E5"/>
    <w:rsid w:val="007856F3"/>
    <w:rsid w:val="00786610"/>
    <w:rsid w:val="007866EC"/>
    <w:rsid w:val="00786CF5"/>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8FC"/>
    <w:rsid w:val="00796CA8"/>
    <w:rsid w:val="007972A8"/>
    <w:rsid w:val="0079732B"/>
    <w:rsid w:val="0079758D"/>
    <w:rsid w:val="007976AA"/>
    <w:rsid w:val="0079788E"/>
    <w:rsid w:val="007A0AB3"/>
    <w:rsid w:val="007A15C9"/>
    <w:rsid w:val="007A220B"/>
    <w:rsid w:val="007A2347"/>
    <w:rsid w:val="007A2A55"/>
    <w:rsid w:val="007A3152"/>
    <w:rsid w:val="007A32CB"/>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D4D"/>
    <w:rsid w:val="007B1D86"/>
    <w:rsid w:val="007B2622"/>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11FC"/>
    <w:rsid w:val="007C144B"/>
    <w:rsid w:val="007C1B9C"/>
    <w:rsid w:val="007C25C0"/>
    <w:rsid w:val="007C2931"/>
    <w:rsid w:val="007C2D2A"/>
    <w:rsid w:val="007C310F"/>
    <w:rsid w:val="007C4557"/>
    <w:rsid w:val="007C497B"/>
    <w:rsid w:val="007C4C81"/>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C74"/>
    <w:rsid w:val="007D5EBE"/>
    <w:rsid w:val="007D66E1"/>
    <w:rsid w:val="007D67EE"/>
    <w:rsid w:val="007D73F9"/>
    <w:rsid w:val="007D7460"/>
    <w:rsid w:val="007D74DE"/>
    <w:rsid w:val="007D77F4"/>
    <w:rsid w:val="007D7B0A"/>
    <w:rsid w:val="007E02EB"/>
    <w:rsid w:val="007E05F1"/>
    <w:rsid w:val="007E0956"/>
    <w:rsid w:val="007E09DA"/>
    <w:rsid w:val="007E0B76"/>
    <w:rsid w:val="007E15FF"/>
    <w:rsid w:val="007E177A"/>
    <w:rsid w:val="007E1D52"/>
    <w:rsid w:val="007E2C42"/>
    <w:rsid w:val="007E3897"/>
    <w:rsid w:val="007E38B0"/>
    <w:rsid w:val="007E38DC"/>
    <w:rsid w:val="007E3942"/>
    <w:rsid w:val="007E3B3B"/>
    <w:rsid w:val="007E3CF6"/>
    <w:rsid w:val="007E4C2F"/>
    <w:rsid w:val="007E51C0"/>
    <w:rsid w:val="007E5AB9"/>
    <w:rsid w:val="007E5BA3"/>
    <w:rsid w:val="007E5EB3"/>
    <w:rsid w:val="007E6177"/>
    <w:rsid w:val="007E61C8"/>
    <w:rsid w:val="007E63C3"/>
    <w:rsid w:val="007E673D"/>
    <w:rsid w:val="007E75D4"/>
    <w:rsid w:val="007E7851"/>
    <w:rsid w:val="007E7F1F"/>
    <w:rsid w:val="007F0902"/>
    <w:rsid w:val="007F0ABE"/>
    <w:rsid w:val="007F0B1C"/>
    <w:rsid w:val="007F10D2"/>
    <w:rsid w:val="007F161C"/>
    <w:rsid w:val="007F1987"/>
    <w:rsid w:val="007F272C"/>
    <w:rsid w:val="007F2BA0"/>
    <w:rsid w:val="007F3827"/>
    <w:rsid w:val="007F38D3"/>
    <w:rsid w:val="007F3E48"/>
    <w:rsid w:val="007F4A47"/>
    <w:rsid w:val="007F55F8"/>
    <w:rsid w:val="007F58DF"/>
    <w:rsid w:val="007F5C00"/>
    <w:rsid w:val="007F65A1"/>
    <w:rsid w:val="007F679D"/>
    <w:rsid w:val="007F6898"/>
    <w:rsid w:val="007F6C14"/>
    <w:rsid w:val="0080164B"/>
    <w:rsid w:val="00801F5F"/>
    <w:rsid w:val="00801FA1"/>
    <w:rsid w:val="008021E5"/>
    <w:rsid w:val="00802ADE"/>
    <w:rsid w:val="00802E6F"/>
    <w:rsid w:val="00802E78"/>
    <w:rsid w:val="008033F2"/>
    <w:rsid w:val="008036E7"/>
    <w:rsid w:val="00803D0F"/>
    <w:rsid w:val="00803EAE"/>
    <w:rsid w:val="008046F5"/>
    <w:rsid w:val="008055D2"/>
    <w:rsid w:val="008058E5"/>
    <w:rsid w:val="008060B5"/>
    <w:rsid w:val="008062C0"/>
    <w:rsid w:val="008063C5"/>
    <w:rsid w:val="0080741B"/>
    <w:rsid w:val="008075B9"/>
    <w:rsid w:val="00807EC8"/>
    <w:rsid w:val="00810D93"/>
    <w:rsid w:val="00811071"/>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9A4"/>
    <w:rsid w:val="00820ADE"/>
    <w:rsid w:val="00820DA6"/>
    <w:rsid w:val="00821281"/>
    <w:rsid w:val="008215D8"/>
    <w:rsid w:val="00822356"/>
    <w:rsid w:val="008224C7"/>
    <w:rsid w:val="00822598"/>
    <w:rsid w:val="008226B1"/>
    <w:rsid w:val="008228D9"/>
    <w:rsid w:val="00822B13"/>
    <w:rsid w:val="00822B5D"/>
    <w:rsid w:val="00822CB0"/>
    <w:rsid w:val="00822EC7"/>
    <w:rsid w:val="00822ECC"/>
    <w:rsid w:val="00823881"/>
    <w:rsid w:val="00823AB7"/>
    <w:rsid w:val="00823F13"/>
    <w:rsid w:val="008243D3"/>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72C4"/>
    <w:rsid w:val="00837407"/>
    <w:rsid w:val="00837A02"/>
    <w:rsid w:val="00840109"/>
    <w:rsid w:val="00840A63"/>
    <w:rsid w:val="00840C99"/>
    <w:rsid w:val="00840DB1"/>
    <w:rsid w:val="00841180"/>
    <w:rsid w:val="00841CB4"/>
    <w:rsid w:val="00842039"/>
    <w:rsid w:val="0084207F"/>
    <w:rsid w:val="008423BA"/>
    <w:rsid w:val="00842606"/>
    <w:rsid w:val="008431F3"/>
    <w:rsid w:val="008436F7"/>
    <w:rsid w:val="00844120"/>
    <w:rsid w:val="00844868"/>
    <w:rsid w:val="00844A87"/>
    <w:rsid w:val="00844D1E"/>
    <w:rsid w:val="00844E14"/>
    <w:rsid w:val="00845426"/>
    <w:rsid w:val="00845495"/>
    <w:rsid w:val="00845620"/>
    <w:rsid w:val="00845785"/>
    <w:rsid w:val="00846348"/>
    <w:rsid w:val="00846927"/>
    <w:rsid w:val="0084789D"/>
    <w:rsid w:val="008500EB"/>
    <w:rsid w:val="008502E6"/>
    <w:rsid w:val="008503B3"/>
    <w:rsid w:val="008508D0"/>
    <w:rsid w:val="00851528"/>
    <w:rsid w:val="00851BA7"/>
    <w:rsid w:val="008530B6"/>
    <w:rsid w:val="00853752"/>
    <w:rsid w:val="00853C45"/>
    <w:rsid w:val="0085404F"/>
    <w:rsid w:val="008540CC"/>
    <w:rsid w:val="0085421F"/>
    <w:rsid w:val="008542E6"/>
    <w:rsid w:val="008543BE"/>
    <w:rsid w:val="008543CE"/>
    <w:rsid w:val="00854731"/>
    <w:rsid w:val="008547DE"/>
    <w:rsid w:val="00855140"/>
    <w:rsid w:val="008558CA"/>
    <w:rsid w:val="00855B2A"/>
    <w:rsid w:val="008560F2"/>
    <w:rsid w:val="0085638D"/>
    <w:rsid w:val="00856455"/>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1BF"/>
    <w:rsid w:val="008643A9"/>
    <w:rsid w:val="008647CA"/>
    <w:rsid w:val="00864F0D"/>
    <w:rsid w:val="00865288"/>
    <w:rsid w:val="00865BA5"/>
    <w:rsid w:val="00865BC7"/>
    <w:rsid w:val="00866036"/>
    <w:rsid w:val="00866656"/>
    <w:rsid w:val="00866E3E"/>
    <w:rsid w:val="00867676"/>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1A7"/>
    <w:rsid w:val="008747F3"/>
    <w:rsid w:val="00874EE5"/>
    <w:rsid w:val="008750C9"/>
    <w:rsid w:val="0087583D"/>
    <w:rsid w:val="008762DB"/>
    <w:rsid w:val="008778B5"/>
    <w:rsid w:val="00877E02"/>
    <w:rsid w:val="00877E07"/>
    <w:rsid w:val="008805E0"/>
    <w:rsid w:val="00880FAB"/>
    <w:rsid w:val="008816BA"/>
    <w:rsid w:val="008816BC"/>
    <w:rsid w:val="00881EBB"/>
    <w:rsid w:val="008833E7"/>
    <w:rsid w:val="00883B30"/>
    <w:rsid w:val="00884478"/>
    <w:rsid w:val="00885064"/>
    <w:rsid w:val="00885ED7"/>
    <w:rsid w:val="008860CD"/>
    <w:rsid w:val="00887002"/>
    <w:rsid w:val="00887ADC"/>
    <w:rsid w:val="00887C11"/>
    <w:rsid w:val="00887E78"/>
    <w:rsid w:val="00890387"/>
    <w:rsid w:val="00890C94"/>
    <w:rsid w:val="00891CD5"/>
    <w:rsid w:val="00892637"/>
    <w:rsid w:val="008927DC"/>
    <w:rsid w:val="00892984"/>
    <w:rsid w:val="00892B53"/>
    <w:rsid w:val="00892D25"/>
    <w:rsid w:val="00893300"/>
    <w:rsid w:val="008935B0"/>
    <w:rsid w:val="00893D1C"/>
    <w:rsid w:val="00894202"/>
    <w:rsid w:val="008943E2"/>
    <w:rsid w:val="008952AA"/>
    <w:rsid w:val="00895583"/>
    <w:rsid w:val="0089560C"/>
    <w:rsid w:val="008958BB"/>
    <w:rsid w:val="00895F29"/>
    <w:rsid w:val="00896109"/>
    <w:rsid w:val="0089629B"/>
    <w:rsid w:val="00896A7D"/>
    <w:rsid w:val="00896E75"/>
    <w:rsid w:val="008970F9"/>
    <w:rsid w:val="00897441"/>
    <w:rsid w:val="00897455"/>
    <w:rsid w:val="008A053D"/>
    <w:rsid w:val="008A0879"/>
    <w:rsid w:val="008A097C"/>
    <w:rsid w:val="008A1CB3"/>
    <w:rsid w:val="008A2177"/>
    <w:rsid w:val="008A2ED7"/>
    <w:rsid w:val="008A30E4"/>
    <w:rsid w:val="008A313A"/>
    <w:rsid w:val="008A324A"/>
    <w:rsid w:val="008A3523"/>
    <w:rsid w:val="008A359E"/>
    <w:rsid w:val="008A4971"/>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51FA"/>
    <w:rsid w:val="008B5297"/>
    <w:rsid w:val="008B54A8"/>
    <w:rsid w:val="008B558F"/>
    <w:rsid w:val="008B626A"/>
    <w:rsid w:val="008B6390"/>
    <w:rsid w:val="008B69AF"/>
    <w:rsid w:val="008B6D2E"/>
    <w:rsid w:val="008B6D9D"/>
    <w:rsid w:val="008B6E1D"/>
    <w:rsid w:val="008B6F3A"/>
    <w:rsid w:val="008B7DA6"/>
    <w:rsid w:val="008C063B"/>
    <w:rsid w:val="008C081D"/>
    <w:rsid w:val="008C095A"/>
    <w:rsid w:val="008C165B"/>
    <w:rsid w:val="008C16EB"/>
    <w:rsid w:val="008C199F"/>
    <w:rsid w:val="008C1D78"/>
    <w:rsid w:val="008C21C4"/>
    <w:rsid w:val="008C23A8"/>
    <w:rsid w:val="008C2561"/>
    <w:rsid w:val="008C27DD"/>
    <w:rsid w:val="008C2BFF"/>
    <w:rsid w:val="008C2CB6"/>
    <w:rsid w:val="008C2EB7"/>
    <w:rsid w:val="008C2FA4"/>
    <w:rsid w:val="008C34F6"/>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2839"/>
    <w:rsid w:val="008D2920"/>
    <w:rsid w:val="008D2BCF"/>
    <w:rsid w:val="008D2C3B"/>
    <w:rsid w:val="008D326C"/>
    <w:rsid w:val="008D3C26"/>
    <w:rsid w:val="008D420E"/>
    <w:rsid w:val="008D4A06"/>
    <w:rsid w:val="008D4ECD"/>
    <w:rsid w:val="008D54D7"/>
    <w:rsid w:val="008D58E1"/>
    <w:rsid w:val="008D610F"/>
    <w:rsid w:val="008D6917"/>
    <w:rsid w:val="008D6E93"/>
    <w:rsid w:val="008D7017"/>
    <w:rsid w:val="008E0AE9"/>
    <w:rsid w:val="008E1B5A"/>
    <w:rsid w:val="008E1DB0"/>
    <w:rsid w:val="008E24F1"/>
    <w:rsid w:val="008E27BC"/>
    <w:rsid w:val="008E2FC4"/>
    <w:rsid w:val="008E335F"/>
    <w:rsid w:val="008E34AF"/>
    <w:rsid w:val="008E3C53"/>
    <w:rsid w:val="008E3E1C"/>
    <w:rsid w:val="008E4223"/>
    <w:rsid w:val="008E5603"/>
    <w:rsid w:val="008E5C16"/>
    <w:rsid w:val="008E5DB7"/>
    <w:rsid w:val="008E61F5"/>
    <w:rsid w:val="008E669F"/>
    <w:rsid w:val="008E684A"/>
    <w:rsid w:val="008E7352"/>
    <w:rsid w:val="008E789F"/>
    <w:rsid w:val="008E799F"/>
    <w:rsid w:val="008E7EC2"/>
    <w:rsid w:val="008F069B"/>
    <w:rsid w:val="008F08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2BC"/>
    <w:rsid w:val="008F5537"/>
    <w:rsid w:val="008F57B7"/>
    <w:rsid w:val="008F58D4"/>
    <w:rsid w:val="008F5BAC"/>
    <w:rsid w:val="008F5C6D"/>
    <w:rsid w:val="008F7008"/>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65C2"/>
    <w:rsid w:val="009065E7"/>
    <w:rsid w:val="009068FD"/>
    <w:rsid w:val="00906B4E"/>
    <w:rsid w:val="00906C63"/>
    <w:rsid w:val="00907598"/>
    <w:rsid w:val="00907C0C"/>
    <w:rsid w:val="00910B71"/>
    <w:rsid w:val="009113FB"/>
    <w:rsid w:val="00911A13"/>
    <w:rsid w:val="00912BB8"/>
    <w:rsid w:val="00912E60"/>
    <w:rsid w:val="00912EBF"/>
    <w:rsid w:val="009131BB"/>
    <w:rsid w:val="00913E7C"/>
    <w:rsid w:val="009140E6"/>
    <w:rsid w:val="00914FA0"/>
    <w:rsid w:val="00916A53"/>
    <w:rsid w:val="009175E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DEB"/>
    <w:rsid w:val="00926FF8"/>
    <w:rsid w:val="009275A0"/>
    <w:rsid w:val="00930839"/>
    <w:rsid w:val="0093091B"/>
    <w:rsid w:val="0093093F"/>
    <w:rsid w:val="009309A4"/>
    <w:rsid w:val="00930D3E"/>
    <w:rsid w:val="009313AC"/>
    <w:rsid w:val="00933264"/>
    <w:rsid w:val="00933D63"/>
    <w:rsid w:val="0093435D"/>
    <w:rsid w:val="009349EE"/>
    <w:rsid w:val="00934B18"/>
    <w:rsid w:val="00934BA6"/>
    <w:rsid w:val="00935348"/>
    <w:rsid w:val="0093689A"/>
    <w:rsid w:val="00936A4F"/>
    <w:rsid w:val="00936A58"/>
    <w:rsid w:val="00936E35"/>
    <w:rsid w:val="00937098"/>
    <w:rsid w:val="009373CC"/>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224"/>
    <w:rsid w:val="00943501"/>
    <w:rsid w:val="00944038"/>
    <w:rsid w:val="0094405D"/>
    <w:rsid w:val="00944785"/>
    <w:rsid w:val="00944F21"/>
    <w:rsid w:val="00945696"/>
    <w:rsid w:val="00945F1B"/>
    <w:rsid w:val="00945FC1"/>
    <w:rsid w:val="009466E8"/>
    <w:rsid w:val="00947B90"/>
    <w:rsid w:val="00947D80"/>
    <w:rsid w:val="009505C9"/>
    <w:rsid w:val="009508BD"/>
    <w:rsid w:val="00950DE2"/>
    <w:rsid w:val="00951287"/>
    <w:rsid w:val="00951C7D"/>
    <w:rsid w:val="00951DB6"/>
    <w:rsid w:val="00951E3F"/>
    <w:rsid w:val="0095238D"/>
    <w:rsid w:val="009528DC"/>
    <w:rsid w:val="009539B8"/>
    <w:rsid w:val="00953B5F"/>
    <w:rsid w:val="00954239"/>
    <w:rsid w:val="009549F0"/>
    <w:rsid w:val="009557E3"/>
    <w:rsid w:val="00955ABE"/>
    <w:rsid w:val="00955BAE"/>
    <w:rsid w:val="00955DAC"/>
    <w:rsid w:val="00955F40"/>
    <w:rsid w:val="009561E7"/>
    <w:rsid w:val="009565E7"/>
    <w:rsid w:val="009572F0"/>
    <w:rsid w:val="00957ABC"/>
    <w:rsid w:val="00957CD2"/>
    <w:rsid w:val="00960301"/>
    <w:rsid w:val="0096103D"/>
    <w:rsid w:val="009614A8"/>
    <w:rsid w:val="00961B8C"/>
    <w:rsid w:val="00961D9B"/>
    <w:rsid w:val="00963B64"/>
    <w:rsid w:val="0096440C"/>
    <w:rsid w:val="00964681"/>
    <w:rsid w:val="00964716"/>
    <w:rsid w:val="00964CC4"/>
    <w:rsid w:val="00964EF2"/>
    <w:rsid w:val="00964FF9"/>
    <w:rsid w:val="00965152"/>
    <w:rsid w:val="00965273"/>
    <w:rsid w:val="00965583"/>
    <w:rsid w:val="0096573F"/>
    <w:rsid w:val="00965952"/>
    <w:rsid w:val="00965BC4"/>
    <w:rsid w:val="00965BEA"/>
    <w:rsid w:val="00965E43"/>
    <w:rsid w:val="00966023"/>
    <w:rsid w:val="0096636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541"/>
    <w:rsid w:val="00974672"/>
    <w:rsid w:val="0097484F"/>
    <w:rsid w:val="0097498C"/>
    <w:rsid w:val="00974EF9"/>
    <w:rsid w:val="009750E6"/>
    <w:rsid w:val="00975C13"/>
    <w:rsid w:val="00975E69"/>
    <w:rsid w:val="0097612C"/>
    <w:rsid w:val="00976638"/>
    <w:rsid w:val="00976BF4"/>
    <w:rsid w:val="00977029"/>
    <w:rsid w:val="0097720A"/>
    <w:rsid w:val="009776E2"/>
    <w:rsid w:val="00977B7C"/>
    <w:rsid w:val="00977C79"/>
    <w:rsid w:val="009800DD"/>
    <w:rsid w:val="0098060F"/>
    <w:rsid w:val="00980B75"/>
    <w:rsid w:val="00980FD2"/>
    <w:rsid w:val="0098131D"/>
    <w:rsid w:val="009816FD"/>
    <w:rsid w:val="009817BE"/>
    <w:rsid w:val="0098266E"/>
    <w:rsid w:val="009827C6"/>
    <w:rsid w:val="009828C3"/>
    <w:rsid w:val="00982C5F"/>
    <w:rsid w:val="0098318F"/>
    <w:rsid w:val="009834E0"/>
    <w:rsid w:val="009837AE"/>
    <w:rsid w:val="009839A3"/>
    <w:rsid w:val="00984C06"/>
    <w:rsid w:val="00984C74"/>
    <w:rsid w:val="00985999"/>
    <w:rsid w:val="00985C79"/>
    <w:rsid w:val="00985D08"/>
    <w:rsid w:val="00985D19"/>
    <w:rsid w:val="00986123"/>
    <w:rsid w:val="00986385"/>
    <w:rsid w:val="0098642F"/>
    <w:rsid w:val="009865C1"/>
    <w:rsid w:val="0098707A"/>
    <w:rsid w:val="0098724D"/>
    <w:rsid w:val="00987346"/>
    <w:rsid w:val="00987903"/>
    <w:rsid w:val="00990201"/>
    <w:rsid w:val="0099055E"/>
    <w:rsid w:val="00990AC8"/>
    <w:rsid w:val="00990B26"/>
    <w:rsid w:val="00990C91"/>
    <w:rsid w:val="00990DA8"/>
    <w:rsid w:val="0099131B"/>
    <w:rsid w:val="0099142A"/>
    <w:rsid w:val="009927E2"/>
    <w:rsid w:val="00992898"/>
    <w:rsid w:val="00992FB6"/>
    <w:rsid w:val="009936DC"/>
    <w:rsid w:val="00993802"/>
    <w:rsid w:val="00993809"/>
    <w:rsid w:val="009938E1"/>
    <w:rsid w:val="00993A60"/>
    <w:rsid w:val="00993C4B"/>
    <w:rsid w:val="00993EE4"/>
    <w:rsid w:val="00994544"/>
    <w:rsid w:val="00994604"/>
    <w:rsid w:val="00994BC0"/>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C4B"/>
    <w:rsid w:val="009A0D10"/>
    <w:rsid w:val="009A195F"/>
    <w:rsid w:val="009A27E9"/>
    <w:rsid w:val="009A34E2"/>
    <w:rsid w:val="009A40D7"/>
    <w:rsid w:val="009A420D"/>
    <w:rsid w:val="009A455A"/>
    <w:rsid w:val="009A48D2"/>
    <w:rsid w:val="009A5514"/>
    <w:rsid w:val="009A5AD5"/>
    <w:rsid w:val="009A5B00"/>
    <w:rsid w:val="009A5D5D"/>
    <w:rsid w:val="009A5FB8"/>
    <w:rsid w:val="009A61AF"/>
    <w:rsid w:val="009A6A95"/>
    <w:rsid w:val="009A7BAA"/>
    <w:rsid w:val="009B034F"/>
    <w:rsid w:val="009B0541"/>
    <w:rsid w:val="009B1243"/>
    <w:rsid w:val="009B164E"/>
    <w:rsid w:val="009B1C9B"/>
    <w:rsid w:val="009B388C"/>
    <w:rsid w:val="009B41A5"/>
    <w:rsid w:val="009B41C3"/>
    <w:rsid w:val="009B421B"/>
    <w:rsid w:val="009B43A2"/>
    <w:rsid w:val="009B4820"/>
    <w:rsid w:val="009B4996"/>
    <w:rsid w:val="009B545F"/>
    <w:rsid w:val="009B55CA"/>
    <w:rsid w:val="009B5939"/>
    <w:rsid w:val="009B65BF"/>
    <w:rsid w:val="009B7AE9"/>
    <w:rsid w:val="009C07B9"/>
    <w:rsid w:val="009C152E"/>
    <w:rsid w:val="009C17A9"/>
    <w:rsid w:val="009C1D1C"/>
    <w:rsid w:val="009C1DB0"/>
    <w:rsid w:val="009C1F5F"/>
    <w:rsid w:val="009C23B5"/>
    <w:rsid w:val="009C25B1"/>
    <w:rsid w:val="009C288E"/>
    <w:rsid w:val="009C289F"/>
    <w:rsid w:val="009C29CE"/>
    <w:rsid w:val="009C3068"/>
    <w:rsid w:val="009C394F"/>
    <w:rsid w:val="009C3C79"/>
    <w:rsid w:val="009C42A2"/>
    <w:rsid w:val="009C43B1"/>
    <w:rsid w:val="009C4415"/>
    <w:rsid w:val="009C50AE"/>
    <w:rsid w:val="009C59CB"/>
    <w:rsid w:val="009C5CFD"/>
    <w:rsid w:val="009C6495"/>
    <w:rsid w:val="009C6AAF"/>
    <w:rsid w:val="009C6DAA"/>
    <w:rsid w:val="009C7797"/>
    <w:rsid w:val="009C7A85"/>
    <w:rsid w:val="009C7ADE"/>
    <w:rsid w:val="009D0052"/>
    <w:rsid w:val="009D0802"/>
    <w:rsid w:val="009D085A"/>
    <w:rsid w:val="009D0B6F"/>
    <w:rsid w:val="009D0CC9"/>
    <w:rsid w:val="009D14E9"/>
    <w:rsid w:val="009D285D"/>
    <w:rsid w:val="009D4005"/>
    <w:rsid w:val="009D4693"/>
    <w:rsid w:val="009D48AC"/>
    <w:rsid w:val="009D5130"/>
    <w:rsid w:val="009D541A"/>
    <w:rsid w:val="009D5950"/>
    <w:rsid w:val="009D5AE2"/>
    <w:rsid w:val="009D5B52"/>
    <w:rsid w:val="009D69BD"/>
    <w:rsid w:val="009D71A3"/>
    <w:rsid w:val="009D72FF"/>
    <w:rsid w:val="009E00AD"/>
    <w:rsid w:val="009E0975"/>
    <w:rsid w:val="009E1189"/>
    <w:rsid w:val="009E11A5"/>
    <w:rsid w:val="009E1B90"/>
    <w:rsid w:val="009E217F"/>
    <w:rsid w:val="009E2327"/>
    <w:rsid w:val="009E2B18"/>
    <w:rsid w:val="009E3651"/>
    <w:rsid w:val="009E3811"/>
    <w:rsid w:val="009E39A8"/>
    <w:rsid w:val="009E3F82"/>
    <w:rsid w:val="009E4231"/>
    <w:rsid w:val="009E592B"/>
    <w:rsid w:val="009E5ACA"/>
    <w:rsid w:val="009E5B40"/>
    <w:rsid w:val="009E5DD9"/>
    <w:rsid w:val="009E5E74"/>
    <w:rsid w:val="009E5E84"/>
    <w:rsid w:val="009E64DB"/>
    <w:rsid w:val="009E65A0"/>
    <w:rsid w:val="009E7798"/>
    <w:rsid w:val="009E7CB4"/>
    <w:rsid w:val="009F0362"/>
    <w:rsid w:val="009F071C"/>
    <w:rsid w:val="009F16AC"/>
    <w:rsid w:val="009F2297"/>
    <w:rsid w:val="009F26F8"/>
    <w:rsid w:val="009F27FF"/>
    <w:rsid w:val="009F2CAD"/>
    <w:rsid w:val="009F30C3"/>
    <w:rsid w:val="009F354E"/>
    <w:rsid w:val="009F364A"/>
    <w:rsid w:val="009F3DDC"/>
    <w:rsid w:val="009F4EC3"/>
    <w:rsid w:val="009F54D4"/>
    <w:rsid w:val="009F559D"/>
    <w:rsid w:val="009F562D"/>
    <w:rsid w:val="009F5C80"/>
    <w:rsid w:val="009F7A33"/>
    <w:rsid w:val="009F7C10"/>
    <w:rsid w:val="00A008A0"/>
    <w:rsid w:val="00A009D0"/>
    <w:rsid w:val="00A016D3"/>
    <w:rsid w:val="00A01FD4"/>
    <w:rsid w:val="00A0202F"/>
    <w:rsid w:val="00A023DE"/>
    <w:rsid w:val="00A032AA"/>
    <w:rsid w:val="00A03619"/>
    <w:rsid w:val="00A038C6"/>
    <w:rsid w:val="00A03A44"/>
    <w:rsid w:val="00A0441B"/>
    <w:rsid w:val="00A04D4E"/>
    <w:rsid w:val="00A05308"/>
    <w:rsid w:val="00A0534D"/>
    <w:rsid w:val="00A05864"/>
    <w:rsid w:val="00A059FB"/>
    <w:rsid w:val="00A0618D"/>
    <w:rsid w:val="00A07048"/>
    <w:rsid w:val="00A07662"/>
    <w:rsid w:val="00A07A0A"/>
    <w:rsid w:val="00A1079F"/>
    <w:rsid w:val="00A108F0"/>
    <w:rsid w:val="00A108F9"/>
    <w:rsid w:val="00A10FFE"/>
    <w:rsid w:val="00A115FE"/>
    <w:rsid w:val="00A11FBB"/>
    <w:rsid w:val="00A122F7"/>
    <w:rsid w:val="00A123E1"/>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5B2"/>
    <w:rsid w:val="00A15C7F"/>
    <w:rsid w:val="00A16109"/>
    <w:rsid w:val="00A16BD6"/>
    <w:rsid w:val="00A16C49"/>
    <w:rsid w:val="00A16CAC"/>
    <w:rsid w:val="00A17A25"/>
    <w:rsid w:val="00A17BD3"/>
    <w:rsid w:val="00A17E4E"/>
    <w:rsid w:val="00A17F1A"/>
    <w:rsid w:val="00A2020B"/>
    <w:rsid w:val="00A20ADB"/>
    <w:rsid w:val="00A20D04"/>
    <w:rsid w:val="00A20D7D"/>
    <w:rsid w:val="00A20E46"/>
    <w:rsid w:val="00A21969"/>
    <w:rsid w:val="00A21C50"/>
    <w:rsid w:val="00A2210D"/>
    <w:rsid w:val="00A222A6"/>
    <w:rsid w:val="00A22515"/>
    <w:rsid w:val="00A226C5"/>
    <w:rsid w:val="00A22DBA"/>
    <w:rsid w:val="00A23262"/>
    <w:rsid w:val="00A23B11"/>
    <w:rsid w:val="00A23D92"/>
    <w:rsid w:val="00A245EC"/>
    <w:rsid w:val="00A24619"/>
    <w:rsid w:val="00A24D2B"/>
    <w:rsid w:val="00A24DA8"/>
    <w:rsid w:val="00A24F19"/>
    <w:rsid w:val="00A25138"/>
    <w:rsid w:val="00A254B3"/>
    <w:rsid w:val="00A25FC7"/>
    <w:rsid w:val="00A2668C"/>
    <w:rsid w:val="00A277EA"/>
    <w:rsid w:val="00A27AD8"/>
    <w:rsid w:val="00A27BF9"/>
    <w:rsid w:val="00A302A3"/>
    <w:rsid w:val="00A30447"/>
    <w:rsid w:val="00A30AF1"/>
    <w:rsid w:val="00A310BF"/>
    <w:rsid w:val="00A3149F"/>
    <w:rsid w:val="00A318CC"/>
    <w:rsid w:val="00A321B9"/>
    <w:rsid w:val="00A32891"/>
    <w:rsid w:val="00A33C19"/>
    <w:rsid w:val="00A34848"/>
    <w:rsid w:val="00A34A14"/>
    <w:rsid w:val="00A34D2B"/>
    <w:rsid w:val="00A35B2B"/>
    <w:rsid w:val="00A366E9"/>
    <w:rsid w:val="00A370CB"/>
    <w:rsid w:val="00A373A1"/>
    <w:rsid w:val="00A37572"/>
    <w:rsid w:val="00A37A0D"/>
    <w:rsid w:val="00A40588"/>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FB7"/>
    <w:rsid w:val="00A517E5"/>
    <w:rsid w:val="00A51CF0"/>
    <w:rsid w:val="00A51FD3"/>
    <w:rsid w:val="00A51FEB"/>
    <w:rsid w:val="00A526CB"/>
    <w:rsid w:val="00A526DC"/>
    <w:rsid w:val="00A531C6"/>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CC1"/>
    <w:rsid w:val="00A65E2D"/>
    <w:rsid w:val="00A663EE"/>
    <w:rsid w:val="00A6671A"/>
    <w:rsid w:val="00A66810"/>
    <w:rsid w:val="00A66997"/>
    <w:rsid w:val="00A66ACB"/>
    <w:rsid w:val="00A66C76"/>
    <w:rsid w:val="00A66C78"/>
    <w:rsid w:val="00A66F32"/>
    <w:rsid w:val="00A6705B"/>
    <w:rsid w:val="00A7013C"/>
    <w:rsid w:val="00A70658"/>
    <w:rsid w:val="00A71290"/>
    <w:rsid w:val="00A7171B"/>
    <w:rsid w:val="00A718F0"/>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971"/>
    <w:rsid w:val="00A7698F"/>
    <w:rsid w:val="00A76DD1"/>
    <w:rsid w:val="00A77545"/>
    <w:rsid w:val="00A775C3"/>
    <w:rsid w:val="00A778C5"/>
    <w:rsid w:val="00A77F12"/>
    <w:rsid w:val="00A81751"/>
    <w:rsid w:val="00A81CC3"/>
    <w:rsid w:val="00A82041"/>
    <w:rsid w:val="00A820BC"/>
    <w:rsid w:val="00A82423"/>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6FB"/>
    <w:rsid w:val="00A91936"/>
    <w:rsid w:val="00A91D25"/>
    <w:rsid w:val="00A92620"/>
    <w:rsid w:val="00A9269C"/>
    <w:rsid w:val="00A92E5D"/>
    <w:rsid w:val="00A930C3"/>
    <w:rsid w:val="00A93FCB"/>
    <w:rsid w:val="00A9424B"/>
    <w:rsid w:val="00A944F0"/>
    <w:rsid w:val="00A94E8A"/>
    <w:rsid w:val="00A94F31"/>
    <w:rsid w:val="00A95306"/>
    <w:rsid w:val="00A95385"/>
    <w:rsid w:val="00A953EA"/>
    <w:rsid w:val="00A95664"/>
    <w:rsid w:val="00A95A21"/>
    <w:rsid w:val="00A961A6"/>
    <w:rsid w:val="00A96307"/>
    <w:rsid w:val="00A970B5"/>
    <w:rsid w:val="00A970DC"/>
    <w:rsid w:val="00A9719A"/>
    <w:rsid w:val="00A973B4"/>
    <w:rsid w:val="00A97644"/>
    <w:rsid w:val="00A97BD0"/>
    <w:rsid w:val="00A97F9B"/>
    <w:rsid w:val="00AA0022"/>
    <w:rsid w:val="00AA0B2F"/>
    <w:rsid w:val="00AA0E49"/>
    <w:rsid w:val="00AA10DE"/>
    <w:rsid w:val="00AA128A"/>
    <w:rsid w:val="00AA1628"/>
    <w:rsid w:val="00AA25B7"/>
    <w:rsid w:val="00AA27FA"/>
    <w:rsid w:val="00AA328D"/>
    <w:rsid w:val="00AA3549"/>
    <w:rsid w:val="00AA3B49"/>
    <w:rsid w:val="00AA4722"/>
    <w:rsid w:val="00AA59A5"/>
    <w:rsid w:val="00AA5A6B"/>
    <w:rsid w:val="00AA5DEA"/>
    <w:rsid w:val="00AA72DC"/>
    <w:rsid w:val="00AA74FB"/>
    <w:rsid w:val="00AB0705"/>
    <w:rsid w:val="00AB1E57"/>
    <w:rsid w:val="00AB1F7F"/>
    <w:rsid w:val="00AB25D4"/>
    <w:rsid w:val="00AB32EA"/>
    <w:rsid w:val="00AB34CE"/>
    <w:rsid w:val="00AB3B80"/>
    <w:rsid w:val="00AB3B8C"/>
    <w:rsid w:val="00AB3C38"/>
    <w:rsid w:val="00AB4222"/>
    <w:rsid w:val="00AB4283"/>
    <w:rsid w:val="00AB44F0"/>
    <w:rsid w:val="00AB5382"/>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F2"/>
    <w:rsid w:val="00AC47AC"/>
    <w:rsid w:val="00AC4E3A"/>
    <w:rsid w:val="00AC4EF7"/>
    <w:rsid w:val="00AC58B1"/>
    <w:rsid w:val="00AC5C3A"/>
    <w:rsid w:val="00AC5D75"/>
    <w:rsid w:val="00AC60CD"/>
    <w:rsid w:val="00AC668C"/>
    <w:rsid w:val="00AC6A87"/>
    <w:rsid w:val="00AC72C3"/>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E96"/>
    <w:rsid w:val="00AD49A8"/>
    <w:rsid w:val="00AD5BB4"/>
    <w:rsid w:val="00AD6089"/>
    <w:rsid w:val="00AD6128"/>
    <w:rsid w:val="00AD613D"/>
    <w:rsid w:val="00AD6892"/>
    <w:rsid w:val="00AD6B26"/>
    <w:rsid w:val="00AD6C89"/>
    <w:rsid w:val="00AD6E15"/>
    <w:rsid w:val="00AD7369"/>
    <w:rsid w:val="00AD7A51"/>
    <w:rsid w:val="00AE0737"/>
    <w:rsid w:val="00AE13A7"/>
    <w:rsid w:val="00AE1A80"/>
    <w:rsid w:val="00AE2310"/>
    <w:rsid w:val="00AE26FA"/>
    <w:rsid w:val="00AE345D"/>
    <w:rsid w:val="00AE3619"/>
    <w:rsid w:val="00AE3C99"/>
    <w:rsid w:val="00AE4641"/>
    <w:rsid w:val="00AE4D0B"/>
    <w:rsid w:val="00AE51AE"/>
    <w:rsid w:val="00AE5351"/>
    <w:rsid w:val="00AE5413"/>
    <w:rsid w:val="00AE59CB"/>
    <w:rsid w:val="00AE6C01"/>
    <w:rsid w:val="00AE7377"/>
    <w:rsid w:val="00AE74C6"/>
    <w:rsid w:val="00AE7539"/>
    <w:rsid w:val="00AE7AAC"/>
    <w:rsid w:val="00AE7F35"/>
    <w:rsid w:val="00AF02FF"/>
    <w:rsid w:val="00AF0535"/>
    <w:rsid w:val="00AF05E0"/>
    <w:rsid w:val="00AF076F"/>
    <w:rsid w:val="00AF0803"/>
    <w:rsid w:val="00AF14D5"/>
    <w:rsid w:val="00AF1EBB"/>
    <w:rsid w:val="00AF232F"/>
    <w:rsid w:val="00AF2D30"/>
    <w:rsid w:val="00AF322F"/>
    <w:rsid w:val="00AF3327"/>
    <w:rsid w:val="00AF3637"/>
    <w:rsid w:val="00AF3773"/>
    <w:rsid w:val="00AF3C12"/>
    <w:rsid w:val="00AF4705"/>
    <w:rsid w:val="00AF482C"/>
    <w:rsid w:val="00AF54D0"/>
    <w:rsid w:val="00AF5827"/>
    <w:rsid w:val="00AF64E4"/>
    <w:rsid w:val="00AF71F2"/>
    <w:rsid w:val="00AF7485"/>
    <w:rsid w:val="00AF7618"/>
    <w:rsid w:val="00AF7AE0"/>
    <w:rsid w:val="00AF7D22"/>
    <w:rsid w:val="00AF7DBE"/>
    <w:rsid w:val="00AF7F82"/>
    <w:rsid w:val="00B0028F"/>
    <w:rsid w:val="00B0068B"/>
    <w:rsid w:val="00B00BB1"/>
    <w:rsid w:val="00B00FEF"/>
    <w:rsid w:val="00B010E3"/>
    <w:rsid w:val="00B01A1A"/>
    <w:rsid w:val="00B01B89"/>
    <w:rsid w:val="00B0203D"/>
    <w:rsid w:val="00B023FC"/>
    <w:rsid w:val="00B026D8"/>
    <w:rsid w:val="00B0276F"/>
    <w:rsid w:val="00B04A51"/>
    <w:rsid w:val="00B04F93"/>
    <w:rsid w:val="00B05A03"/>
    <w:rsid w:val="00B05BC9"/>
    <w:rsid w:val="00B05F7E"/>
    <w:rsid w:val="00B06659"/>
    <w:rsid w:val="00B06E2A"/>
    <w:rsid w:val="00B06F51"/>
    <w:rsid w:val="00B075B4"/>
    <w:rsid w:val="00B076AE"/>
    <w:rsid w:val="00B07B36"/>
    <w:rsid w:val="00B1055E"/>
    <w:rsid w:val="00B10FE3"/>
    <w:rsid w:val="00B112CB"/>
    <w:rsid w:val="00B114D5"/>
    <w:rsid w:val="00B1170B"/>
    <w:rsid w:val="00B12355"/>
    <w:rsid w:val="00B12A50"/>
    <w:rsid w:val="00B131FC"/>
    <w:rsid w:val="00B13B1C"/>
    <w:rsid w:val="00B14504"/>
    <w:rsid w:val="00B1508E"/>
    <w:rsid w:val="00B1512D"/>
    <w:rsid w:val="00B15B55"/>
    <w:rsid w:val="00B1632C"/>
    <w:rsid w:val="00B17443"/>
    <w:rsid w:val="00B17D7B"/>
    <w:rsid w:val="00B2058B"/>
    <w:rsid w:val="00B20602"/>
    <w:rsid w:val="00B20B11"/>
    <w:rsid w:val="00B20B99"/>
    <w:rsid w:val="00B20C48"/>
    <w:rsid w:val="00B21999"/>
    <w:rsid w:val="00B21DA4"/>
    <w:rsid w:val="00B21E70"/>
    <w:rsid w:val="00B21FE3"/>
    <w:rsid w:val="00B2209A"/>
    <w:rsid w:val="00B22858"/>
    <w:rsid w:val="00B23A50"/>
    <w:rsid w:val="00B23B0E"/>
    <w:rsid w:val="00B24651"/>
    <w:rsid w:val="00B2501B"/>
    <w:rsid w:val="00B254DF"/>
    <w:rsid w:val="00B25D6F"/>
    <w:rsid w:val="00B25EBF"/>
    <w:rsid w:val="00B25FE5"/>
    <w:rsid w:val="00B2614C"/>
    <w:rsid w:val="00B266CD"/>
    <w:rsid w:val="00B268C5"/>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FA"/>
    <w:rsid w:val="00B356D9"/>
    <w:rsid w:val="00B36027"/>
    <w:rsid w:val="00B37609"/>
    <w:rsid w:val="00B37E2A"/>
    <w:rsid w:val="00B37EBC"/>
    <w:rsid w:val="00B40A2C"/>
    <w:rsid w:val="00B410CD"/>
    <w:rsid w:val="00B41861"/>
    <w:rsid w:val="00B41F2B"/>
    <w:rsid w:val="00B42405"/>
    <w:rsid w:val="00B42C0F"/>
    <w:rsid w:val="00B43E06"/>
    <w:rsid w:val="00B43E87"/>
    <w:rsid w:val="00B44478"/>
    <w:rsid w:val="00B446FB"/>
    <w:rsid w:val="00B44DB7"/>
    <w:rsid w:val="00B44F86"/>
    <w:rsid w:val="00B4572D"/>
    <w:rsid w:val="00B45CF9"/>
    <w:rsid w:val="00B45F03"/>
    <w:rsid w:val="00B469B5"/>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351"/>
    <w:rsid w:val="00B54876"/>
    <w:rsid w:val="00B555D6"/>
    <w:rsid w:val="00B55B41"/>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D6D"/>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7D4"/>
    <w:rsid w:val="00B72A82"/>
    <w:rsid w:val="00B72D42"/>
    <w:rsid w:val="00B72F48"/>
    <w:rsid w:val="00B72F77"/>
    <w:rsid w:val="00B731E4"/>
    <w:rsid w:val="00B732AB"/>
    <w:rsid w:val="00B735F0"/>
    <w:rsid w:val="00B73B2A"/>
    <w:rsid w:val="00B73BA8"/>
    <w:rsid w:val="00B73BFC"/>
    <w:rsid w:val="00B73DFB"/>
    <w:rsid w:val="00B7408F"/>
    <w:rsid w:val="00B7475A"/>
    <w:rsid w:val="00B74F8B"/>
    <w:rsid w:val="00B7574C"/>
    <w:rsid w:val="00B76A94"/>
    <w:rsid w:val="00B76FBB"/>
    <w:rsid w:val="00B80235"/>
    <w:rsid w:val="00B8023B"/>
    <w:rsid w:val="00B805FE"/>
    <w:rsid w:val="00B807E7"/>
    <w:rsid w:val="00B8085A"/>
    <w:rsid w:val="00B80923"/>
    <w:rsid w:val="00B80973"/>
    <w:rsid w:val="00B80E4D"/>
    <w:rsid w:val="00B81C6F"/>
    <w:rsid w:val="00B83533"/>
    <w:rsid w:val="00B83DF3"/>
    <w:rsid w:val="00B84025"/>
    <w:rsid w:val="00B84075"/>
    <w:rsid w:val="00B8448D"/>
    <w:rsid w:val="00B84FB9"/>
    <w:rsid w:val="00B8575B"/>
    <w:rsid w:val="00B8627F"/>
    <w:rsid w:val="00B86C35"/>
    <w:rsid w:val="00B86C91"/>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9B"/>
    <w:rsid w:val="00B954B6"/>
    <w:rsid w:val="00B95549"/>
    <w:rsid w:val="00B9564C"/>
    <w:rsid w:val="00B956F5"/>
    <w:rsid w:val="00B959DB"/>
    <w:rsid w:val="00B95B27"/>
    <w:rsid w:val="00B95BF4"/>
    <w:rsid w:val="00B9609E"/>
    <w:rsid w:val="00B960AF"/>
    <w:rsid w:val="00B9628E"/>
    <w:rsid w:val="00B96358"/>
    <w:rsid w:val="00B96B90"/>
    <w:rsid w:val="00B96C4B"/>
    <w:rsid w:val="00B974B8"/>
    <w:rsid w:val="00B9753B"/>
    <w:rsid w:val="00B977E5"/>
    <w:rsid w:val="00B97D3E"/>
    <w:rsid w:val="00B97E8B"/>
    <w:rsid w:val="00BA02E1"/>
    <w:rsid w:val="00BA0826"/>
    <w:rsid w:val="00BA0AFF"/>
    <w:rsid w:val="00BA1497"/>
    <w:rsid w:val="00BA3B06"/>
    <w:rsid w:val="00BA4429"/>
    <w:rsid w:val="00BA50BA"/>
    <w:rsid w:val="00BA5972"/>
    <w:rsid w:val="00BA5EE2"/>
    <w:rsid w:val="00BA7583"/>
    <w:rsid w:val="00BA7CF6"/>
    <w:rsid w:val="00BB00CC"/>
    <w:rsid w:val="00BB0190"/>
    <w:rsid w:val="00BB0344"/>
    <w:rsid w:val="00BB03DD"/>
    <w:rsid w:val="00BB10A3"/>
    <w:rsid w:val="00BB13E5"/>
    <w:rsid w:val="00BB1530"/>
    <w:rsid w:val="00BB1BCB"/>
    <w:rsid w:val="00BB235A"/>
    <w:rsid w:val="00BB267B"/>
    <w:rsid w:val="00BB2D60"/>
    <w:rsid w:val="00BB2E72"/>
    <w:rsid w:val="00BB3293"/>
    <w:rsid w:val="00BB36AA"/>
    <w:rsid w:val="00BB3C39"/>
    <w:rsid w:val="00BB3D6D"/>
    <w:rsid w:val="00BB3F1F"/>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3BEF"/>
    <w:rsid w:val="00BC43E5"/>
    <w:rsid w:val="00BC47D0"/>
    <w:rsid w:val="00BC49BF"/>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D3B"/>
    <w:rsid w:val="00BD1F9F"/>
    <w:rsid w:val="00BD211B"/>
    <w:rsid w:val="00BD2758"/>
    <w:rsid w:val="00BD3129"/>
    <w:rsid w:val="00BD336A"/>
    <w:rsid w:val="00BD342E"/>
    <w:rsid w:val="00BD3B6A"/>
    <w:rsid w:val="00BD408A"/>
    <w:rsid w:val="00BD500B"/>
    <w:rsid w:val="00BD57E9"/>
    <w:rsid w:val="00BD5CF1"/>
    <w:rsid w:val="00BD5E04"/>
    <w:rsid w:val="00BD6BBF"/>
    <w:rsid w:val="00BD6FE1"/>
    <w:rsid w:val="00BD73E2"/>
    <w:rsid w:val="00BD74D8"/>
    <w:rsid w:val="00BD7631"/>
    <w:rsid w:val="00BD7BC1"/>
    <w:rsid w:val="00BE08E0"/>
    <w:rsid w:val="00BE1210"/>
    <w:rsid w:val="00BE1413"/>
    <w:rsid w:val="00BE16A5"/>
    <w:rsid w:val="00BE23AA"/>
    <w:rsid w:val="00BE26B0"/>
    <w:rsid w:val="00BE2D0F"/>
    <w:rsid w:val="00BE2D95"/>
    <w:rsid w:val="00BE355C"/>
    <w:rsid w:val="00BE38F8"/>
    <w:rsid w:val="00BE49B7"/>
    <w:rsid w:val="00BE517A"/>
    <w:rsid w:val="00BE5255"/>
    <w:rsid w:val="00BE5C0D"/>
    <w:rsid w:val="00BE5EAD"/>
    <w:rsid w:val="00BE6133"/>
    <w:rsid w:val="00BE6CB9"/>
    <w:rsid w:val="00BE71B9"/>
    <w:rsid w:val="00BE7393"/>
    <w:rsid w:val="00BE741C"/>
    <w:rsid w:val="00BE793B"/>
    <w:rsid w:val="00BE7CD1"/>
    <w:rsid w:val="00BF0038"/>
    <w:rsid w:val="00BF0081"/>
    <w:rsid w:val="00BF018E"/>
    <w:rsid w:val="00BF0333"/>
    <w:rsid w:val="00BF0C89"/>
    <w:rsid w:val="00BF101B"/>
    <w:rsid w:val="00BF1B90"/>
    <w:rsid w:val="00BF1CFC"/>
    <w:rsid w:val="00BF1DAA"/>
    <w:rsid w:val="00BF1DF6"/>
    <w:rsid w:val="00BF1F9F"/>
    <w:rsid w:val="00BF2399"/>
    <w:rsid w:val="00BF266D"/>
    <w:rsid w:val="00BF3E34"/>
    <w:rsid w:val="00BF40D0"/>
    <w:rsid w:val="00BF422A"/>
    <w:rsid w:val="00BF45FD"/>
    <w:rsid w:val="00BF4CCA"/>
    <w:rsid w:val="00BF4DC3"/>
    <w:rsid w:val="00BF500E"/>
    <w:rsid w:val="00BF55B6"/>
    <w:rsid w:val="00BF55C5"/>
    <w:rsid w:val="00BF5FB1"/>
    <w:rsid w:val="00BF5FBB"/>
    <w:rsid w:val="00BF6C3D"/>
    <w:rsid w:val="00BF7734"/>
    <w:rsid w:val="00BF7893"/>
    <w:rsid w:val="00BF790C"/>
    <w:rsid w:val="00BF7F05"/>
    <w:rsid w:val="00BF7F09"/>
    <w:rsid w:val="00C000F2"/>
    <w:rsid w:val="00C0060B"/>
    <w:rsid w:val="00C015B4"/>
    <w:rsid w:val="00C016D1"/>
    <w:rsid w:val="00C031F6"/>
    <w:rsid w:val="00C03322"/>
    <w:rsid w:val="00C0393D"/>
    <w:rsid w:val="00C04D41"/>
    <w:rsid w:val="00C05E8E"/>
    <w:rsid w:val="00C061D4"/>
    <w:rsid w:val="00C06CEB"/>
    <w:rsid w:val="00C07097"/>
    <w:rsid w:val="00C07611"/>
    <w:rsid w:val="00C07684"/>
    <w:rsid w:val="00C079DE"/>
    <w:rsid w:val="00C07DEB"/>
    <w:rsid w:val="00C101B1"/>
    <w:rsid w:val="00C10635"/>
    <w:rsid w:val="00C10D57"/>
    <w:rsid w:val="00C10F18"/>
    <w:rsid w:val="00C1104E"/>
    <w:rsid w:val="00C116C4"/>
    <w:rsid w:val="00C11B7F"/>
    <w:rsid w:val="00C12D1D"/>
    <w:rsid w:val="00C12F34"/>
    <w:rsid w:val="00C13702"/>
    <w:rsid w:val="00C13AE8"/>
    <w:rsid w:val="00C13F03"/>
    <w:rsid w:val="00C1402E"/>
    <w:rsid w:val="00C143BC"/>
    <w:rsid w:val="00C14C73"/>
    <w:rsid w:val="00C1509F"/>
    <w:rsid w:val="00C1566A"/>
    <w:rsid w:val="00C15778"/>
    <w:rsid w:val="00C15EAB"/>
    <w:rsid w:val="00C1622A"/>
    <w:rsid w:val="00C165C5"/>
    <w:rsid w:val="00C16A22"/>
    <w:rsid w:val="00C16E32"/>
    <w:rsid w:val="00C16F99"/>
    <w:rsid w:val="00C17668"/>
    <w:rsid w:val="00C17ABA"/>
    <w:rsid w:val="00C17B24"/>
    <w:rsid w:val="00C17B63"/>
    <w:rsid w:val="00C17C72"/>
    <w:rsid w:val="00C2077A"/>
    <w:rsid w:val="00C212EE"/>
    <w:rsid w:val="00C21D77"/>
    <w:rsid w:val="00C2291D"/>
    <w:rsid w:val="00C231CE"/>
    <w:rsid w:val="00C243A9"/>
    <w:rsid w:val="00C243EE"/>
    <w:rsid w:val="00C2451E"/>
    <w:rsid w:val="00C245DA"/>
    <w:rsid w:val="00C248DE"/>
    <w:rsid w:val="00C24BEF"/>
    <w:rsid w:val="00C25201"/>
    <w:rsid w:val="00C2544F"/>
    <w:rsid w:val="00C254BC"/>
    <w:rsid w:val="00C259E4"/>
    <w:rsid w:val="00C25A87"/>
    <w:rsid w:val="00C25E7B"/>
    <w:rsid w:val="00C2639F"/>
    <w:rsid w:val="00C264CE"/>
    <w:rsid w:val="00C26E0E"/>
    <w:rsid w:val="00C2705C"/>
    <w:rsid w:val="00C270AF"/>
    <w:rsid w:val="00C27178"/>
    <w:rsid w:val="00C30A80"/>
    <w:rsid w:val="00C30F4E"/>
    <w:rsid w:val="00C30FD5"/>
    <w:rsid w:val="00C3148A"/>
    <w:rsid w:val="00C31C59"/>
    <w:rsid w:val="00C31CAA"/>
    <w:rsid w:val="00C31E6F"/>
    <w:rsid w:val="00C31F09"/>
    <w:rsid w:val="00C327A6"/>
    <w:rsid w:val="00C32B77"/>
    <w:rsid w:val="00C33113"/>
    <w:rsid w:val="00C332C1"/>
    <w:rsid w:val="00C3382F"/>
    <w:rsid w:val="00C34170"/>
    <w:rsid w:val="00C34289"/>
    <w:rsid w:val="00C3469B"/>
    <w:rsid w:val="00C34755"/>
    <w:rsid w:val="00C355CD"/>
    <w:rsid w:val="00C35B80"/>
    <w:rsid w:val="00C35CB4"/>
    <w:rsid w:val="00C35F26"/>
    <w:rsid w:val="00C35FF7"/>
    <w:rsid w:val="00C36708"/>
    <w:rsid w:val="00C3694A"/>
    <w:rsid w:val="00C3694F"/>
    <w:rsid w:val="00C36C13"/>
    <w:rsid w:val="00C37140"/>
    <w:rsid w:val="00C378EE"/>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A42"/>
    <w:rsid w:val="00C45DA7"/>
    <w:rsid w:val="00C460BF"/>
    <w:rsid w:val="00C46183"/>
    <w:rsid w:val="00C4658C"/>
    <w:rsid w:val="00C46FB5"/>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65B"/>
    <w:rsid w:val="00C53813"/>
    <w:rsid w:val="00C54E53"/>
    <w:rsid w:val="00C558B5"/>
    <w:rsid w:val="00C559CC"/>
    <w:rsid w:val="00C55CB8"/>
    <w:rsid w:val="00C55F8A"/>
    <w:rsid w:val="00C56263"/>
    <w:rsid w:val="00C56291"/>
    <w:rsid w:val="00C56FF5"/>
    <w:rsid w:val="00C5722A"/>
    <w:rsid w:val="00C576E3"/>
    <w:rsid w:val="00C57AD4"/>
    <w:rsid w:val="00C600F1"/>
    <w:rsid w:val="00C60141"/>
    <w:rsid w:val="00C60382"/>
    <w:rsid w:val="00C60DBB"/>
    <w:rsid w:val="00C6123E"/>
    <w:rsid w:val="00C614E0"/>
    <w:rsid w:val="00C614E2"/>
    <w:rsid w:val="00C615C4"/>
    <w:rsid w:val="00C61DC1"/>
    <w:rsid w:val="00C61E33"/>
    <w:rsid w:val="00C61EEF"/>
    <w:rsid w:val="00C61FE2"/>
    <w:rsid w:val="00C62324"/>
    <w:rsid w:val="00C6320B"/>
    <w:rsid w:val="00C635F6"/>
    <w:rsid w:val="00C63B9D"/>
    <w:rsid w:val="00C63BAE"/>
    <w:rsid w:val="00C64458"/>
    <w:rsid w:val="00C646E0"/>
    <w:rsid w:val="00C64E3A"/>
    <w:rsid w:val="00C651A7"/>
    <w:rsid w:val="00C65245"/>
    <w:rsid w:val="00C65508"/>
    <w:rsid w:val="00C656E7"/>
    <w:rsid w:val="00C6570C"/>
    <w:rsid w:val="00C65D2B"/>
    <w:rsid w:val="00C6634E"/>
    <w:rsid w:val="00C663E3"/>
    <w:rsid w:val="00C663E6"/>
    <w:rsid w:val="00C6692B"/>
    <w:rsid w:val="00C66A68"/>
    <w:rsid w:val="00C67B92"/>
    <w:rsid w:val="00C67D94"/>
    <w:rsid w:val="00C70C7D"/>
    <w:rsid w:val="00C70C7E"/>
    <w:rsid w:val="00C7100C"/>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EEF"/>
    <w:rsid w:val="00C801AF"/>
    <w:rsid w:val="00C803F0"/>
    <w:rsid w:val="00C806C3"/>
    <w:rsid w:val="00C80AC1"/>
    <w:rsid w:val="00C80EF4"/>
    <w:rsid w:val="00C81590"/>
    <w:rsid w:val="00C819B7"/>
    <w:rsid w:val="00C819CE"/>
    <w:rsid w:val="00C81A59"/>
    <w:rsid w:val="00C81B35"/>
    <w:rsid w:val="00C82947"/>
    <w:rsid w:val="00C829B6"/>
    <w:rsid w:val="00C8312C"/>
    <w:rsid w:val="00C83192"/>
    <w:rsid w:val="00C83657"/>
    <w:rsid w:val="00C83E3B"/>
    <w:rsid w:val="00C84003"/>
    <w:rsid w:val="00C843BF"/>
    <w:rsid w:val="00C84A6B"/>
    <w:rsid w:val="00C84C97"/>
    <w:rsid w:val="00C85112"/>
    <w:rsid w:val="00C853B2"/>
    <w:rsid w:val="00C85E54"/>
    <w:rsid w:val="00C85F6B"/>
    <w:rsid w:val="00C86640"/>
    <w:rsid w:val="00C86679"/>
    <w:rsid w:val="00C86B84"/>
    <w:rsid w:val="00C878B7"/>
    <w:rsid w:val="00C878D3"/>
    <w:rsid w:val="00C87B2F"/>
    <w:rsid w:val="00C87C30"/>
    <w:rsid w:val="00C87EB6"/>
    <w:rsid w:val="00C87F9C"/>
    <w:rsid w:val="00C90459"/>
    <w:rsid w:val="00C904CE"/>
    <w:rsid w:val="00C909C1"/>
    <w:rsid w:val="00C90B74"/>
    <w:rsid w:val="00C9139B"/>
    <w:rsid w:val="00C9161D"/>
    <w:rsid w:val="00C91A05"/>
    <w:rsid w:val="00C91DEA"/>
    <w:rsid w:val="00C9203F"/>
    <w:rsid w:val="00C924AC"/>
    <w:rsid w:val="00C9276F"/>
    <w:rsid w:val="00C92B34"/>
    <w:rsid w:val="00C92BCC"/>
    <w:rsid w:val="00C92F92"/>
    <w:rsid w:val="00C92FB8"/>
    <w:rsid w:val="00C93A23"/>
    <w:rsid w:val="00C93AA6"/>
    <w:rsid w:val="00C94134"/>
    <w:rsid w:val="00C9417E"/>
    <w:rsid w:val="00C9462E"/>
    <w:rsid w:val="00C94959"/>
    <w:rsid w:val="00C94B40"/>
    <w:rsid w:val="00C94C48"/>
    <w:rsid w:val="00C95169"/>
    <w:rsid w:val="00C95291"/>
    <w:rsid w:val="00C952F0"/>
    <w:rsid w:val="00C95ED4"/>
    <w:rsid w:val="00C969E3"/>
    <w:rsid w:val="00C975FC"/>
    <w:rsid w:val="00C97953"/>
    <w:rsid w:val="00C97C95"/>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657"/>
    <w:rsid w:val="00CB388A"/>
    <w:rsid w:val="00CB3AE6"/>
    <w:rsid w:val="00CB3B5C"/>
    <w:rsid w:val="00CB45B8"/>
    <w:rsid w:val="00CB46B6"/>
    <w:rsid w:val="00CB4CE3"/>
    <w:rsid w:val="00CB4CEC"/>
    <w:rsid w:val="00CB5075"/>
    <w:rsid w:val="00CB5F40"/>
    <w:rsid w:val="00CB6559"/>
    <w:rsid w:val="00CB71A4"/>
    <w:rsid w:val="00CB758D"/>
    <w:rsid w:val="00CB7DC4"/>
    <w:rsid w:val="00CC02A3"/>
    <w:rsid w:val="00CC034A"/>
    <w:rsid w:val="00CC1102"/>
    <w:rsid w:val="00CC1430"/>
    <w:rsid w:val="00CC1487"/>
    <w:rsid w:val="00CC18CC"/>
    <w:rsid w:val="00CC1E2F"/>
    <w:rsid w:val="00CC27FE"/>
    <w:rsid w:val="00CC2CF4"/>
    <w:rsid w:val="00CC37C8"/>
    <w:rsid w:val="00CC3AC4"/>
    <w:rsid w:val="00CC3C40"/>
    <w:rsid w:val="00CC3C56"/>
    <w:rsid w:val="00CC415E"/>
    <w:rsid w:val="00CC42DF"/>
    <w:rsid w:val="00CC483E"/>
    <w:rsid w:val="00CC4C30"/>
    <w:rsid w:val="00CC4D10"/>
    <w:rsid w:val="00CC4FAA"/>
    <w:rsid w:val="00CC59CB"/>
    <w:rsid w:val="00CC67A5"/>
    <w:rsid w:val="00CC748E"/>
    <w:rsid w:val="00CC7CF3"/>
    <w:rsid w:val="00CD0117"/>
    <w:rsid w:val="00CD0348"/>
    <w:rsid w:val="00CD04B0"/>
    <w:rsid w:val="00CD05BE"/>
    <w:rsid w:val="00CD1811"/>
    <w:rsid w:val="00CD1A88"/>
    <w:rsid w:val="00CD2462"/>
    <w:rsid w:val="00CD2C3F"/>
    <w:rsid w:val="00CD3272"/>
    <w:rsid w:val="00CD3C74"/>
    <w:rsid w:val="00CD3EE4"/>
    <w:rsid w:val="00CD4040"/>
    <w:rsid w:val="00CD446E"/>
    <w:rsid w:val="00CD44F4"/>
    <w:rsid w:val="00CD47BC"/>
    <w:rsid w:val="00CD4B9B"/>
    <w:rsid w:val="00CD4F55"/>
    <w:rsid w:val="00CD4FC7"/>
    <w:rsid w:val="00CD5956"/>
    <w:rsid w:val="00CD5D1F"/>
    <w:rsid w:val="00CD64C9"/>
    <w:rsid w:val="00CD6A11"/>
    <w:rsid w:val="00CD6AF9"/>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AE7"/>
    <w:rsid w:val="00CE5EDE"/>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3DD4"/>
    <w:rsid w:val="00CF3FA6"/>
    <w:rsid w:val="00CF45A6"/>
    <w:rsid w:val="00CF4C5B"/>
    <w:rsid w:val="00CF55F0"/>
    <w:rsid w:val="00CF5754"/>
    <w:rsid w:val="00CF5B28"/>
    <w:rsid w:val="00CF7916"/>
    <w:rsid w:val="00D0009A"/>
    <w:rsid w:val="00D00567"/>
    <w:rsid w:val="00D009DC"/>
    <w:rsid w:val="00D00A44"/>
    <w:rsid w:val="00D00A88"/>
    <w:rsid w:val="00D01014"/>
    <w:rsid w:val="00D01176"/>
    <w:rsid w:val="00D031A6"/>
    <w:rsid w:val="00D039BD"/>
    <w:rsid w:val="00D03E7A"/>
    <w:rsid w:val="00D04080"/>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69A0"/>
    <w:rsid w:val="00D16A72"/>
    <w:rsid w:val="00D16B6C"/>
    <w:rsid w:val="00D16B9A"/>
    <w:rsid w:val="00D16E9C"/>
    <w:rsid w:val="00D2030D"/>
    <w:rsid w:val="00D21922"/>
    <w:rsid w:val="00D21A6D"/>
    <w:rsid w:val="00D22B4B"/>
    <w:rsid w:val="00D237B8"/>
    <w:rsid w:val="00D23B1F"/>
    <w:rsid w:val="00D23DA3"/>
    <w:rsid w:val="00D2402E"/>
    <w:rsid w:val="00D243BB"/>
    <w:rsid w:val="00D244B0"/>
    <w:rsid w:val="00D24793"/>
    <w:rsid w:val="00D25053"/>
    <w:rsid w:val="00D2544A"/>
    <w:rsid w:val="00D258C2"/>
    <w:rsid w:val="00D264AC"/>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70A8"/>
    <w:rsid w:val="00D4045D"/>
    <w:rsid w:val="00D40506"/>
    <w:rsid w:val="00D40645"/>
    <w:rsid w:val="00D4222A"/>
    <w:rsid w:val="00D4259F"/>
    <w:rsid w:val="00D425DE"/>
    <w:rsid w:val="00D42DAF"/>
    <w:rsid w:val="00D433A3"/>
    <w:rsid w:val="00D4460F"/>
    <w:rsid w:val="00D452C2"/>
    <w:rsid w:val="00D4545E"/>
    <w:rsid w:val="00D46644"/>
    <w:rsid w:val="00D468DA"/>
    <w:rsid w:val="00D46DE9"/>
    <w:rsid w:val="00D46E28"/>
    <w:rsid w:val="00D473C9"/>
    <w:rsid w:val="00D475F0"/>
    <w:rsid w:val="00D5061B"/>
    <w:rsid w:val="00D50626"/>
    <w:rsid w:val="00D5062C"/>
    <w:rsid w:val="00D508B2"/>
    <w:rsid w:val="00D50F39"/>
    <w:rsid w:val="00D516B9"/>
    <w:rsid w:val="00D51D9E"/>
    <w:rsid w:val="00D51F4F"/>
    <w:rsid w:val="00D536BF"/>
    <w:rsid w:val="00D53A3F"/>
    <w:rsid w:val="00D53B32"/>
    <w:rsid w:val="00D543C3"/>
    <w:rsid w:val="00D550C2"/>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3214"/>
    <w:rsid w:val="00D63648"/>
    <w:rsid w:val="00D63998"/>
    <w:rsid w:val="00D63EEB"/>
    <w:rsid w:val="00D64216"/>
    <w:rsid w:val="00D64F03"/>
    <w:rsid w:val="00D654B8"/>
    <w:rsid w:val="00D654CC"/>
    <w:rsid w:val="00D66865"/>
    <w:rsid w:val="00D671EC"/>
    <w:rsid w:val="00D67288"/>
    <w:rsid w:val="00D67348"/>
    <w:rsid w:val="00D703A3"/>
    <w:rsid w:val="00D70698"/>
    <w:rsid w:val="00D70D7D"/>
    <w:rsid w:val="00D71307"/>
    <w:rsid w:val="00D716F3"/>
    <w:rsid w:val="00D71715"/>
    <w:rsid w:val="00D72C1E"/>
    <w:rsid w:val="00D73087"/>
    <w:rsid w:val="00D746FB"/>
    <w:rsid w:val="00D7515C"/>
    <w:rsid w:val="00D7528F"/>
    <w:rsid w:val="00D757BF"/>
    <w:rsid w:val="00D75B84"/>
    <w:rsid w:val="00D76A18"/>
    <w:rsid w:val="00D76C39"/>
    <w:rsid w:val="00D76C85"/>
    <w:rsid w:val="00D771FD"/>
    <w:rsid w:val="00D7742E"/>
    <w:rsid w:val="00D77628"/>
    <w:rsid w:val="00D8016A"/>
    <w:rsid w:val="00D80388"/>
    <w:rsid w:val="00D80A1E"/>
    <w:rsid w:val="00D80A26"/>
    <w:rsid w:val="00D80E57"/>
    <w:rsid w:val="00D8147A"/>
    <w:rsid w:val="00D82472"/>
    <w:rsid w:val="00D83442"/>
    <w:rsid w:val="00D83556"/>
    <w:rsid w:val="00D837A1"/>
    <w:rsid w:val="00D83EDB"/>
    <w:rsid w:val="00D83F37"/>
    <w:rsid w:val="00D844F2"/>
    <w:rsid w:val="00D8488E"/>
    <w:rsid w:val="00D84E14"/>
    <w:rsid w:val="00D85563"/>
    <w:rsid w:val="00D85D4B"/>
    <w:rsid w:val="00D85F8A"/>
    <w:rsid w:val="00D8600F"/>
    <w:rsid w:val="00D86607"/>
    <w:rsid w:val="00D87625"/>
    <w:rsid w:val="00D877FF"/>
    <w:rsid w:val="00D907A0"/>
    <w:rsid w:val="00D90909"/>
    <w:rsid w:val="00D90BC6"/>
    <w:rsid w:val="00D90FE8"/>
    <w:rsid w:val="00D9199C"/>
    <w:rsid w:val="00D91DAC"/>
    <w:rsid w:val="00D91E05"/>
    <w:rsid w:val="00D92652"/>
    <w:rsid w:val="00D92F64"/>
    <w:rsid w:val="00D93368"/>
    <w:rsid w:val="00D93912"/>
    <w:rsid w:val="00D93B99"/>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F96"/>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5D4"/>
    <w:rsid w:val="00DC5009"/>
    <w:rsid w:val="00DC5054"/>
    <w:rsid w:val="00DC507E"/>
    <w:rsid w:val="00DC52F7"/>
    <w:rsid w:val="00DC577A"/>
    <w:rsid w:val="00DC6831"/>
    <w:rsid w:val="00DC7208"/>
    <w:rsid w:val="00DC720D"/>
    <w:rsid w:val="00DC72FD"/>
    <w:rsid w:val="00DC732B"/>
    <w:rsid w:val="00DC75B1"/>
    <w:rsid w:val="00DC7D76"/>
    <w:rsid w:val="00DC7E52"/>
    <w:rsid w:val="00DD0BA3"/>
    <w:rsid w:val="00DD0F40"/>
    <w:rsid w:val="00DD118C"/>
    <w:rsid w:val="00DD14EF"/>
    <w:rsid w:val="00DD1560"/>
    <w:rsid w:val="00DD201B"/>
    <w:rsid w:val="00DD20CF"/>
    <w:rsid w:val="00DD2167"/>
    <w:rsid w:val="00DD230D"/>
    <w:rsid w:val="00DD265D"/>
    <w:rsid w:val="00DD3339"/>
    <w:rsid w:val="00DD3CE9"/>
    <w:rsid w:val="00DD3E4C"/>
    <w:rsid w:val="00DD42F7"/>
    <w:rsid w:val="00DD4897"/>
    <w:rsid w:val="00DD4A6A"/>
    <w:rsid w:val="00DD504C"/>
    <w:rsid w:val="00DD6B72"/>
    <w:rsid w:val="00DD6E79"/>
    <w:rsid w:val="00DD6FBB"/>
    <w:rsid w:val="00DD703F"/>
    <w:rsid w:val="00DD717D"/>
    <w:rsid w:val="00DD7546"/>
    <w:rsid w:val="00DD778B"/>
    <w:rsid w:val="00DD78FC"/>
    <w:rsid w:val="00DD7936"/>
    <w:rsid w:val="00DE00BA"/>
    <w:rsid w:val="00DE0824"/>
    <w:rsid w:val="00DE0894"/>
    <w:rsid w:val="00DE0E9B"/>
    <w:rsid w:val="00DE1034"/>
    <w:rsid w:val="00DE2ECE"/>
    <w:rsid w:val="00DE325D"/>
    <w:rsid w:val="00DE33B9"/>
    <w:rsid w:val="00DE343B"/>
    <w:rsid w:val="00DE391F"/>
    <w:rsid w:val="00DE3B2E"/>
    <w:rsid w:val="00DE49EC"/>
    <w:rsid w:val="00DE4DBF"/>
    <w:rsid w:val="00DE5298"/>
    <w:rsid w:val="00DE53E7"/>
    <w:rsid w:val="00DE5437"/>
    <w:rsid w:val="00DE5A37"/>
    <w:rsid w:val="00DE6FD6"/>
    <w:rsid w:val="00DE76A3"/>
    <w:rsid w:val="00DE7B09"/>
    <w:rsid w:val="00DF0745"/>
    <w:rsid w:val="00DF0D30"/>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58E"/>
    <w:rsid w:val="00DF6A52"/>
    <w:rsid w:val="00DF6B5A"/>
    <w:rsid w:val="00DF6E63"/>
    <w:rsid w:val="00DF6F1D"/>
    <w:rsid w:val="00DF745A"/>
    <w:rsid w:val="00DF7FC6"/>
    <w:rsid w:val="00E01326"/>
    <w:rsid w:val="00E01EE7"/>
    <w:rsid w:val="00E02135"/>
    <w:rsid w:val="00E0216B"/>
    <w:rsid w:val="00E0269F"/>
    <w:rsid w:val="00E027EC"/>
    <w:rsid w:val="00E02841"/>
    <w:rsid w:val="00E0289F"/>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2299"/>
    <w:rsid w:val="00E125F0"/>
    <w:rsid w:val="00E12CC4"/>
    <w:rsid w:val="00E13033"/>
    <w:rsid w:val="00E1379C"/>
    <w:rsid w:val="00E13A60"/>
    <w:rsid w:val="00E13D89"/>
    <w:rsid w:val="00E14516"/>
    <w:rsid w:val="00E14816"/>
    <w:rsid w:val="00E14D50"/>
    <w:rsid w:val="00E14DE5"/>
    <w:rsid w:val="00E1560B"/>
    <w:rsid w:val="00E156FE"/>
    <w:rsid w:val="00E15A4E"/>
    <w:rsid w:val="00E15A7E"/>
    <w:rsid w:val="00E15C75"/>
    <w:rsid w:val="00E1683A"/>
    <w:rsid w:val="00E16A62"/>
    <w:rsid w:val="00E16A71"/>
    <w:rsid w:val="00E16C60"/>
    <w:rsid w:val="00E17A3F"/>
    <w:rsid w:val="00E17DB5"/>
    <w:rsid w:val="00E20B9B"/>
    <w:rsid w:val="00E20BE0"/>
    <w:rsid w:val="00E20CDD"/>
    <w:rsid w:val="00E211BF"/>
    <w:rsid w:val="00E21548"/>
    <w:rsid w:val="00E2159A"/>
    <w:rsid w:val="00E217B3"/>
    <w:rsid w:val="00E217BA"/>
    <w:rsid w:val="00E21EAD"/>
    <w:rsid w:val="00E22D2E"/>
    <w:rsid w:val="00E22D62"/>
    <w:rsid w:val="00E248E0"/>
    <w:rsid w:val="00E24BEA"/>
    <w:rsid w:val="00E24EE7"/>
    <w:rsid w:val="00E25874"/>
    <w:rsid w:val="00E25A84"/>
    <w:rsid w:val="00E25DC1"/>
    <w:rsid w:val="00E260A7"/>
    <w:rsid w:val="00E267AB"/>
    <w:rsid w:val="00E26D66"/>
    <w:rsid w:val="00E26FB5"/>
    <w:rsid w:val="00E27B10"/>
    <w:rsid w:val="00E300E5"/>
    <w:rsid w:val="00E306F8"/>
    <w:rsid w:val="00E30C01"/>
    <w:rsid w:val="00E310E4"/>
    <w:rsid w:val="00E3139F"/>
    <w:rsid w:val="00E315A2"/>
    <w:rsid w:val="00E315BB"/>
    <w:rsid w:val="00E31DEB"/>
    <w:rsid w:val="00E321E4"/>
    <w:rsid w:val="00E32730"/>
    <w:rsid w:val="00E32BFC"/>
    <w:rsid w:val="00E333F3"/>
    <w:rsid w:val="00E333FD"/>
    <w:rsid w:val="00E335F9"/>
    <w:rsid w:val="00E33A07"/>
    <w:rsid w:val="00E33ACF"/>
    <w:rsid w:val="00E33DB9"/>
    <w:rsid w:val="00E350D0"/>
    <w:rsid w:val="00E35EF6"/>
    <w:rsid w:val="00E367C7"/>
    <w:rsid w:val="00E36977"/>
    <w:rsid w:val="00E369EC"/>
    <w:rsid w:val="00E36B95"/>
    <w:rsid w:val="00E3763C"/>
    <w:rsid w:val="00E40491"/>
    <w:rsid w:val="00E40744"/>
    <w:rsid w:val="00E40DC4"/>
    <w:rsid w:val="00E412EC"/>
    <w:rsid w:val="00E41470"/>
    <w:rsid w:val="00E41B7C"/>
    <w:rsid w:val="00E4291F"/>
    <w:rsid w:val="00E433C6"/>
    <w:rsid w:val="00E43539"/>
    <w:rsid w:val="00E43834"/>
    <w:rsid w:val="00E43986"/>
    <w:rsid w:val="00E43D2C"/>
    <w:rsid w:val="00E4411D"/>
    <w:rsid w:val="00E44238"/>
    <w:rsid w:val="00E44295"/>
    <w:rsid w:val="00E44316"/>
    <w:rsid w:val="00E44528"/>
    <w:rsid w:val="00E44E2A"/>
    <w:rsid w:val="00E455C9"/>
    <w:rsid w:val="00E45E57"/>
    <w:rsid w:val="00E46140"/>
    <w:rsid w:val="00E46FA6"/>
    <w:rsid w:val="00E471A4"/>
    <w:rsid w:val="00E471E4"/>
    <w:rsid w:val="00E47400"/>
    <w:rsid w:val="00E47E7C"/>
    <w:rsid w:val="00E505A1"/>
    <w:rsid w:val="00E507BC"/>
    <w:rsid w:val="00E50A87"/>
    <w:rsid w:val="00E5148C"/>
    <w:rsid w:val="00E51D1D"/>
    <w:rsid w:val="00E51E2E"/>
    <w:rsid w:val="00E521C2"/>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1577"/>
    <w:rsid w:val="00E717D7"/>
    <w:rsid w:val="00E71868"/>
    <w:rsid w:val="00E71B74"/>
    <w:rsid w:val="00E721BA"/>
    <w:rsid w:val="00E72858"/>
    <w:rsid w:val="00E72B3C"/>
    <w:rsid w:val="00E72B69"/>
    <w:rsid w:val="00E72D01"/>
    <w:rsid w:val="00E73325"/>
    <w:rsid w:val="00E73412"/>
    <w:rsid w:val="00E73C17"/>
    <w:rsid w:val="00E73CE8"/>
    <w:rsid w:val="00E74472"/>
    <w:rsid w:val="00E744AB"/>
    <w:rsid w:val="00E75022"/>
    <w:rsid w:val="00E752A5"/>
    <w:rsid w:val="00E758CD"/>
    <w:rsid w:val="00E7595B"/>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33"/>
    <w:rsid w:val="00E8246B"/>
    <w:rsid w:val="00E83052"/>
    <w:rsid w:val="00E839C3"/>
    <w:rsid w:val="00E83C24"/>
    <w:rsid w:val="00E840FB"/>
    <w:rsid w:val="00E846C6"/>
    <w:rsid w:val="00E84744"/>
    <w:rsid w:val="00E84949"/>
    <w:rsid w:val="00E85183"/>
    <w:rsid w:val="00E8570E"/>
    <w:rsid w:val="00E85A62"/>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2D13"/>
    <w:rsid w:val="00E93160"/>
    <w:rsid w:val="00E934CF"/>
    <w:rsid w:val="00E9379A"/>
    <w:rsid w:val="00E93844"/>
    <w:rsid w:val="00E93DFA"/>
    <w:rsid w:val="00E94595"/>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EFF"/>
    <w:rsid w:val="00EA016C"/>
    <w:rsid w:val="00EA040E"/>
    <w:rsid w:val="00EA046B"/>
    <w:rsid w:val="00EA0C34"/>
    <w:rsid w:val="00EA0D0F"/>
    <w:rsid w:val="00EA224C"/>
    <w:rsid w:val="00EA23AA"/>
    <w:rsid w:val="00EA3BF1"/>
    <w:rsid w:val="00EA3C39"/>
    <w:rsid w:val="00EA3E9E"/>
    <w:rsid w:val="00EA4449"/>
    <w:rsid w:val="00EA51BF"/>
    <w:rsid w:val="00EA5591"/>
    <w:rsid w:val="00EA588C"/>
    <w:rsid w:val="00EA6108"/>
    <w:rsid w:val="00EA617A"/>
    <w:rsid w:val="00EA64E4"/>
    <w:rsid w:val="00EA6DF6"/>
    <w:rsid w:val="00EA7096"/>
    <w:rsid w:val="00EB0830"/>
    <w:rsid w:val="00EB0E93"/>
    <w:rsid w:val="00EB1E6D"/>
    <w:rsid w:val="00EB1FB5"/>
    <w:rsid w:val="00EB2BBC"/>
    <w:rsid w:val="00EB2E57"/>
    <w:rsid w:val="00EB4372"/>
    <w:rsid w:val="00EB4680"/>
    <w:rsid w:val="00EB46F7"/>
    <w:rsid w:val="00EB4BA8"/>
    <w:rsid w:val="00EB4BC1"/>
    <w:rsid w:val="00EB578A"/>
    <w:rsid w:val="00EB57ED"/>
    <w:rsid w:val="00EB6ADE"/>
    <w:rsid w:val="00EB7284"/>
    <w:rsid w:val="00EC0107"/>
    <w:rsid w:val="00EC02F9"/>
    <w:rsid w:val="00EC0DF5"/>
    <w:rsid w:val="00EC10B6"/>
    <w:rsid w:val="00EC16D9"/>
    <w:rsid w:val="00EC1747"/>
    <w:rsid w:val="00EC1968"/>
    <w:rsid w:val="00EC20B1"/>
    <w:rsid w:val="00EC27B1"/>
    <w:rsid w:val="00EC33D9"/>
    <w:rsid w:val="00EC3688"/>
    <w:rsid w:val="00EC3B6B"/>
    <w:rsid w:val="00EC46B1"/>
    <w:rsid w:val="00EC4A65"/>
    <w:rsid w:val="00EC4B56"/>
    <w:rsid w:val="00EC4BF4"/>
    <w:rsid w:val="00EC52CE"/>
    <w:rsid w:val="00EC5718"/>
    <w:rsid w:val="00EC5CA8"/>
    <w:rsid w:val="00EC6549"/>
    <w:rsid w:val="00EC668D"/>
    <w:rsid w:val="00EC67F1"/>
    <w:rsid w:val="00EC6F76"/>
    <w:rsid w:val="00EC6FE6"/>
    <w:rsid w:val="00EC71A1"/>
    <w:rsid w:val="00EC7520"/>
    <w:rsid w:val="00EC75EB"/>
    <w:rsid w:val="00EC7BBB"/>
    <w:rsid w:val="00EC7CF7"/>
    <w:rsid w:val="00ED11FD"/>
    <w:rsid w:val="00ED12ED"/>
    <w:rsid w:val="00ED1558"/>
    <w:rsid w:val="00ED192E"/>
    <w:rsid w:val="00ED1E9A"/>
    <w:rsid w:val="00ED1F3E"/>
    <w:rsid w:val="00ED20E4"/>
    <w:rsid w:val="00ED36D0"/>
    <w:rsid w:val="00ED3C94"/>
    <w:rsid w:val="00ED3DB5"/>
    <w:rsid w:val="00ED5360"/>
    <w:rsid w:val="00ED5823"/>
    <w:rsid w:val="00ED5AB1"/>
    <w:rsid w:val="00ED649A"/>
    <w:rsid w:val="00ED650E"/>
    <w:rsid w:val="00ED680B"/>
    <w:rsid w:val="00ED72F8"/>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C0F"/>
    <w:rsid w:val="00EE7CB4"/>
    <w:rsid w:val="00EF0523"/>
    <w:rsid w:val="00EF082E"/>
    <w:rsid w:val="00EF0B3D"/>
    <w:rsid w:val="00EF2A67"/>
    <w:rsid w:val="00EF352C"/>
    <w:rsid w:val="00EF3690"/>
    <w:rsid w:val="00EF426A"/>
    <w:rsid w:val="00EF4D0D"/>
    <w:rsid w:val="00EF4E24"/>
    <w:rsid w:val="00EF56F4"/>
    <w:rsid w:val="00EF633C"/>
    <w:rsid w:val="00EF6505"/>
    <w:rsid w:val="00EF69F7"/>
    <w:rsid w:val="00EF75A0"/>
    <w:rsid w:val="00EF7AF7"/>
    <w:rsid w:val="00EF7D4E"/>
    <w:rsid w:val="00EF7F10"/>
    <w:rsid w:val="00F006BC"/>
    <w:rsid w:val="00F00784"/>
    <w:rsid w:val="00F00A32"/>
    <w:rsid w:val="00F00E0D"/>
    <w:rsid w:val="00F0227F"/>
    <w:rsid w:val="00F02B66"/>
    <w:rsid w:val="00F02E3F"/>
    <w:rsid w:val="00F03149"/>
    <w:rsid w:val="00F031E4"/>
    <w:rsid w:val="00F03295"/>
    <w:rsid w:val="00F032DD"/>
    <w:rsid w:val="00F03349"/>
    <w:rsid w:val="00F04204"/>
    <w:rsid w:val="00F04388"/>
    <w:rsid w:val="00F0455D"/>
    <w:rsid w:val="00F05176"/>
    <w:rsid w:val="00F05202"/>
    <w:rsid w:val="00F05386"/>
    <w:rsid w:val="00F05FD5"/>
    <w:rsid w:val="00F06F15"/>
    <w:rsid w:val="00F07B3C"/>
    <w:rsid w:val="00F07B69"/>
    <w:rsid w:val="00F07C78"/>
    <w:rsid w:val="00F07C90"/>
    <w:rsid w:val="00F07F2B"/>
    <w:rsid w:val="00F103DC"/>
    <w:rsid w:val="00F10672"/>
    <w:rsid w:val="00F10B75"/>
    <w:rsid w:val="00F10DC9"/>
    <w:rsid w:val="00F10E52"/>
    <w:rsid w:val="00F11115"/>
    <w:rsid w:val="00F11F32"/>
    <w:rsid w:val="00F11F81"/>
    <w:rsid w:val="00F12057"/>
    <w:rsid w:val="00F13514"/>
    <w:rsid w:val="00F137B7"/>
    <w:rsid w:val="00F13A9D"/>
    <w:rsid w:val="00F13CDB"/>
    <w:rsid w:val="00F143D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EBB"/>
    <w:rsid w:val="00F23289"/>
    <w:rsid w:val="00F23D56"/>
    <w:rsid w:val="00F241A0"/>
    <w:rsid w:val="00F24270"/>
    <w:rsid w:val="00F252F6"/>
    <w:rsid w:val="00F256C1"/>
    <w:rsid w:val="00F258D1"/>
    <w:rsid w:val="00F25C54"/>
    <w:rsid w:val="00F262DF"/>
    <w:rsid w:val="00F2633A"/>
    <w:rsid w:val="00F26460"/>
    <w:rsid w:val="00F26605"/>
    <w:rsid w:val="00F268E2"/>
    <w:rsid w:val="00F27A31"/>
    <w:rsid w:val="00F30DF7"/>
    <w:rsid w:val="00F33753"/>
    <w:rsid w:val="00F33983"/>
    <w:rsid w:val="00F33B27"/>
    <w:rsid w:val="00F33BD3"/>
    <w:rsid w:val="00F33CBA"/>
    <w:rsid w:val="00F33D15"/>
    <w:rsid w:val="00F340B2"/>
    <w:rsid w:val="00F34349"/>
    <w:rsid w:val="00F344AD"/>
    <w:rsid w:val="00F3496E"/>
    <w:rsid w:val="00F34ABE"/>
    <w:rsid w:val="00F365CE"/>
    <w:rsid w:val="00F36A3D"/>
    <w:rsid w:val="00F37024"/>
    <w:rsid w:val="00F377C9"/>
    <w:rsid w:val="00F37CB3"/>
    <w:rsid w:val="00F37D3C"/>
    <w:rsid w:val="00F37D77"/>
    <w:rsid w:val="00F4035B"/>
    <w:rsid w:val="00F403E5"/>
    <w:rsid w:val="00F404A2"/>
    <w:rsid w:val="00F40FCB"/>
    <w:rsid w:val="00F4205E"/>
    <w:rsid w:val="00F42864"/>
    <w:rsid w:val="00F4462B"/>
    <w:rsid w:val="00F44EBF"/>
    <w:rsid w:val="00F44FCA"/>
    <w:rsid w:val="00F45B62"/>
    <w:rsid w:val="00F462C0"/>
    <w:rsid w:val="00F466C5"/>
    <w:rsid w:val="00F46D46"/>
    <w:rsid w:val="00F47220"/>
    <w:rsid w:val="00F47C95"/>
    <w:rsid w:val="00F50020"/>
    <w:rsid w:val="00F50425"/>
    <w:rsid w:val="00F504B3"/>
    <w:rsid w:val="00F506B9"/>
    <w:rsid w:val="00F50DBB"/>
    <w:rsid w:val="00F5149D"/>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936"/>
    <w:rsid w:val="00F54A36"/>
    <w:rsid w:val="00F54A66"/>
    <w:rsid w:val="00F54C3C"/>
    <w:rsid w:val="00F54DA5"/>
    <w:rsid w:val="00F5516A"/>
    <w:rsid w:val="00F55C62"/>
    <w:rsid w:val="00F55E83"/>
    <w:rsid w:val="00F5604D"/>
    <w:rsid w:val="00F5668C"/>
    <w:rsid w:val="00F56DC8"/>
    <w:rsid w:val="00F56FC0"/>
    <w:rsid w:val="00F5754E"/>
    <w:rsid w:val="00F5780D"/>
    <w:rsid w:val="00F57B19"/>
    <w:rsid w:val="00F6067F"/>
    <w:rsid w:val="00F60B3D"/>
    <w:rsid w:val="00F60FFB"/>
    <w:rsid w:val="00F61176"/>
    <w:rsid w:val="00F619F1"/>
    <w:rsid w:val="00F61A2D"/>
    <w:rsid w:val="00F61AF3"/>
    <w:rsid w:val="00F61D99"/>
    <w:rsid w:val="00F61DA3"/>
    <w:rsid w:val="00F61DA8"/>
    <w:rsid w:val="00F62219"/>
    <w:rsid w:val="00F62C6D"/>
    <w:rsid w:val="00F63F28"/>
    <w:rsid w:val="00F63FF3"/>
    <w:rsid w:val="00F64F70"/>
    <w:rsid w:val="00F65226"/>
    <w:rsid w:val="00F657CE"/>
    <w:rsid w:val="00F65EA3"/>
    <w:rsid w:val="00F663B1"/>
    <w:rsid w:val="00F6687E"/>
    <w:rsid w:val="00F66C0B"/>
    <w:rsid w:val="00F66DF2"/>
    <w:rsid w:val="00F6749B"/>
    <w:rsid w:val="00F67EF3"/>
    <w:rsid w:val="00F7045D"/>
    <w:rsid w:val="00F7163B"/>
    <w:rsid w:val="00F7181E"/>
    <w:rsid w:val="00F7253B"/>
    <w:rsid w:val="00F72AF5"/>
    <w:rsid w:val="00F72C1A"/>
    <w:rsid w:val="00F736E9"/>
    <w:rsid w:val="00F7392C"/>
    <w:rsid w:val="00F74545"/>
    <w:rsid w:val="00F74666"/>
    <w:rsid w:val="00F74CDA"/>
    <w:rsid w:val="00F74D48"/>
    <w:rsid w:val="00F75294"/>
    <w:rsid w:val="00F76290"/>
    <w:rsid w:val="00F76C8A"/>
    <w:rsid w:val="00F77094"/>
    <w:rsid w:val="00F77397"/>
    <w:rsid w:val="00F775AF"/>
    <w:rsid w:val="00F77C14"/>
    <w:rsid w:val="00F77C7F"/>
    <w:rsid w:val="00F77F48"/>
    <w:rsid w:val="00F80796"/>
    <w:rsid w:val="00F810E0"/>
    <w:rsid w:val="00F816B1"/>
    <w:rsid w:val="00F816F0"/>
    <w:rsid w:val="00F81ADD"/>
    <w:rsid w:val="00F81B88"/>
    <w:rsid w:val="00F82379"/>
    <w:rsid w:val="00F82995"/>
    <w:rsid w:val="00F8333C"/>
    <w:rsid w:val="00F83603"/>
    <w:rsid w:val="00F83B23"/>
    <w:rsid w:val="00F83BF7"/>
    <w:rsid w:val="00F847CA"/>
    <w:rsid w:val="00F84ABE"/>
    <w:rsid w:val="00F8516B"/>
    <w:rsid w:val="00F8541E"/>
    <w:rsid w:val="00F85880"/>
    <w:rsid w:val="00F8601C"/>
    <w:rsid w:val="00F86987"/>
    <w:rsid w:val="00F872C3"/>
    <w:rsid w:val="00F87AED"/>
    <w:rsid w:val="00F9004B"/>
    <w:rsid w:val="00F90595"/>
    <w:rsid w:val="00F9062C"/>
    <w:rsid w:val="00F90DB3"/>
    <w:rsid w:val="00F91982"/>
    <w:rsid w:val="00F91CAC"/>
    <w:rsid w:val="00F921CB"/>
    <w:rsid w:val="00F92B09"/>
    <w:rsid w:val="00F92FBD"/>
    <w:rsid w:val="00F93581"/>
    <w:rsid w:val="00F93659"/>
    <w:rsid w:val="00F93B3B"/>
    <w:rsid w:val="00F93C6C"/>
    <w:rsid w:val="00F93DC5"/>
    <w:rsid w:val="00F94006"/>
    <w:rsid w:val="00F94774"/>
    <w:rsid w:val="00F94C89"/>
    <w:rsid w:val="00F94E9F"/>
    <w:rsid w:val="00F9516C"/>
    <w:rsid w:val="00F9559D"/>
    <w:rsid w:val="00F9599F"/>
    <w:rsid w:val="00F974AB"/>
    <w:rsid w:val="00F97F13"/>
    <w:rsid w:val="00FA0F6B"/>
    <w:rsid w:val="00FA1181"/>
    <w:rsid w:val="00FA1204"/>
    <w:rsid w:val="00FA156F"/>
    <w:rsid w:val="00FA248A"/>
    <w:rsid w:val="00FA2527"/>
    <w:rsid w:val="00FA2AA9"/>
    <w:rsid w:val="00FA2FD9"/>
    <w:rsid w:val="00FA4B98"/>
    <w:rsid w:val="00FA4E22"/>
    <w:rsid w:val="00FA5109"/>
    <w:rsid w:val="00FA51DA"/>
    <w:rsid w:val="00FA5462"/>
    <w:rsid w:val="00FA5A90"/>
    <w:rsid w:val="00FA64A2"/>
    <w:rsid w:val="00FA6599"/>
    <w:rsid w:val="00FA7704"/>
    <w:rsid w:val="00FB0228"/>
    <w:rsid w:val="00FB03A9"/>
    <w:rsid w:val="00FB08AF"/>
    <w:rsid w:val="00FB0CDF"/>
    <w:rsid w:val="00FB1207"/>
    <w:rsid w:val="00FB1BEE"/>
    <w:rsid w:val="00FB1DE4"/>
    <w:rsid w:val="00FB2636"/>
    <w:rsid w:val="00FB263C"/>
    <w:rsid w:val="00FB2F16"/>
    <w:rsid w:val="00FB353F"/>
    <w:rsid w:val="00FB375A"/>
    <w:rsid w:val="00FB3DC9"/>
    <w:rsid w:val="00FB3FC5"/>
    <w:rsid w:val="00FB4B4F"/>
    <w:rsid w:val="00FB4C25"/>
    <w:rsid w:val="00FB510F"/>
    <w:rsid w:val="00FB5173"/>
    <w:rsid w:val="00FB56ED"/>
    <w:rsid w:val="00FB581D"/>
    <w:rsid w:val="00FB5A2E"/>
    <w:rsid w:val="00FB5B91"/>
    <w:rsid w:val="00FB5C97"/>
    <w:rsid w:val="00FB61DD"/>
    <w:rsid w:val="00FB625C"/>
    <w:rsid w:val="00FB6648"/>
    <w:rsid w:val="00FB676C"/>
    <w:rsid w:val="00FB6DC7"/>
    <w:rsid w:val="00FB6F09"/>
    <w:rsid w:val="00FB72DA"/>
    <w:rsid w:val="00FB764E"/>
    <w:rsid w:val="00FB7850"/>
    <w:rsid w:val="00FB7950"/>
    <w:rsid w:val="00FB7CC4"/>
    <w:rsid w:val="00FC02B3"/>
    <w:rsid w:val="00FC04BD"/>
    <w:rsid w:val="00FC0B19"/>
    <w:rsid w:val="00FC0E06"/>
    <w:rsid w:val="00FC20CF"/>
    <w:rsid w:val="00FC282C"/>
    <w:rsid w:val="00FC2EC1"/>
    <w:rsid w:val="00FC30D9"/>
    <w:rsid w:val="00FC3150"/>
    <w:rsid w:val="00FC3172"/>
    <w:rsid w:val="00FC35F1"/>
    <w:rsid w:val="00FC3C12"/>
    <w:rsid w:val="00FC43C2"/>
    <w:rsid w:val="00FC53DB"/>
    <w:rsid w:val="00FC5897"/>
    <w:rsid w:val="00FC5C2C"/>
    <w:rsid w:val="00FC64E0"/>
    <w:rsid w:val="00FC6ADF"/>
    <w:rsid w:val="00FC6C51"/>
    <w:rsid w:val="00FC6DB7"/>
    <w:rsid w:val="00FC6E83"/>
    <w:rsid w:val="00FC74EF"/>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D3F"/>
    <w:rsid w:val="00FD2DD3"/>
    <w:rsid w:val="00FD3562"/>
    <w:rsid w:val="00FD3689"/>
    <w:rsid w:val="00FD3B46"/>
    <w:rsid w:val="00FD3EA4"/>
    <w:rsid w:val="00FD428E"/>
    <w:rsid w:val="00FD44C4"/>
    <w:rsid w:val="00FD4E6B"/>
    <w:rsid w:val="00FD50D9"/>
    <w:rsid w:val="00FD5860"/>
    <w:rsid w:val="00FD5C58"/>
    <w:rsid w:val="00FD5C80"/>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1E5"/>
    <w:rsid w:val="00FE78C4"/>
    <w:rsid w:val="00FF050C"/>
    <w:rsid w:val="00FF0BE0"/>
    <w:rsid w:val="00FF0D3A"/>
    <w:rsid w:val="00FF1785"/>
    <w:rsid w:val="00FF2873"/>
    <w:rsid w:val="00FF2D27"/>
    <w:rsid w:val="00FF2F10"/>
    <w:rsid w:val="00FF2F9E"/>
    <w:rsid w:val="00FF374D"/>
    <w:rsid w:val="00FF456F"/>
    <w:rsid w:val="00FF4A5F"/>
    <w:rsid w:val="00FF4D42"/>
    <w:rsid w:val="00FF4E60"/>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FDDD1"/>
  <w15:docId w15:val="{8AE00C01-C972-4446-9522-E7A21F7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8"/>
    <w:pPr>
      <w:spacing w:before="120" w:after="120"/>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link w:val="BVIfnrChar"/>
    <w:uiPriority w:val="99"/>
    <w:qFormat/>
    <w:rsid w:val="007E09DA"/>
    <w:rPr>
      <w:sz w:val="18"/>
      <w:u w:val="single"/>
      <w:vertAlign w:val="baseline"/>
    </w:rPr>
  </w:style>
  <w:style w:type="paragraph" w:styleId="FootnoteText">
    <w:name w:val="footnote text"/>
    <w:aliases w:val="ADB,ADB1,ADB2,Boston 10,FOOTNOTES,FOOTNOTES1,FOOTNOTES2,Font: Geneva 9,Fotnotstext Char,Geneva 9,f,fn1,fn2,footnote text,footnote text1,footnote text2,footnote text3,ft,ft Char,single space,single space1,single space2,single space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1 Char,fn2 Char,footnote text Char,footnote text1 Char,footnote text2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basedOn w:val="DefaultParagraphFont"/>
    <w:link w:val="Heading2"/>
    <w:rsid w:val="001452C7"/>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customStyle="1" w:styleId="UnresolvedMention3">
    <w:name w:val="Unresolved Mention3"/>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50147">
      <w:bodyDiv w:val="1"/>
      <w:marLeft w:val="0"/>
      <w:marRight w:val="0"/>
      <w:marTop w:val="0"/>
      <w:marBottom w:val="0"/>
      <w:divBdr>
        <w:top w:val="none" w:sz="0" w:space="0" w:color="auto"/>
        <w:left w:val="none" w:sz="0" w:space="0" w:color="auto"/>
        <w:bottom w:val="none" w:sz="0" w:space="0" w:color="auto"/>
        <w:right w:val="none" w:sz="0" w:space="0" w:color="auto"/>
      </w:divBdr>
    </w:div>
    <w:div w:id="158853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p-mop-09/cp-mop-09-dec-03-fr.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bd.int/doc/notifications/2019/ntf-2019-044-bs-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7-fr.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ecision/mop/?id=13236" TargetMode="External"/><Relationship Id="rId20" Type="http://schemas.openxmlformats.org/officeDocument/2006/relationships/hyperlink" Target="https://www.cbd.int/doc/decisions/cp-mop-09/cp-mop-09-dec-03-fr.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ecision/mop/?id=1232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24-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ch.cbd.int/protocol/post2020/portal/SubmissionsReview.shtml" TargetMode="External"/><Relationship Id="rId3" Type="http://schemas.openxmlformats.org/officeDocument/2006/relationships/hyperlink" Target="http://bch.cbd.int/protocol/post2020/submissions.shtml" TargetMode="External"/><Relationship Id="rId7" Type="http://schemas.openxmlformats.org/officeDocument/2006/relationships/hyperlink" Target="https://bch.cbd.int/post%202020/plans_review.pdf" TargetMode="External"/><Relationship Id="rId2" Type="http://schemas.openxmlformats.org/officeDocument/2006/relationships/hyperlink" Target="https://www.cbd.int/doc/notifications/2019/ntf-2019-027-bs-post2020-en.pdf" TargetMode="External"/><Relationship Id="rId1" Type="http://schemas.openxmlformats.org/officeDocument/2006/relationships/hyperlink" Target="https://www.cbd.int/doc/c/b394/1143/4eebfb7075f312fd2c9c45b6/sbi-03-01-fr.pdf" TargetMode="External"/><Relationship Id="rId6" Type="http://schemas.openxmlformats.org/officeDocument/2006/relationships/hyperlink" Target="http://bch.cbd.int/protocol/post2020/0002.shtml" TargetMode="External"/><Relationship Id="rId5" Type="http://schemas.openxmlformats.org/officeDocument/2006/relationships/hyperlink" Target="http://bch.cbd.int/protocol/post2020/ForumImplementationPlan.shtml" TargetMode="External"/><Relationship Id="rId4" Type="http://schemas.openxmlformats.org/officeDocument/2006/relationships/hyperlink" Target="https://bch.cbd.int/post%202020/implementationplan.pdf?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D0378C">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D0378C">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D0378C">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D0378C">
          <w:r w:rsidRPr="006D0F48">
            <w:rPr>
              <w:rStyle w:val="PlaceholderText"/>
            </w:rPr>
            <w:t>[Subject]</w:t>
          </w:r>
        </w:p>
      </w:docPartBody>
    </w:docPart>
    <w:docPart>
      <w:docPartPr>
        <w:name w:val="6A46EB6522BCCE46AA484B1E911E6FE9"/>
        <w:category>
          <w:name w:val="General"/>
          <w:gallery w:val="placeholder"/>
        </w:category>
        <w:types>
          <w:type w:val="bbPlcHdr"/>
        </w:types>
        <w:behaviors>
          <w:behavior w:val="content"/>
        </w:behaviors>
        <w:guid w:val="{60B0BD50-E2CF-C249-B823-1B5E68E0FB3B}"/>
      </w:docPartPr>
      <w:docPartBody>
        <w:p w:rsidR="00731BD4" w:rsidRDefault="00D0378C">
          <w:pPr>
            <w:pStyle w:val="6A46EB6522BCCE46AA484B1E911E6F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3FA"/>
    <w:rsid w:val="00014DF1"/>
    <w:rsid w:val="00027C85"/>
    <w:rsid w:val="00045D7F"/>
    <w:rsid w:val="000979DA"/>
    <w:rsid w:val="000C1FC0"/>
    <w:rsid w:val="0011323E"/>
    <w:rsid w:val="001A5E07"/>
    <w:rsid w:val="001B6BA8"/>
    <w:rsid w:val="00204ED8"/>
    <w:rsid w:val="00221891"/>
    <w:rsid w:val="00225729"/>
    <w:rsid w:val="002375C8"/>
    <w:rsid w:val="00247042"/>
    <w:rsid w:val="002656DD"/>
    <w:rsid w:val="0037303F"/>
    <w:rsid w:val="003C52E2"/>
    <w:rsid w:val="003E3639"/>
    <w:rsid w:val="003F6B7D"/>
    <w:rsid w:val="0041753D"/>
    <w:rsid w:val="004A6780"/>
    <w:rsid w:val="00500A2B"/>
    <w:rsid w:val="005259DF"/>
    <w:rsid w:val="00554218"/>
    <w:rsid w:val="0058288D"/>
    <w:rsid w:val="005C7088"/>
    <w:rsid w:val="005E1DAB"/>
    <w:rsid w:val="0060211F"/>
    <w:rsid w:val="0061319C"/>
    <w:rsid w:val="0061507A"/>
    <w:rsid w:val="006801B3"/>
    <w:rsid w:val="00693A7D"/>
    <w:rsid w:val="006B71DE"/>
    <w:rsid w:val="00701AD2"/>
    <w:rsid w:val="0070617B"/>
    <w:rsid w:val="00721F4F"/>
    <w:rsid w:val="00731BD4"/>
    <w:rsid w:val="007870CD"/>
    <w:rsid w:val="00810A55"/>
    <w:rsid w:val="008348C0"/>
    <w:rsid w:val="008621D3"/>
    <w:rsid w:val="00880804"/>
    <w:rsid w:val="008C13C3"/>
    <w:rsid w:val="008C6619"/>
    <w:rsid w:val="008D420E"/>
    <w:rsid w:val="0091219B"/>
    <w:rsid w:val="009235E3"/>
    <w:rsid w:val="00940BAC"/>
    <w:rsid w:val="009440E4"/>
    <w:rsid w:val="009471F9"/>
    <w:rsid w:val="00963238"/>
    <w:rsid w:val="0098642F"/>
    <w:rsid w:val="009C7C6D"/>
    <w:rsid w:val="00AC7C28"/>
    <w:rsid w:val="00B65DB9"/>
    <w:rsid w:val="00BA1A7D"/>
    <w:rsid w:val="00BE2CDE"/>
    <w:rsid w:val="00BE6D2F"/>
    <w:rsid w:val="00C0436C"/>
    <w:rsid w:val="00CC595E"/>
    <w:rsid w:val="00D03584"/>
    <w:rsid w:val="00D0378C"/>
    <w:rsid w:val="00D12D8A"/>
    <w:rsid w:val="00D7788A"/>
    <w:rsid w:val="00DC4CCD"/>
    <w:rsid w:val="00DE18DE"/>
    <w:rsid w:val="00E138F1"/>
    <w:rsid w:val="00E20D33"/>
    <w:rsid w:val="00E538A3"/>
    <w:rsid w:val="00E57951"/>
    <w:rsid w:val="00E72A59"/>
    <w:rsid w:val="00E806AD"/>
    <w:rsid w:val="00F1475C"/>
    <w:rsid w:val="00F3164E"/>
    <w:rsid w:val="00F4045A"/>
    <w:rsid w:val="00FB2DC4"/>
    <w:rsid w:val="00FC3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2D8A"/>
    <w:rPr>
      <w:color w:val="808080"/>
    </w:rPr>
  </w:style>
  <w:style w:type="paragraph" w:customStyle="1" w:styleId="77E410E81453400F978817CEE849D2E2">
    <w:name w:val="77E410E81453400F978817CEE849D2E2"/>
    <w:rsid w:val="00DC4CCD"/>
    <w:pPr>
      <w:spacing w:after="160" w:line="259" w:lineRule="auto"/>
    </w:pPr>
    <w:rPr>
      <w:lang w:val="en-CA" w:eastAsia="en-CA"/>
    </w:rPr>
  </w:style>
  <w:style w:type="paragraph" w:customStyle="1" w:styleId="9B27881A0DA94C87A67606132DE285BF">
    <w:name w:val="9B27881A0DA94C87A67606132DE285BF"/>
    <w:rsid w:val="00DC4CCD"/>
    <w:pPr>
      <w:spacing w:after="160" w:line="259" w:lineRule="auto"/>
    </w:pPr>
    <w:rPr>
      <w:lang w:val="en-CA" w:eastAsia="en-CA"/>
    </w:rPr>
  </w:style>
  <w:style w:type="paragraph" w:customStyle="1" w:styleId="16B8453C9CB26B419A243B406D81E796">
    <w:name w:val="16B8453C9CB26B419A243B406D81E796"/>
    <w:pPr>
      <w:spacing w:after="0" w:line="240" w:lineRule="auto"/>
    </w:pPr>
    <w:rPr>
      <w:sz w:val="24"/>
      <w:szCs w:val="24"/>
      <w:lang w:val="en-CA" w:eastAsia="ja-JP"/>
    </w:rPr>
  </w:style>
  <w:style w:type="paragraph" w:customStyle="1" w:styleId="6A46EB6522BCCE46AA484B1E911E6FE9">
    <w:name w:val="6A46EB6522BCCE46AA484B1E911E6FE9"/>
    <w:pPr>
      <w:spacing w:after="0" w:line="240" w:lineRule="auto"/>
    </w:pPr>
    <w:rPr>
      <w:sz w:val="24"/>
      <w:szCs w:val="24"/>
      <w:lang w:val="en-CA" w:eastAsia="ja-JP"/>
    </w:rPr>
  </w:style>
  <w:style w:type="paragraph" w:customStyle="1" w:styleId="7B06166846FB464C93C779C54CA038A2">
    <w:name w:val="7B06166846FB464C93C779C54CA038A2"/>
    <w:rsid w:val="00D12D8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4.xml><?xml version="1.0" encoding="utf-8"?>
<ds:datastoreItem xmlns:ds="http://schemas.openxmlformats.org/officeDocument/2006/customXml" ds:itemID="{6D281160-A5EB-4ED0-B0B8-D7E934DA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23CDE9-1AE3-411C-BBAF-078B7880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21</Pages>
  <Words>9330</Words>
  <Characters>53187</Characters>
  <Application>Microsoft Office Word</Application>
  <DocSecurity>0</DocSecurity>
  <Lines>443</Lines>
  <Paragraphs>124</Paragraphs>
  <ScaleCrop>false</ScaleCrop>
  <HeadingPairs>
    <vt:vector size="6" baseType="variant">
      <vt:variant>
        <vt:lpstr>Titre</vt:lpstr>
      </vt:variant>
      <vt:variant>
        <vt:i4>1</vt:i4>
      </vt:variant>
      <vt:variant>
        <vt:lpstr>Title</vt:lpstr>
      </vt:variant>
      <vt:variant>
        <vt:i4>1</vt:i4>
      </vt:variant>
      <vt:variant>
        <vt:lpstr>Cím</vt:lpstr>
      </vt:variant>
      <vt:variant>
        <vt:i4>1</vt:i4>
      </vt:variant>
    </vt:vector>
  </HeadingPairs>
  <TitlesOfParts>
    <vt:vector size="3" baseType="lpstr">
      <vt:lpstr>Plan de mise en ŒUVRE et plan d’action pour le renforcement des capacités du Protocole de Cartagena</vt:lpstr>
      <vt:lpstr>Implementation Plan and Capacity-Building Action Plan for the cartagena protocol</vt:lpstr>
      <vt:lpstr>Report of the Liaison Group on the Cartagena Protocol on Biosafety on its fourteenth meeting</vt:lpstr>
    </vt:vector>
  </TitlesOfParts>
  <Company>SCBD</Company>
  <LinksUpToDate>false</LinksUpToDate>
  <CharactersWithSpaces>62393</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mise en ŒUVRE et plan d’action pour le renforcement des capacités du Protocole de Cartagena</dc:title>
  <dc:subject>CBD/SBI/3/18</dc:subject>
  <dc:creator>SCBD</dc:creator>
  <cp:keywords>Subsidiary Body on Implementation, third meeting</cp:keywords>
  <cp:lastModifiedBy>Xue He Yan</cp:lastModifiedBy>
  <cp:revision>11</cp:revision>
  <cp:lastPrinted>2019-10-25T04:42:00Z</cp:lastPrinted>
  <dcterms:created xsi:type="dcterms:W3CDTF">2020-09-30T20:29:00Z</dcterms:created>
  <dcterms:modified xsi:type="dcterms:W3CDTF">2020-10-01T19:00:00Z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