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846" w:rsidRPr="00786690" w:rsidRDefault="00AF48CC" w:rsidP="00786690">
      <w:pPr>
        <w:pStyle w:val="meetingname"/>
        <w:spacing w:before="120" w:after="240"/>
        <w:ind w:left="284" w:right="-34" w:hanging="284"/>
        <w:jc w:val="center"/>
        <w:rPr>
          <w:b/>
          <w:kern w:val="22"/>
        </w:rPr>
      </w:pPr>
      <w:r w:rsidRPr="00786690">
        <w:rPr>
          <w:b/>
          <w:kern w:val="22"/>
        </w:rPr>
        <w:t>CONSULTATIVE WORKSHOP ON RESOURCE MOBILIZATION FOR THE POST-2020 GLOBAL BIODIVERSIRT FRAMEWORK</w:t>
      </w:r>
    </w:p>
    <w:p w:rsidR="00134846" w:rsidRPr="004B44DE" w:rsidRDefault="00AF48CC" w:rsidP="00786690">
      <w:pPr>
        <w:ind w:left="284" w:right="-36" w:hanging="284"/>
        <w:jc w:val="center"/>
        <w:rPr>
          <w:snapToGrid w:val="0"/>
          <w:kern w:val="22"/>
          <w:szCs w:val="22"/>
          <w:lang w:eastAsia="nb-NO"/>
        </w:rPr>
      </w:pPr>
      <w:r>
        <w:rPr>
          <w:snapToGrid w:val="0"/>
          <w:kern w:val="22"/>
          <w:szCs w:val="22"/>
          <w:lang w:eastAsia="nb-NO"/>
        </w:rPr>
        <w:t>Germany, 14-16 January 20</w:t>
      </w:r>
      <w:r w:rsidR="00D11D59">
        <w:rPr>
          <w:snapToGrid w:val="0"/>
          <w:kern w:val="22"/>
          <w:szCs w:val="22"/>
          <w:lang w:eastAsia="nb-NO"/>
        </w:rPr>
        <w:t>20</w:t>
      </w:r>
      <w:r>
        <w:rPr>
          <w:snapToGrid w:val="0"/>
          <w:kern w:val="22"/>
          <w:szCs w:val="22"/>
          <w:lang w:eastAsia="nb-NO"/>
        </w:rPr>
        <w:t xml:space="preserve"> (tbc)</w:t>
      </w:r>
    </w:p>
    <w:p w:rsidR="00C9161D" w:rsidRDefault="00856948" w:rsidP="00172AF6">
      <w:pPr>
        <w:spacing w:before="120" w:after="240"/>
        <w:jc w:val="center"/>
        <w:rPr>
          <w:b/>
          <w:caps/>
        </w:rPr>
      </w:pPr>
      <w:sdt>
        <w:sdtPr>
          <w:rPr>
            <w:rStyle w:val="Heading2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7F471D">
            <w:rPr>
              <w:rStyle w:val="Heading2Char"/>
            </w:rPr>
            <w:t>CONCEPT NOTE</w:t>
          </w:r>
        </w:sdtContent>
      </w:sdt>
      <w:r w:rsidR="00105372" w:rsidRPr="00105372">
        <w:rPr>
          <w:b/>
          <w:caps/>
        </w:rPr>
        <w:t xml:space="preserve"> </w:t>
      </w:r>
    </w:p>
    <w:p w:rsidR="00414341" w:rsidRPr="00786690" w:rsidRDefault="00414341" w:rsidP="00786690">
      <w:pPr>
        <w:pStyle w:val="Para1"/>
        <w:numPr>
          <w:ilvl w:val="0"/>
          <w:numId w:val="0"/>
        </w:numPr>
        <w:rPr>
          <w:color w:val="000000" w:themeColor="text1"/>
        </w:rPr>
      </w:pPr>
      <w:r w:rsidRPr="00F01869">
        <w:t>The fourteenth meeting of the Conference of the Parties to the Convention adopted a comprehensive and participatory process for the preparation of a successor framework to the current Strategic Plan for Biodiversity. The process includes the establishment of a dedicated open-ended intersession</w:t>
      </w:r>
      <w:r w:rsidR="007F471D">
        <w:t>al</w:t>
      </w:r>
      <w:r w:rsidRPr="00F01869">
        <w:t xml:space="preserve"> working group. The post-2020 global biodiversity framewo</w:t>
      </w:r>
      <w:bookmarkStart w:id="0" w:name="_GoBack"/>
      <w:bookmarkEnd w:id="0"/>
      <w:r w:rsidRPr="00F01869">
        <w:t xml:space="preserve">rk is expected to be adopted by the fifteenth meeting of the Conference of the Parties in 2020, in China. </w:t>
      </w:r>
    </w:p>
    <w:p w:rsidR="00414341" w:rsidRPr="00786690" w:rsidRDefault="00414341" w:rsidP="00786690">
      <w:pPr>
        <w:pStyle w:val="Para1"/>
        <w:numPr>
          <w:ilvl w:val="0"/>
          <w:numId w:val="0"/>
        </w:numPr>
        <w:rPr>
          <w:color w:val="000000" w:themeColor="text1"/>
        </w:rPr>
      </w:pPr>
      <w:r w:rsidRPr="00F01869">
        <w:t xml:space="preserve">According to </w:t>
      </w:r>
      <w:r w:rsidR="007F471D">
        <w:t>the fourteenth meeting of the Conference of the Parties</w:t>
      </w:r>
      <w:r w:rsidRPr="00F01869">
        <w:t xml:space="preserve">, resource mobilization will be an integral part of the post-2020 global biodiversity framework. </w:t>
      </w:r>
      <w:r w:rsidR="007F471D">
        <w:t>At its fourteenth meeting, the Conference of the Parties</w:t>
      </w:r>
      <w:r w:rsidRPr="00F01869">
        <w:t xml:space="preserve"> decided to initiate preparations of this resource mobilization component at an early stage, and in full coherence and coordination with the overall process of developing the post-2020 framework.</w:t>
      </w:r>
      <w:r w:rsidR="007F471D">
        <w:rPr>
          <w:rStyle w:val="FootnoteReference"/>
        </w:rPr>
        <w:footnoteReference w:id="1"/>
      </w:r>
      <w:r w:rsidRPr="00F01869">
        <w:t xml:space="preserve"> Specifically, </w:t>
      </w:r>
      <w:r w:rsidR="007F471D">
        <w:t>the Conference of the Parties</w:t>
      </w:r>
      <w:r w:rsidRPr="00F01869">
        <w:t xml:space="preserve"> requested the Executive Secretary to contract a panel of experts which shall prepare pertinent analyses and reports for the consideration of the Open-ended Working Group tasked with the overall process, and of the Conference of the Parties at its fifteenth meeting.</w:t>
      </w:r>
      <w:r w:rsidR="007F471D">
        <w:rPr>
          <w:rStyle w:val="FootnoteReference"/>
        </w:rPr>
        <w:footnoteReference w:id="2"/>
      </w:r>
      <w:r w:rsidRPr="00F01869">
        <w:t xml:space="preserve"> The expert panel has three large tasks:</w:t>
      </w:r>
    </w:p>
    <w:p w:rsidR="00414341" w:rsidRPr="00F01869" w:rsidRDefault="00414341" w:rsidP="00786690">
      <w:pPr>
        <w:pStyle w:val="ListParagraph"/>
        <w:numPr>
          <w:ilvl w:val="0"/>
          <w:numId w:val="25"/>
        </w:numPr>
        <w:spacing w:before="120" w:after="120"/>
        <w:ind w:left="0" w:firstLine="765"/>
        <w:contextualSpacing w:val="0"/>
        <w:rPr>
          <w:color w:val="000000" w:themeColor="text1"/>
        </w:rPr>
      </w:pPr>
      <w:r w:rsidRPr="00F01869">
        <w:rPr>
          <w:color w:val="000000" w:themeColor="text1"/>
        </w:rPr>
        <w:t xml:space="preserve">To review the experiences of achieving Aichi Biodiversity Target 20 and implementing the </w:t>
      </w:r>
      <w:r w:rsidR="007F471D">
        <w:rPr>
          <w:color w:val="000000" w:themeColor="text1"/>
        </w:rPr>
        <w:t>s</w:t>
      </w:r>
      <w:r w:rsidRPr="00F01869">
        <w:rPr>
          <w:color w:val="000000" w:themeColor="text1"/>
        </w:rPr>
        <w:t xml:space="preserve">trategy for </w:t>
      </w:r>
      <w:r w:rsidR="007F471D">
        <w:rPr>
          <w:color w:val="000000" w:themeColor="text1"/>
        </w:rPr>
        <w:t>r</w:t>
      </w:r>
      <w:r w:rsidRPr="00F01869">
        <w:rPr>
          <w:color w:val="000000" w:themeColor="text1"/>
        </w:rPr>
        <w:t xml:space="preserve">esource </w:t>
      </w:r>
      <w:r w:rsidR="007F471D">
        <w:rPr>
          <w:color w:val="000000" w:themeColor="text1"/>
        </w:rPr>
        <w:t>m</w:t>
      </w:r>
      <w:r w:rsidRPr="00F01869">
        <w:rPr>
          <w:color w:val="000000" w:themeColor="text1"/>
        </w:rPr>
        <w:t xml:space="preserve">obilization, and to prepare an evaluation of the structure, content and effectiveness of the </w:t>
      </w:r>
      <w:r w:rsidR="007F471D">
        <w:rPr>
          <w:color w:val="000000" w:themeColor="text1"/>
        </w:rPr>
        <w:t>s</w:t>
      </w:r>
      <w:r w:rsidRPr="00F01869">
        <w:rPr>
          <w:color w:val="000000" w:themeColor="text1"/>
        </w:rPr>
        <w:t xml:space="preserve">trategy for </w:t>
      </w:r>
      <w:r w:rsidR="007F471D">
        <w:rPr>
          <w:color w:val="000000" w:themeColor="text1"/>
        </w:rPr>
        <w:t>r</w:t>
      </w:r>
      <w:r w:rsidRPr="00F01869">
        <w:rPr>
          <w:color w:val="000000" w:themeColor="text1"/>
        </w:rPr>
        <w:t xml:space="preserve">esource </w:t>
      </w:r>
      <w:r w:rsidR="007F471D">
        <w:rPr>
          <w:color w:val="000000" w:themeColor="text1"/>
        </w:rPr>
        <w:t>m</w:t>
      </w:r>
      <w:r w:rsidRPr="00F01869">
        <w:rPr>
          <w:color w:val="000000" w:themeColor="text1"/>
        </w:rPr>
        <w:t>obilization indicating gaps and the need for any appropriate further action;</w:t>
      </w:r>
    </w:p>
    <w:p w:rsidR="00414341" w:rsidRPr="00F01869" w:rsidRDefault="00414341" w:rsidP="00786690">
      <w:pPr>
        <w:pStyle w:val="ListParagraph"/>
        <w:numPr>
          <w:ilvl w:val="0"/>
          <w:numId w:val="25"/>
        </w:numPr>
        <w:spacing w:before="120" w:after="120"/>
        <w:ind w:left="0" w:firstLine="765"/>
        <w:contextualSpacing w:val="0"/>
        <w:rPr>
          <w:color w:val="000000" w:themeColor="text1"/>
        </w:rPr>
      </w:pPr>
      <w:r w:rsidRPr="00F01869">
        <w:rPr>
          <w:color w:val="000000" w:themeColor="text1"/>
        </w:rPr>
        <w:t>To estimate the resources from all sources needed for different scenarios of the implementation of the post-2020 framework</w:t>
      </w:r>
      <w:r w:rsidR="007F471D">
        <w:rPr>
          <w:color w:val="000000" w:themeColor="text1"/>
        </w:rPr>
        <w:t>;</w:t>
      </w:r>
    </w:p>
    <w:p w:rsidR="00414341" w:rsidRPr="00786690" w:rsidRDefault="00414341" w:rsidP="00786690">
      <w:pPr>
        <w:pStyle w:val="ListParagraph"/>
        <w:numPr>
          <w:ilvl w:val="0"/>
          <w:numId w:val="25"/>
        </w:numPr>
        <w:spacing w:before="120" w:after="120"/>
        <w:ind w:left="0" w:firstLine="765"/>
        <w:contextualSpacing w:val="0"/>
        <w:rPr>
          <w:color w:val="000000" w:themeColor="text1"/>
        </w:rPr>
      </w:pPr>
      <w:r w:rsidRPr="00F01869">
        <w:rPr>
          <w:color w:val="000000" w:themeColor="text1"/>
        </w:rPr>
        <w:t xml:space="preserve">To develop a draft resource mobilization component of the post-2020 biodiversity framework as a follow-up to the current </w:t>
      </w:r>
      <w:r w:rsidR="007F471D">
        <w:rPr>
          <w:color w:val="000000" w:themeColor="text1"/>
        </w:rPr>
        <w:t>s</w:t>
      </w:r>
      <w:r w:rsidRPr="00F01869">
        <w:rPr>
          <w:color w:val="000000" w:themeColor="text1"/>
        </w:rPr>
        <w:t xml:space="preserve">trategy for </w:t>
      </w:r>
      <w:r w:rsidR="007F471D">
        <w:rPr>
          <w:color w:val="000000" w:themeColor="text1"/>
        </w:rPr>
        <w:t>r</w:t>
      </w:r>
      <w:r w:rsidRPr="00F01869">
        <w:rPr>
          <w:color w:val="000000" w:themeColor="text1"/>
        </w:rPr>
        <w:t xml:space="preserve">esource </w:t>
      </w:r>
      <w:r w:rsidR="007F471D">
        <w:rPr>
          <w:color w:val="000000" w:themeColor="text1"/>
        </w:rPr>
        <w:t>m</w:t>
      </w:r>
      <w:r w:rsidRPr="00F01869">
        <w:rPr>
          <w:color w:val="000000" w:themeColor="text1"/>
        </w:rPr>
        <w:t>obilization.</w:t>
      </w:r>
    </w:p>
    <w:p w:rsidR="00414341" w:rsidRPr="00786690" w:rsidRDefault="00414341" w:rsidP="00786690">
      <w:pPr>
        <w:pStyle w:val="Para1"/>
        <w:numPr>
          <w:ilvl w:val="0"/>
          <w:numId w:val="0"/>
        </w:numPr>
        <w:rPr>
          <w:color w:val="000000" w:themeColor="text1"/>
        </w:rPr>
      </w:pPr>
      <w:r w:rsidRPr="00F01869">
        <w:t xml:space="preserve">The expert panel is expected to consult widely: to build on the experiences in implementing other relevant multilateral environmental agreements, public and private stakeholder initiatives as well as of indigenous </w:t>
      </w:r>
      <w:r w:rsidRPr="00F01869">
        <w:lastRenderedPageBreak/>
        <w:t>peoples and local communities.</w:t>
      </w:r>
      <w:r w:rsidR="007F471D">
        <w:rPr>
          <w:rStyle w:val="FootnoteReference"/>
        </w:rPr>
        <w:footnoteReference w:id="3"/>
      </w:r>
      <w:r w:rsidRPr="00F01869">
        <w:t xml:space="preserve"> Contracting of the panel is under way, with financial support provided by the </w:t>
      </w:r>
      <w:r w:rsidR="007F471D">
        <w:t>G</w:t>
      </w:r>
      <w:r w:rsidRPr="00F01869">
        <w:t>overnment of Germany.</w:t>
      </w:r>
    </w:p>
    <w:p w:rsidR="00414341" w:rsidRPr="00786690" w:rsidRDefault="00414341" w:rsidP="00786690">
      <w:pPr>
        <w:pStyle w:val="Para1"/>
        <w:numPr>
          <w:ilvl w:val="0"/>
          <w:numId w:val="0"/>
        </w:numPr>
        <w:rPr>
          <w:color w:val="000000" w:themeColor="text1"/>
        </w:rPr>
      </w:pPr>
      <w:r w:rsidRPr="00F01869">
        <w:t>The thematic workshop on resource mobilization will be a critical opportunity to enhance mutual understanding, identify areas of common understanding, and clarify expectations ahead of the negotiations at the formal meetings of the Convention.</w:t>
      </w:r>
    </w:p>
    <w:p w:rsidR="00414341" w:rsidRPr="00786690" w:rsidRDefault="00414341" w:rsidP="00786690">
      <w:pPr>
        <w:pStyle w:val="Para1"/>
        <w:numPr>
          <w:ilvl w:val="0"/>
          <w:numId w:val="0"/>
        </w:numPr>
        <w:rPr>
          <w:color w:val="000000" w:themeColor="text1"/>
        </w:rPr>
      </w:pPr>
      <w:r w:rsidRPr="00F01869">
        <w:t xml:space="preserve">Germany has kindly offered financial support for the thematic workshop, and to host it.  </w:t>
      </w:r>
    </w:p>
    <w:p w:rsidR="00AF48CC" w:rsidRPr="00786690" w:rsidRDefault="00414341" w:rsidP="00786690">
      <w:pPr>
        <w:pStyle w:val="Heading2"/>
      </w:pPr>
      <w:r w:rsidRPr="00F01869">
        <w:t>Key principles</w:t>
      </w:r>
    </w:p>
    <w:p w:rsidR="00414341" w:rsidRPr="00786690" w:rsidRDefault="00AF48CC" w:rsidP="00786690">
      <w:pPr>
        <w:pStyle w:val="Heading1"/>
        <w:jc w:val="left"/>
        <w:rPr>
          <w:b w:val="0"/>
        </w:rPr>
      </w:pPr>
      <w:r w:rsidRPr="00786690">
        <w:rPr>
          <w:b w:val="0"/>
          <w:caps w:val="0"/>
        </w:rPr>
        <w:t>Key principles are as follows:</w:t>
      </w:r>
    </w:p>
    <w:p w:rsidR="00414341" w:rsidRPr="00BA17AB" w:rsidRDefault="00414341" w:rsidP="00786690">
      <w:pPr>
        <w:pStyle w:val="ListParagraph"/>
        <w:numPr>
          <w:ilvl w:val="0"/>
          <w:numId w:val="26"/>
        </w:numPr>
        <w:spacing w:before="120" w:after="120"/>
        <w:ind w:left="0" w:firstLine="709"/>
        <w:contextualSpacing w:val="0"/>
      </w:pPr>
      <w:r>
        <w:t>Discussions among</w:t>
      </w:r>
      <w:r w:rsidRPr="00BA17AB">
        <w:t xml:space="preserve"> Parties and stakeholder</w:t>
      </w:r>
      <w:r>
        <w:t xml:space="preserve"> experts,</w:t>
      </w:r>
      <w:r w:rsidRPr="00F01869">
        <w:rPr>
          <w:color w:val="000000" w:themeColor="text1"/>
        </w:rPr>
        <w:t xml:space="preserve"> based on an initial review of experiences and evaluation of the </w:t>
      </w:r>
      <w:r w:rsidR="007F471D">
        <w:rPr>
          <w:color w:val="000000" w:themeColor="text1"/>
        </w:rPr>
        <w:t>s</w:t>
      </w:r>
      <w:r w:rsidRPr="00F01869">
        <w:rPr>
          <w:color w:val="000000" w:themeColor="text1"/>
        </w:rPr>
        <w:t xml:space="preserve">trategy for </w:t>
      </w:r>
      <w:r w:rsidR="007F471D">
        <w:rPr>
          <w:color w:val="000000" w:themeColor="text1"/>
        </w:rPr>
        <w:t>r</w:t>
      </w:r>
      <w:r w:rsidRPr="00F01869">
        <w:rPr>
          <w:color w:val="000000" w:themeColor="text1"/>
        </w:rPr>
        <w:t xml:space="preserve">esource </w:t>
      </w:r>
      <w:r w:rsidR="007F471D">
        <w:rPr>
          <w:color w:val="000000" w:themeColor="text1"/>
        </w:rPr>
        <w:t>m</w:t>
      </w:r>
      <w:r w:rsidRPr="00F01869">
        <w:rPr>
          <w:color w:val="000000" w:themeColor="text1"/>
        </w:rPr>
        <w:t>obilization</w:t>
      </w:r>
      <w:r>
        <w:rPr>
          <w:color w:val="000000" w:themeColor="text1"/>
        </w:rPr>
        <w:t xml:space="preserve"> (</w:t>
      </w:r>
      <w:r w:rsidRPr="00F01869">
        <w:rPr>
          <w:color w:val="000000" w:themeColor="text1"/>
        </w:rPr>
        <w:t>undertaken further to decision 14/22</w:t>
      </w:r>
      <w:r>
        <w:rPr>
          <w:color w:val="000000" w:themeColor="text1"/>
        </w:rPr>
        <w:t>),</w:t>
      </w:r>
      <w:r w:rsidRPr="00BA17AB">
        <w:t xml:space="preserve"> in line with </w:t>
      </w:r>
      <w:r>
        <w:t xml:space="preserve">the </w:t>
      </w:r>
      <w:r w:rsidRPr="00BA17AB">
        <w:t xml:space="preserve">principles of transparency and inclusiveness agreed at </w:t>
      </w:r>
      <w:r w:rsidR="007F471D">
        <w:t>the fourteenth meeting of the Conference of the Parties;</w:t>
      </w:r>
      <w:r w:rsidRPr="00BA17AB">
        <w:t xml:space="preserve"> </w:t>
      </w:r>
    </w:p>
    <w:p w:rsidR="00414341" w:rsidRPr="00BA17AB" w:rsidRDefault="00414341" w:rsidP="00786690">
      <w:pPr>
        <w:pStyle w:val="ListParagraph"/>
        <w:numPr>
          <w:ilvl w:val="0"/>
          <w:numId w:val="26"/>
        </w:numPr>
        <w:spacing w:before="120" w:after="120"/>
        <w:ind w:left="0" w:firstLine="709"/>
        <w:contextualSpacing w:val="0"/>
      </w:pPr>
      <w:r>
        <w:t xml:space="preserve">The thematic workshop is an expert meeting aiming at providing </w:t>
      </w:r>
      <w:r w:rsidR="00AF48CC">
        <w:t xml:space="preserve">Co-Chairs of the Working on Post-2020 </w:t>
      </w:r>
      <w:r w:rsidR="00AF48CC">
        <w:t xml:space="preserve">with </w:t>
      </w:r>
      <w:r>
        <w:t xml:space="preserve">concrete and constructive inputs for consideration in their future work on the post-2020 </w:t>
      </w:r>
      <w:r w:rsidR="007F471D">
        <w:t>global biodiversity framework</w:t>
      </w:r>
      <w:r>
        <w:t xml:space="preserve">. </w:t>
      </w:r>
      <w:r w:rsidR="007F471D">
        <w:t>The w</w:t>
      </w:r>
      <w:r>
        <w:t xml:space="preserve">orkshop does not constitute </w:t>
      </w:r>
      <w:r w:rsidRPr="00BA17AB">
        <w:t>a negotiati</w:t>
      </w:r>
      <w:r w:rsidR="00AF48CC">
        <w:t>ng</w:t>
      </w:r>
      <w:r w:rsidRPr="00BA17AB">
        <w:t xml:space="preserve"> process </w:t>
      </w:r>
      <w:r>
        <w:t xml:space="preserve">but will </w:t>
      </w:r>
      <w:r w:rsidR="00AF48CC">
        <w:t xml:space="preserve">serve to </w:t>
      </w:r>
      <w:r>
        <w:t>seek areas of convergence</w:t>
      </w:r>
      <w:r w:rsidR="007F471D">
        <w:t>;</w:t>
      </w:r>
      <w:r>
        <w:t xml:space="preserve"> </w:t>
      </w:r>
    </w:p>
    <w:p w:rsidR="00414341" w:rsidRPr="005D6E92" w:rsidRDefault="00AF48CC" w:rsidP="00786690">
      <w:pPr>
        <w:pStyle w:val="ListParagraph"/>
        <w:numPr>
          <w:ilvl w:val="0"/>
          <w:numId w:val="26"/>
        </w:numPr>
        <w:spacing w:before="120" w:after="120"/>
        <w:ind w:left="0" w:firstLine="709"/>
        <w:contextualSpacing w:val="0"/>
      </w:pPr>
      <w:r>
        <w:t>T</w:t>
      </w:r>
      <w:r w:rsidR="00414341" w:rsidRPr="005D6E92">
        <w:t>he format and overall approaches used for previous regional and thematic consultations</w:t>
      </w:r>
      <w:r w:rsidR="00414341">
        <w:t>/workshops</w:t>
      </w:r>
      <w:r w:rsidR="00414341" w:rsidRPr="00427B5A">
        <w:t xml:space="preserve"> </w:t>
      </w:r>
      <w:r>
        <w:t xml:space="preserve">will be followed </w:t>
      </w:r>
      <w:r w:rsidR="00414341">
        <w:t>and will be informed by the outcomes of those meetings</w:t>
      </w:r>
      <w:r w:rsidR="007F471D">
        <w:t>;</w:t>
      </w:r>
    </w:p>
    <w:p w:rsidR="00414341" w:rsidRPr="00286034" w:rsidRDefault="00414341" w:rsidP="00786690">
      <w:pPr>
        <w:pStyle w:val="ListParagraph"/>
        <w:numPr>
          <w:ilvl w:val="0"/>
          <w:numId w:val="26"/>
        </w:numPr>
        <w:spacing w:before="120" w:after="120"/>
        <w:ind w:left="0" w:firstLine="709"/>
        <w:contextualSpacing w:val="0"/>
      </w:pPr>
      <w:r w:rsidRPr="00286034">
        <w:t xml:space="preserve">Build on the Aichi </w:t>
      </w:r>
      <w:r w:rsidR="007F471D">
        <w:t xml:space="preserve">Biodiversity </w:t>
      </w:r>
      <w:r w:rsidRPr="00286034">
        <w:t>Targets, lessons learned from their implementation and current state of the art in this area of work while also identify</w:t>
      </w:r>
      <w:r w:rsidR="00AF48CC">
        <w:t>ing</w:t>
      </w:r>
      <w:r w:rsidRPr="00286034">
        <w:t xml:space="preserve"> issues </w:t>
      </w:r>
      <w:r w:rsidR="00AF48CC">
        <w:t>that</w:t>
      </w:r>
      <w:r w:rsidR="00AF48CC" w:rsidRPr="00286034">
        <w:t xml:space="preserve"> </w:t>
      </w:r>
      <w:r w:rsidRPr="00286034">
        <w:t xml:space="preserve">are not included in Aichi </w:t>
      </w:r>
      <w:r w:rsidR="007F471D">
        <w:t xml:space="preserve">biodiversity </w:t>
      </w:r>
      <w:r w:rsidRPr="00286034">
        <w:t>Targets</w:t>
      </w:r>
      <w:r w:rsidR="007F471D">
        <w:t>;</w:t>
      </w:r>
    </w:p>
    <w:p w:rsidR="00414341" w:rsidRPr="00BA17AB" w:rsidRDefault="00414341" w:rsidP="00786690">
      <w:pPr>
        <w:pStyle w:val="ListParagraph"/>
        <w:numPr>
          <w:ilvl w:val="0"/>
          <w:numId w:val="26"/>
        </w:numPr>
        <w:spacing w:before="120" w:after="120"/>
        <w:ind w:left="0" w:firstLine="709"/>
        <w:contextualSpacing w:val="0"/>
      </w:pPr>
      <w:r w:rsidRPr="00BA17AB">
        <w:t>Being guided by relevant decisions</w:t>
      </w:r>
      <w:r w:rsidR="007F471D">
        <w:t xml:space="preserve"> of the Convention on Biological Diversity;</w:t>
      </w:r>
    </w:p>
    <w:p w:rsidR="00414341" w:rsidRPr="00BA17AB" w:rsidRDefault="00414341" w:rsidP="00786690">
      <w:pPr>
        <w:pStyle w:val="ListParagraph"/>
        <w:numPr>
          <w:ilvl w:val="0"/>
          <w:numId w:val="26"/>
        </w:numPr>
        <w:spacing w:before="120" w:after="120"/>
        <w:ind w:left="0" w:firstLine="709"/>
        <w:contextualSpacing w:val="0"/>
      </w:pPr>
      <w:r w:rsidRPr="00D079E3">
        <w:t>Involve and consider</w:t>
      </w:r>
      <w:r w:rsidRPr="00875AC4">
        <w:t xml:space="preserve"> </w:t>
      </w:r>
      <w:r>
        <w:t xml:space="preserve">alignment with </w:t>
      </w:r>
      <w:r w:rsidRPr="00875AC4">
        <w:t xml:space="preserve">strategies and approaches in </w:t>
      </w:r>
      <w:r>
        <w:t xml:space="preserve">other multilateral agreements </w:t>
      </w:r>
      <w:r w:rsidRPr="00BA17AB">
        <w:t xml:space="preserve">and </w:t>
      </w:r>
      <w:r>
        <w:t xml:space="preserve">relevant </w:t>
      </w:r>
      <w:r w:rsidRPr="00BA17AB">
        <w:t>international processes</w:t>
      </w:r>
      <w:r w:rsidR="007F471D">
        <w:t>;</w:t>
      </w:r>
    </w:p>
    <w:p w:rsidR="00414341" w:rsidRPr="000E16A3" w:rsidRDefault="00414341" w:rsidP="00786690">
      <w:pPr>
        <w:pStyle w:val="ListParagraph"/>
        <w:numPr>
          <w:ilvl w:val="0"/>
          <w:numId w:val="26"/>
        </w:numPr>
        <w:spacing w:before="120" w:after="120"/>
        <w:ind w:left="0" w:firstLine="709"/>
        <w:contextualSpacing w:val="0"/>
      </w:pPr>
      <w:r w:rsidRPr="000E16A3">
        <w:t xml:space="preserve">Bringing a </w:t>
      </w:r>
      <w:r w:rsidRPr="00D079E3">
        <w:t>reasonable number of Parties (</w:t>
      </w:r>
      <w:r>
        <w:t>planned for 100)</w:t>
      </w:r>
      <w:r w:rsidRPr="000E16A3">
        <w:t xml:space="preserve"> balance</w:t>
      </w:r>
      <w:r w:rsidR="00AF48CC">
        <w:t>d</w:t>
      </w:r>
      <w:r w:rsidRPr="000E16A3">
        <w:t xml:space="preserve"> </w:t>
      </w:r>
      <w:r w:rsidR="00AF48CC">
        <w:t>among</w:t>
      </w:r>
      <w:r w:rsidR="00AF48CC" w:rsidRPr="000E16A3">
        <w:t xml:space="preserve"> </w:t>
      </w:r>
      <w:r w:rsidRPr="000E16A3">
        <w:t xml:space="preserve">CBD regions. </w:t>
      </w:r>
      <w:r w:rsidRPr="00D079E3">
        <w:t xml:space="preserve">Following </w:t>
      </w:r>
      <w:r>
        <w:t xml:space="preserve">existing </w:t>
      </w:r>
      <w:r w:rsidRPr="00D079E3">
        <w:t xml:space="preserve">practices </w:t>
      </w:r>
      <w:r w:rsidR="00AF48CC">
        <w:t>under</w:t>
      </w:r>
      <w:r w:rsidR="007F471D">
        <w:t xml:space="preserve"> the </w:t>
      </w:r>
      <w:r w:rsidR="007F471D" w:rsidRPr="00786690">
        <w:t xml:space="preserve">Convention for </w:t>
      </w:r>
      <w:r>
        <w:t xml:space="preserve">workshops </w:t>
      </w:r>
      <w:r w:rsidRPr="00D079E3">
        <w:t xml:space="preserve">involving </w:t>
      </w:r>
      <w:r>
        <w:t xml:space="preserve">important </w:t>
      </w:r>
      <w:r w:rsidRPr="00D079E3">
        <w:t xml:space="preserve">stakeholders </w:t>
      </w:r>
      <w:r>
        <w:t>in</w:t>
      </w:r>
      <w:r w:rsidRPr="00D079E3">
        <w:t xml:space="preserve"> </w:t>
      </w:r>
      <w:r>
        <w:t>meeting</w:t>
      </w:r>
      <w:r w:rsidR="00AC2835">
        <w:t>s</w:t>
      </w:r>
      <w:r>
        <w:t xml:space="preserve">, and with financial support as per CBD protocol for eligible Parties and </w:t>
      </w:r>
      <w:r w:rsidRPr="000E16A3">
        <w:t>representatives of major stakeholder groups (</w:t>
      </w:r>
      <w:r w:rsidR="00AC2835">
        <w:t>indigenous and local communities</w:t>
      </w:r>
      <w:r w:rsidRPr="000E16A3">
        <w:t>, women, youth</w:t>
      </w:r>
      <w:r>
        <w:t>, civil society</w:t>
      </w:r>
      <w:r w:rsidRPr="000E16A3">
        <w:t>)</w:t>
      </w:r>
    </w:p>
    <w:p w:rsidR="00414341" w:rsidRPr="00BA17AB" w:rsidRDefault="00414341" w:rsidP="00786690">
      <w:pPr>
        <w:pStyle w:val="ListParagraph"/>
        <w:numPr>
          <w:ilvl w:val="0"/>
          <w:numId w:val="26"/>
        </w:numPr>
        <w:spacing w:before="120" w:after="120"/>
        <w:ind w:left="0" w:firstLine="709"/>
        <w:contextualSpacing w:val="0"/>
      </w:pPr>
      <w:r w:rsidRPr="00BA17AB">
        <w:t>To be organi</w:t>
      </w:r>
      <w:r>
        <w:t>z</w:t>
      </w:r>
      <w:r w:rsidRPr="00BA17AB">
        <w:t xml:space="preserve">ed in the period before </w:t>
      </w:r>
      <w:r w:rsidR="007F471D">
        <w:t>the second meeting of the Working Group on the Post-2020 Global Biodiversity Framework;</w:t>
      </w:r>
    </w:p>
    <w:p w:rsidR="00414341" w:rsidRDefault="00414341" w:rsidP="00786690">
      <w:pPr>
        <w:pStyle w:val="ListParagraph"/>
        <w:numPr>
          <w:ilvl w:val="0"/>
          <w:numId w:val="26"/>
        </w:numPr>
        <w:spacing w:before="120" w:after="120"/>
        <w:ind w:left="0" w:firstLine="709"/>
        <w:contextualSpacing w:val="0"/>
      </w:pPr>
      <w:r>
        <w:t xml:space="preserve">Consideration of </w:t>
      </w:r>
      <w:r w:rsidRPr="00141DC0">
        <w:t>issues within a comprehensive framework addressing all three object</w:t>
      </w:r>
      <w:r w:rsidRPr="00252ECD">
        <w:t>ives</w:t>
      </w:r>
      <w:r w:rsidR="007F471D">
        <w:t xml:space="preserve"> of the Convention</w:t>
      </w:r>
      <w:r w:rsidRPr="00252ECD">
        <w:t xml:space="preserve">. </w:t>
      </w:r>
    </w:p>
    <w:p w:rsidR="00414341" w:rsidRPr="00141DC0" w:rsidRDefault="00414341" w:rsidP="00786690">
      <w:pPr>
        <w:pStyle w:val="ListParagraph"/>
        <w:numPr>
          <w:ilvl w:val="0"/>
          <w:numId w:val="26"/>
        </w:numPr>
        <w:spacing w:before="120" w:after="120"/>
        <w:ind w:left="0" w:firstLine="709"/>
        <w:contextualSpacing w:val="0"/>
      </w:pPr>
      <w:r w:rsidRPr="000D1788">
        <w:t>Conducte</w:t>
      </w:r>
      <w:r w:rsidRPr="00141DC0">
        <w:t>d in English</w:t>
      </w:r>
      <w:r w:rsidR="007F471D">
        <w:t>;</w:t>
      </w:r>
      <w:r w:rsidRPr="00141DC0">
        <w:t xml:space="preserve"> </w:t>
      </w:r>
    </w:p>
    <w:p w:rsidR="00414341" w:rsidRPr="00594D5D" w:rsidRDefault="00414341" w:rsidP="00786690">
      <w:pPr>
        <w:pStyle w:val="ListParagraph"/>
        <w:numPr>
          <w:ilvl w:val="0"/>
          <w:numId w:val="26"/>
        </w:numPr>
        <w:spacing w:before="120" w:after="120"/>
        <w:ind w:left="0" w:firstLine="709"/>
        <w:contextualSpacing w:val="0"/>
      </w:pPr>
      <w:r w:rsidRPr="00CE52D6">
        <w:t xml:space="preserve">Two co-leads chosen </w:t>
      </w:r>
      <w:r w:rsidR="00AC2835">
        <w:t>from among</w:t>
      </w:r>
      <w:r w:rsidR="00AC2835" w:rsidRPr="00CE52D6">
        <w:t xml:space="preserve"> </w:t>
      </w:r>
      <w:r w:rsidRPr="00CE52D6">
        <w:t>Parties will be identified. They will be engaged in this</w:t>
      </w:r>
      <w:r w:rsidRPr="00875AC4">
        <w:t xml:space="preserve"> issue from the preparation of the </w:t>
      </w:r>
      <w:r>
        <w:t>workshop</w:t>
      </w:r>
      <w:r w:rsidRPr="00875AC4">
        <w:t xml:space="preserve"> to the delivery of the outcomes</w:t>
      </w:r>
      <w:r>
        <w:t xml:space="preserve"> of the workshop</w:t>
      </w:r>
      <w:r w:rsidRPr="00875AC4">
        <w:t xml:space="preserve"> to the </w:t>
      </w:r>
      <w:r w:rsidR="007F471D">
        <w:t>C</w:t>
      </w:r>
      <w:r>
        <w:t>o-</w:t>
      </w:r>
      <w:r w:rsidR="007F471D">
        <w:t>C</w:t>
      </w:r>
      <w:r>
        <w:t xml:space="preserve">hairs </w:t>
      </w:r>
      <w:r w:rsidR="007F471D">
        <w:t xml:space="preserve">of the Working Group on Post-2020 </w:t>
      </w:r>
      <w:r>
        <w:t>and through</w:t>
      </w:r>
      <w:r w:rsidR="00AC2835">
        <w:t>out</w:t>
      </w:r>
      <w:r>
        <w:t xml:space="preserve"> the post-2020 process.</w:t>
      </w:r>
      <w:r w:rsidRPr="00875AC4">
        <w:t xml:space="preserve"> </w:t>
      </w:r>
    </w:p>
    <w:p w:rsidR="00414341" w:rsidRPr="00F01869" w:rsidRDefault="00414341" w:rsidP="00786690">
      <w:pPr>
        <w:pStyle w:val="Heading1"/>
      </w:pPr>
      <w:r w:rsidRPr="00F01869">
        <w:t>E</w:t>
      </w:r>
      <w:r w:rsidR="00AF48CC" w:rsidRPr="00F01869">
        <w:rPr>
          <w:caps w:val="0"/>
        </w:rPr>
        <w:t>xpected out</w:t>
      </w:r>
      <w:r w:rsidR="00AF48CC">
        <w:rPr>
          <w:caps w:val="0"/>
        </w:rPr>
        <w:t>comes</w:t>
      </w:r>
    </w:p>
    <w:p w:rsidR="00414341" w:rsidRPr="00AF7E5E" w:rsidRDefault="00414341" w:rsidP="00786690">
      <w:pPr>
        <w:pStyle w:val="Para1"/>
        <w:numPr>
          <w:ilvl w:val="0"/>
          <w:numId w:val="0"/>
        </w:numPr>
        <w:rPr>
          <w:b/>
        </w:rPr>
      </w:pPr>
      <w:r w:rsidRPr="00252ECD">
        <w:t xml:space="preserve">Concrete proposals to be considered in the further development of the post-2020 </w:t>
      </w:r>
      <w:r w:rsidR="00F17139">
        <w:t>global biodiversity framework</w:t>
      </w:r>
      <w:r>
        <w:t>. To</w:t>
      </w:r>
      <w:r w:rsidRPr="00252ECD">
        <w:t xml:space="preserve"> the extent feasible and appropriate, these proposals </w:t>
      </w:r>
      <w:r>
        <w:t>will</w:t>
      </w:r>
      <w:r w:rsidRPr="00252ECD">
        <w:t xml:space="preserve"> cover the different elements of the framework </w:t>
      </w:r>
      <w:r>
        <w:t>including</w:t>
      </w:r>
      <w:r w:rsidRPr="00D079E3">
        <w:t xml:space="preserve"> targets, indicators</w:t>
      </w:r>
      <w:r>
        <w:t xml:space="preserve"> and</w:t>
      </w:r>
      <w:r w:rsidRPr="00D079E3">
        <w:t xml:space="preserve"> baselines</w:t>
      </w:r>
      <w:r>
        <w:t>,</w:t>
      </w:r>
      <w:r w:rsidRPr="00875AC4">
        <w:t xml:space="preserve"> </w:t>
      </w:r>
      <w:r w:rsidRPr="00F01869">
        <w:rPr>
          <w:color w:val="000000" w:themeColor="text1"/>
        </w:rPr>
        <w:t xml:space="preserve">for consideration by </w:t>
      </w:r>
      <w:r w:rsidR="007F471D">
        <w:rPr>
          <w:color w:val="000000" w:themeColor="text1"/>
        </w:rPr>
        <w:t>the Subsidiary Body on Implementation at its third meeting</w:t>
      </w:r>
      <w:r w:rsidRPr="00F01869">
        <w:rPr>
          <w:color w:val="000000" w:themeColor="text1"/>
        </w:rPr>
        <w:t xml:space="preserve"> and </w:t>
      </w:r>
      <w:r w:rsidR="007F471D">
        <w:rPr>
          <w:color w:val="000000" w:themeColor="text1"/>
        </w:rPr>
        <w:t>the Working Group on the Post-2020 Global Biodiversity Framework</w:t>
      </w:r>
      <w:r>
        <w:rPr>
          <w:color w:val="000000" w:themeColor="text1"/>
        </w:rPr>
        <w:t>.</w:t>
      </w:r>
    </w:p>
    <w:p w:rsidR="00414341" w:rsidRPr="00786690" w:rsidRDefault="00414341" w:rsidP="00786690">
      <w:pPr>
        <w:pStyle w:val="Para1"/>
        <w:numPr>
          <w:ilvl w:val="0"/>
          <w:numId w:val="0"/>
        </w:numPr>
        <w:rPr>
          <w:color w:val="000000" w:themeColor="text1"/>
        </w:rPr>
      </w:pPr>
      <w:r>
        <w:rPr>
          <w:color w:val="000000" w:themeColor="text1"/>
        </w:rPr>
        <w:t xml:space="preserve">Workshop </w:t>
      </w:r>
      <w:r w:rsidRPr="00F01869">
        <w:rPr>
          <w:color w:val="000000" w:themeColor="text1"/>
        </w:rPr>
        <w:t>summary would b</w:t>
      </w:r>
      <w:r w:rsidR="00F17139">
        <w:rPr>
          <w:color w:val="000000" w:themeColor="text1"/>
        </w:rPr>
        <w:t>e</w:t>
      </w:r>
      <w:r w:rsidRPr="00F01869">
        <w:rPr>
          <w:color w:val="000000" w:themeColor="text1"/>
        </w:rPr>
        <w:t xml:space="preserve"> submitted to </w:t>
      </w:r>
      <w:r w:rsidR="007F471D">
        <w:rPr>
          <w:color w:val="000000" w:themeColor="text1"/>
        </w:rPr>
        <w:t>the C</w:t>
      </w:r>
      <w:r>
        <w:rPr>
          <w:color w:val="000000" w:themeColor="text1"/>
        </w:rPr>
        <w:t>o-</w:t>
      </w:r>
      <w:r w:rsidR="007F471D">
        <w:rPr>
          <w:color w:val="000000" w:themeColor="text1"/>
        </w:rPr>
        <w:t>C</w:t>
      </w:r>
      <w:r>
        <w:rPr>
          <w:color w:val="000000" w:themeColor="text1"/>
        </w:rPr>
        <w:t>hairs</w:t>
      </w:r>
      <w:r w:rsidR="007F471D">
        <w:rPr>
          <w:color w:val="000000" w:themeColor="text1"/>
        </w:rPr>
        <w:t xml:space="preserve"> of the Working Group</w:t>
      </w:r>
      <w:r>
        <w:rPr>
          <w:color w:val="000000" w:themeColor="text1"/>
        </w:rPr>
        <w:t xml:space="preserve">, </w:t>
      </w:r>
      <w:r w:rsidR="007F471D">
        <w:rPr>
          <w:color w:val="000000" w:themeColor="text1"/>
        </w:rPr>
        <w:t>the second meeting of the Working Group on Post-2020</w:t>
      </w:r>
      <w:r w:rsidRPr="00F01869">
        <w:rPr>
          <w:color w:val="000000" w:themeColor="text1"/>
        </w:rPr>
        <w:t xml:space="preserve"> and would, together with the outcomes of </w:t>
      </w:r>
      <w:r w:rsidR="007F471D">
        <w:rPr>
          <w:color w:val="000000" w:themeColor="text1"/>
        </w:rPr>
        <w:t>the second meeting of the Working group</w:t>
      </w:r>
      <w:r w:rsidRPr="00F01869">
        <w:rPr>
          <w:color w:val="000000" w:themeColor="text1"/>
        </w:rPr>
        <w:t>, assist the panel of experts to (</w:t>
      </w:r>
      <w:r w:rsidR="007F471D">
        <w:rPr>
          <w:color w:val="000000" w:themeColor="text1"/>
        </w:rPr>
        <w:t>a</w:t>
      </w:r>
      <w:r w:rsidRPr="00F01869">
        <w:rPr>
          <w:color w:val="000000" w:themeColor="text1"/>
        </w:rPr>
        <w:t xml:space="preserve">) revise their review and evaluation of the </w:t>
      </w:r>
      <w:r w:rsidR="007F471D">
        <w:rPr>
          <w:color w:val="000000" w:themeColor="text1"/>
        </w:rPr>
        <w:t>s</w:t>
      </w:r>
      <w:r w:rsidRPr="00F01869">
        <w:rPr>
          <w:color w:val="000000" w:themeColor="text1"/>
        </w:rPr>
        <w:t xml:space="preserve">trategy for </w:t>
      </w:r>
      <w:r w:rsidR="007F471D">
        <w:rPr>
          <w:color w:val="000000" w:themeColor="text1"/>
        </w:rPr>
        <w:t>r</w:t>
      </w:r>
      <w:r w:rsidRPr="00F01869">
        <w:rPr>
          <w:color w:val="000000" w:themeColor="text1"/>
        </w:rPr>
        <w:t xml:space="preserve">esource </w:t>
      </w:r>
      <w:r w:rsidR="007F471D">
        <w:rPr>
          <w:color w:val="000000" w:themeColor="text1"/>
        </w:rPr>
        <w:t>m</w:t>
      </w:r>
      <w:r w:rsidRPr="00F01869">
        <w:rPr>
          <w:color w:val="000000" w:themeColor="text1"/>
        </w:rPr>
        <w:t>obilization; (</w:t>
      </w:r>
      <w:r w:rsidR="007F471D">
        <w:rPr>
          <w:color w:val="000000" w:themeColor="text1"/>
        </w:rPr>
        <w:t>b</w:t>
      </w:r>
      <w:r w:rsidRPr="00F01869">
        <w:rPr>
          <w:color w:val="000000" w:themeColor="text1"/>
        </w:rPr>
        <w:t>) undertake an estimation of resource needs for post-2020; and (</w:t>
      </w:r>
      <w:r w:rsidR="007F471D">
        <w:rPr>
          <w:color w:val="000000" w:themeColor="text1"/>
        </w:rPr>
        <w:t>c</w:t>
      </w:r>
      <w:r w:rsidRPr="00F01869">
        <w:rPr>
          <w:color w:val="000000" w:themeColor="text1"/>
        </w:rPr>
        <w:t>) develop, or further develop, a draft resource mobilization component</w:t>
      </w:r>
      <w:r>
        <w:rPr>
          <w:color w:val="000000" w:themeColor="text1"/>
        </w:rPr>
        <w:t xml:space="preserve"> of the framework.</w:t>
      </w:r>
    </w:p>
    <w:p w:rsidR="00414341" w:rsidRPr="00F01869" w:rsidRDefault="00414341" w:rsidP="00786690">
      <w:pPr>
        <w:pStyle w:val="Heading1"/>
      </w:pPr>
      <w:r w:rsidRPr="00F01869">
        <w:t>K</w:t>
      </w:r>
      <w:r w:rsidR="00AF48CC" w:rsidRPr="00F01869">
        <w:rPr>
          <w:caps w:val="0"/>
        </w:rPr>
        <w:t>ey substantial elements of provisional agenda</w:t>
      </w:r>
    </w:p>
    <w:p w:rsidR="00414341" w:rsidRPr="00F01869" w:rsidRDefault="00414341" w:rsidP="00786690">
      <w:pPr>
        <w:spacing w:before="120" w:after="120"/>
        <w:rPr>
          <w:b/>
          <w:color w:val="000000" w:themeColor="text1"/>
        </w:rPr>
      </w:pPr>
      <w:r w:rsidRPr="00F01869">
        <w:rPr>
          <w:color w:val="000000" w:themeColor="text1"/>
        </w:rPr>
        <w:t xml:space="preserve">Cluster 1: Scoping the </w:t>
      </w:r>
      <w:r w:rsidR="00F17139">
        <w:rPr>
          <w:color w:val="000000" w:themeColor="text1"/>
        </w:rPr>
        <w:t>c</w:t>
      </w:r>
      <w:r w:rsidRPr="00F01869">
        <w:rPr>
          <w:color w:val="000000" w:themeColor="text1"/>
        </w:rPr>
        <w:t xml:space="preserve">hallenge and </w:t>
      </w:r>
      <w:r w:rsidR="00F17139">
        <w:rPr>
          <w:color w:val="000000" w:themeColor="text1"/>
        </w:rPr>
        <w:t>a</w:t>
      </w:r>
      <w:r w:rsidRPr="00F01869">
        <w:rPr>
          <w:color w:val="000000" w:themeColor="text1"/>
        </w:rPr>
        <w:t xml:space="preserve">ssessing </w:t>
      </w:r>
      <w:r w:rsidR="00F17139">
        <w:rPr>
          <w:color w:val="000000" w:themeColor="text1"/>
        </w:rPr>
        <w:t>w</w:t>
      </w:r>
      <w:r w:rsidRPr="00F01869">
        <w:rPr>
          <w:color w:val="000000" w:themeColor="text1"/>
        </w:rPr>
        <w:t>hat</w:t>
      </w:r>
      <w:r w:rsidR="00F17139">
        <w:rPr>
          <w:color w:val="000000" w:themeColor="text1"/>
        </w:rPr>
        <w:t xml:space="preserve"> i</w:t>
      </w:r>
      <w:r w:rsidRPr="00F01869">
        <w:rPr>
          <w:color w:val="000000" w:themeColor="text1"/>
        </w:rPr>
        <w:t xml:space="preserve">s </w:t>
      </w:r>
      <w:r w:rsidR="00F17139">
        <w:rPr>
          <w:color w:val="000000" w:themeColor="text1"/>
        </w:rPr>
        <w:t>w</w:t>
      </w:r>
      <w:r w:rsidRPr="00F01869">
        <w:rPr>
          <w:color w:val="000000" w:themeColor="text1"/>
        </w:rPr>
        <w:t xml:space="preserve">orking: </w:t>
      </w:r>
    </w:p>
    <w:p w:rsidR="00414341" w:rsidRPr="00F01869" w:rsidRDefault="00414341" w:rsidP="00786690">
      <w:pPr>
        <w:pStyle w:val="ListParagraph"/>
        <w:numPr>
          <w:ilvl w:val="0"/>
          <w:numId w:val="20"/>
        </w:numPr>
        <w:spacing w:before="120" w:after="120"/>
        <w:contextualSpacing w:val="0"/>
        <w:rPr>
          <w:color w:val="000000" w:themeColor="text1"/>
        </w:rPr>
      </w:pPr>
      <w:r w:rsidRPr="00F01869">
        <w:rPr>
          <w:color w:val="000000" w:themeColor="text1"/>
        </w:rPr>
        <w:t>Plenary: Current state of the art</w:t>
      </w:r>
      <w:bookmarkStart w:id="1" w:name="_Hlk9863768"/>
    </w:p>
    <w:bookmarkEnd w:id="1"/>
    <w:p w:rsidR="00414341" w:rsidRPr="00F01869" w:rsidRDefault="00414341" w:rsidP="00786690">
      <w:pPr>
        <w:pStyle w:val="ListParagraph"/>
        <w:numPr>
          <w:ilvl w:val="1"/>
          <w:numId w:val="20"/>
        </w:numPr>
        <w:spacing w:before="120" w:after="120"/>
        <w:ind w:left="1134"/>
        <w:contextualSpacing w:val="0"/>
        <w:rPr>
          <w:color w:val="000000" w:themeColor="text1"/>
        </w:rPr>
      </w:pPr>
      <w:r w:rsidRPr="00F01869">
        <w:rPr>
          <w:color w:val="000000" w:themeColor="text1"/>
        </w:rPr>
        <w:t xml:space="preserve">Overview of current resource mobilization architecture; progress in implementing ABT 20 and the strategy for resource mobilization: expert </w:t>
      </w:r>
      <w:proofErr w:type="spellStart"/>
      <w:r w:rsidRPr="00F01869">
        <w:rPr>
          <w:color w:val="000000" w:themeColor="text1"/>
        </w:rPr>
        <w:t>kickoff</w:t>
      </w:r>
      <w:proofErr w:type="spellEnd"/>
      <w:r w:rsidRPr="00F01869">
        <w:rPr>
          <w:color w:val="000000" w:themeColor="text1"/>
        </w:rPr>
        <w:t xml:space="preserve"> presentation and discussion</w:t>
      </w:r>
    </w:p>
    <w:p w:rsidR="00414341" w:rsidRPr="00F01869" w:rsidRDefault="00414341" w:rsidP="00786690">
      <w:pPr>
        <w:spacing w:before="120" w:after="120"/>
        <w:ind w:left="709"/>
        <w:rPr>
          <w:color w:val="000000" w:themeColor="text1"/>
        </w:rPr>
      </w:pPr>
      <w:r w:rsidRPr="00F01869">
        <w:rPr>
          <w:color w:val="000000" w:themeColor="text1"/>
        </w:rPr>
        <w:t xml:space="preserve">Break out groups: </w:t>
      </w:r>
    </w:p>
    <w:p w:rsidR="00414341" w:rsidRPr="00F01869" w:rsidRDefault="00414341" w:rsidP="00786690">
      <w:pPr>
        <w:pStyle w:val="ListParagraph"/>
        <w:numPr>
          <w:ilvl w:val="0"/>
          <w:numId w:val="20"/>
        </w:numPr>
        <w:spacing w:before="120" w:after="120"/>
        <w:contextualSpacing w:val="0"/>
        <w:rPr>
          <w:color w:val="000000" w:themeColor="text1"/>
        </w:rPr>
      </w:pPr>
      <w:r w:rsidRPr="00F01869">
        <w:rPr>
          <w:color w:val="000000" w:themeColor="text1"/>
        </w:rPr>
        <w:t xml:space="preserve">Lessons learned from ABT 20 and SRM implementation I: international public and private finance </w:t>
      </w:r>
    </w:p>
    <w:p w:rsidR="00414341" w:rsidRPr="00F01869" w:rsidRDefault="00414341" w:rsidP="00786690">
      <w:pPr>
        <w:pStyle w:val="ListParagraph"/>
        <w:numPr>
          <w:ilvl w:val="0"/>
          <w:numId w:val="20"/>
        </w:numPr>
        <w:spacing w:before="120" w:after="120"/>
        <w:contextualSpacing w:val="0"/>
        <w:rPr>
          <w:color w:val="000000" w:themeColor="text1"/>
        </w:rPr>
      </w:pPr>
      <w:r w:rsidRPr="00F01869">
        <w:rPr>
          <w:color w:val="000000" w:themeColor="text1"/>
        </w:rPr>
        <w:t>Lessons learned from ABT 20 and SRM implementation II: domestic public and private finance Plenary:</w:t>
      </w:r>
    </w:p>
    <w:p w:rsidR="00414341" w:rsidRPr="00F01869" w:rsidRDefault="00414341" w:rsidP="00786690">
      <w:pPr>
        <w:pStyle w:val="ListParagraph"/>
        <w:numPr>
          <w:ilvl w:val="0"/>
          <w:numId w:val="20"/>
        </w:numPr>
        <w:spacing w:before="120" w:after="120"/>
        <w:contextualSpacing w:val="0"/>
        <w:rPr>
          <w:color w:val="000000" w:themeColor="text1"/>
        </w:rPr>
      </w:pPr>
      <w:r w:rsidRPr="00F01869">
        <w:rPr>
          <w:color w:val="000000" w:themeColor="text1"/>
        </w:rPr>
        <w:t>Changing the narrative for scaling biodiversity finance: recent work on biodiversity benefits. Presentation and discussion</w:t>
      </w:r>
    </w:p>
    <w:p w:rsidR="00414341" w:rsidRPr="00786690" w:rsidRDefault="00414341" w:rsidP="00786690">
      <w:pPr>
        <w:pStyle w:val="ListParagraph"/>
        <w:numPr>
          <w:ilvl w:val="0"/>
          <w:numId w:val="20"/>
        </w:numPr>
        <w:spacing w:before="120" w:after="120"/>
        <w:contextualSpacing w:val="0"/>
        <w:rPr>
          <w:color w:val="000000" w:themeColor="text1"/>
        </w:rPr>
      </w:pPr>
      <w:r w:rsidRPr="00F01869">
        <w:rPr>
          <w:color w:val="000000" w:themeColor="text1"/>
        </w:rPr>
        <w:t xml:space="preserve">Costing the post-2020 </w:t>
      </w:r>
      <w:r w:rsidR="00F17139">
        <w:rPr>
          <w:color w:val="000000" w:themeColor="text1"/>
        </w:rPr>
        <w:t>global biodiversity framework</w:t>
      </w:r>
      <w:r w:rsidR="00F17139" w:rsidRPr="00F01869">
        <w:rPr>
          <w:color w:val="000000" w:themeColor="text1"/>
        </w:rPr>
        <w:t xml:space="preserve"> </w:t>
      </w:r>
      <w:r w:rsidRPr="00F01869">
        <w:rPr>
          <w:color w:val="000000" w:themeColor="text1"/>
        </w:rPr>
        <w:t xml:space="preserve">under different scenarios: expert presentation and initial discussion </w:t>
      </w:r>
    </w:p>
    <w:p w:rsidR="00414341" w:rsidRPr="00F01869" w:rsidRDefault="00414341" w:rsidP="00786690">
      <w:pPr>
        <w:spacing w:before="120" w:after="120"/>
        <w:rPr>
          <w:color w:val="000000" w:themeColor="text1"/>
        </w:rPr>
      </w:pPr>
      <w:r w:rsidRPr="00F01869">
        <w:rPr>
          <w:color w:val="000000" w:themeColor="text1"/>
        </w:rPr>
        <w:t xml:space="preserve">Cluster 2: Identifying </w:t>
      </w:r>
      <w:r w:rsidR="00F17139">
        <w:rPr>
          <w:color w:val="000000" w:themeColor="text1"/>
        </w:rPr>
        <w:t>s</w:t>
      </w:r>
      <w:r w:rsidRPr="00F01869">
        <w:rPr>
          <w:color w:val="000000" w:themeColor="text1"/>
        </w:rPr>
        <w:t xml:space="preserve">calable </w:t>
      </w:r>
      <w:r w:rsidR="00F17139">
        <w:rPr>
          <w:color w:val="000000" w:themeColor="text1"/>
        </w:rPr>
        <w:t>r</w:t>
      </w:r>
      <w:r w:rsidRPr="00F01869">
        <w:rPr>
          <w:color w:val="000000" w:themeColor="text1"/>
        </w:rPr>
        <w:t xml:space="preserve">esource </w:t>
      </w:r>
      <w:r w:rsidR="00F17139">
        <w:rPr>
          <w:color w:val="000000" w:themeColor="text1"/>
        </w:rPr>
        <w:t>m</w:t>
      </w:r>
      <w:r w:rsidRPr="00F01869">
        <w:rPr>
          <w:color w:val="000000" w:themeColor="text1"/>
        </w:rPr>
        <w:t xml:space="preserve">obilization </w:t>
      </w:r>
      <w:r w:rsidR="00F17139">
        <w:rPr>
          <w:color w:val="000000" w:themeColor="text1"/>
        </w:rPr>
        <w:t>s</w:t>
      </w:r>
      <w:r w:rsidRPr="00F01869">
        <w:rPr>
          <w:color w:val="000000" w:themeColor="text1"/>
        </w:rPr>
        <w:t>olutions</w:t>
      </w:r>
    </w:p>
    <w:p w:rsidR="00414341" w:rsidRPr="00786690" w:rsidRDefault="00414341" w:rsidP="00786690">
      <w:pPr>
        <w:pStyle w:val="ListParagraph"/>
        <w:numPr>
          <w:ilvl w:val="0"/>
          <w:numId w:val="22"/>
        </w:numPr>
        <w:spacing w:before="120" w:after="120"/>
        <w:contextualSpacing w:val="0"/>
        <w:rPr>
          <w:color w:val="000000" w:themeColor="text1"/>
        </w:rPr>
      </w:pPr>
      <w:r w:rsidRPr="00F01869">
        <w:rPr>
          <w:color w:val="000000" w:themeColor="text1"/>
        </w:rPr>
        <w:t>Part I (plenary): Focus on the WHAT: Options and approaches for mobilizing and providing additional resources from all sources. Opening presentation on resource mobilization opportunities that can be scaled to meet the resource mobilization needs and how to do that, followed by open discussion;</w:t>
      </w:r>
    </w:p>
    <w:p w:rsidR="00414341" w:rsidRPr="00786690" w:rsidRDefault="00414341" w:rsidP="00786690">
      <w:pPr>
        <w:pStyle w:val="ListParagraph"/>
        <w:numPr>
          <w:ilvl w:val="0"/>
          <w:numId w:val="22"/>
        </w:numPr>
        <w:spacing w:before="120" w:after="120"/>
        <w:contextualSpacing w:val="0"/>
        <w:rPr>
          <w:color w:val="000000" w:themeColor="text1"/>
        </w:rPr>
      </w:pPr>
      <w:r w:rsidRPr="00F01869">
        <w:rPr>
          <w:color w:val="000000" w:themeColor="text1"/>
        </w:rPr>
        <w:t xml:space="preserve">Part II (stations): Focus on the HOW:  Concrete options for the individual elements of the resource mobilization component, including possible targets and indicators (following the practice from </w:t>
      </w:r>
      <w:r w:rsidRPr="00F01869">
        <w:rPr>
          <w:color w:val="000000" w:themeColor="text1"/>
        </w:rPr>
        <w:lastRenderedPageBreak/>
        <w:t>regional consultations, with a plenary presentation at the end; request to highlight what was missing or requires additional discussion). In line with decision 14/22, stations would also address:</w:t>
      </w:r>
    </w:p>
    <w:p w:rsidR="00414341" w:rsidRPr="00F01869" w:rsidRDefault="00414341" w:rsidP="00786690">
      <w:pPr>
        <w:pStyle w:val="ListParagraph"/>
        <w:numPr>
          <w:ilvl w:val="1"/>
          <w:numId w:val="20"/>
        </w:numPr>
        <w:spacing w:before="120" w:after="120"/>
        <w:contextualSpacing w:val="0"/>
        <w:rPr>
          <w:color w:val="000000" w:themeColor="text1"/>
        </w:rPr>
      </w:pPr>
      <w:r w:rsidRPr="00F01869">
        <w:rPr>
          <w:color w:val="000000" w:themeColor="text1"/>
        </w:rPr>
        <w:t>Ways to strengthen the engagement of a wider range of financial and private institutions, at all levels and from all sources, to support the implementation of the post-2020 framework;</w:t>
      </w:r>
    </w:p>
    <w:p w:rsidR="00414341" w:rsidRPr="00F01869" w:rsidRDefault="00414341" w:rsidP="00786690">
      <w:pPr>
        <w:pStyle w:val="ListParagraph"/>
        <w:numPr>
          <w:ilvl w:val="1"/>
          <w:numId w:val="20"/>
        </w:numPr>
        <w:spacing w:before="120" w:after="120"/>
        <w:contextualSpacing w:val="0"/>
        <w:rPr>
          <w:color w:val="000000" w:themeColor="text1"/>
        </w:rPr>
      </w:pPr>
      <w:r w:rsidRPr="00F01869">
        <w:rPr>
          <w:color w:val="000000" w:themeColor="text1"/>
        </w:rPr>
        <w:t>Ways to further mainstream biodiversity into national economic budgets and development plans, including key productive sectors;</w:t>
      </w:r>
    </w:p>
    <w:p w:rsidR="00414341" w:rsidRPr="00786690" w:rsidRDefault="00414341" w:rsidP="00786690">
      <w:pPr>
        <w:pStyle w:val="ListParagraph"/>
        <w:numPr>
          <w:ilvl w:val="1"/>
          <w:numId w:val="20"/>
        </w:numPr>
        <w:spacing w:before="120" w:after="120"/>
        <w:contextualSpacing w:val="0"/>
        <w:rPr>
          <w:color w:val="000000" w:themeColor="text1"/>
        </w:rPr>
      </w:pPr>
      <w:r w:rsidRPr="00F01869">
        <w:rPr>
          <w:color w:val="000000" w:themeColor="text1"/>
        </w:rPr>
        <w:t>Ways to improve the readiness and capacity of Parties to access and utilize financial resources in support of the implementation of the post-2020 framework.</w:t>
      </w:r>
    </w:p>
    <w:p w:rsidR="00414341" w:rsidRPr="00F01869" w:rsidRDefault="00414341" w:rsidP="00786690">
      <w:pPr>
        <w:spacing w:before="120" w:after="120"/>
        <w:rPr>
          <w:color w:val="000000" w:themeColor="text1"/>
        </w:rPr>
      </w:pPr>
      <w:r w:rsidRPr="00F01869">
        <w:rPr>
          <w:color w:val="000000" w:themeColor="text1"/>
        </w:rPr>
        <w:t xml:space="preserve">Cluster 3: Looking </w:t>
      </w:r>
      <w:r w:rsidR="00F17139">
        <w:rPr>
          <w:color w:val="000000" w:themeColor="text1"/>
        </w:rPr>
        <w:t>a</w:t>
      </w:r>
      <w:r w:rsidRPr="00F01869">
        <w:rPr>
          <w:color w:val="000000" w:themeColor="text1"/>
        </w:rPr>
        <w:t xml:space="preserve">head to the </w:t>
      </w:r>
      <w:r w:rsidR="00F17139">
        <w:rPr>
          <w:color w:val="000000" w:themeColor="text1"/>
        </w:rPr>
        <w:t>r</w:t>
      </w:r>
      <w:r w:rsidRPr="00F01869">
        <w:rPr>
          <w:color w:val="000000" w:themeColor="text1"/>
        </w:rPr>
        <w:t xml:space="preserve">esource </w:t>
      </w:r>
      <w:r w:rsidR="00F17139">
        <w:rPr>
          <w:color w:val="000000" w:themeColor="text1"/>
        </w:rPr>
        <w:t>m</w:t>
      </w:r>
      <w:r w:rsidRPr="00F01869">
        <w:rPr>
          <w:color w:val="000000" w:themeColor="text1"/>
        </w:rPr>
        <w:t>obilization component of the post-2020 framework</w:t>
      </w:r>
    </w:p>
    <w:p w:rsidR="00414341" w:rsidRPr="00786690" w:rsidRDefault="00414341" w:rsidP="00786690">
      <w:pPr>
        <w:pStyle w:val="ListParagraph"/>
        <w:numPr>
          <w:ilvl w:val="0"/>
          <w:numId w:val="23"/>
        </w:numPr>
        <w:spacing w:before="120" w:after="120"/>
        <w:contextualSpacing w:val="0"/>
        <w:rPr>
          <w:color w:val="000000" w:themeColor="text1"/>
        </w:rPr>
      </w:pPr>
      <w:r w:rsidRPr="00F01869">
        <w:rPr>
          <w:color w:val="000000" w:themeColor="text1"/>
        </w:rPr>
        <w:t>Parallel sessions on few identified items for further in-depth discussion from previous clusters (</w:t>
      </w:r>
      <w:proofErr w:type="gramStart"/>
      <w:r w:rsidRPr="00F01869">
        <w:rPr>
          <w:color w:val="000000" w:themeColor="text1"/>
        </w:rPr>
        <w:t>similar to</w:t>
      </w:r>
      <w:proofErr w:type="gramEnd"/>
      <w:r w:rsidRPr="00F01869">
        <w:rPr>
          <w:color w:val="000000" w:themeColor="text1"/>
        </w:rPr>
        <w:t xml:space="preserve"> approach at regional consultations).</w:t>
      </w:r>
    </w:p>
    <w:p w:rsidR="00414341" w:rsidRPr="00786690" w:rsidRDefault="00414341" w:rsidP="00786690">
      <w:pPr>
        <w:pStyle w:val="ListParagraph"/>
        <w:numPr>
          <w:ilvl w:val="0"/>
          <w:numId w:val="23"/>
        </w:numPr>
        <w:spacing w:before="120" w:after="120"/>
        <w:contextualSpacing w:val="0"/>
        <w:rPr>
          <w:color w:val="000000" w:themeColor="text1"/>
        </w:rPr>
      </w:pPr>
      <w:r w:rsidRPr="00F01869">
        <w:rPr>
          <w:color w:val="000000" w:themeColor="text1"/>
        </w:rPr>
        <w:t xml:space="preserve">Final brainstorming session (in plenary of in breakout sessions) on options and key elements for the resource mobilization component of the post-2020 framework, possibly including options for defining targets and associated indicators.  </w:t>
      </w:r>
    </w:p>
    <w:p w:rsidR="00414341" w:rsidRPr="00F01869" w:rsidRDefault="00414341" w:rsidP="00414341">
      <w:pPr>
        <w:rPr>
          <w:b/>
          <w:color w:val="000000" w:themeColor="text1"/>
        </w:rPr>
      </w:pPr>
      <w:r w:rsidRPr="00F01869">
        <w:rPr>
          <w:b/>
          <w:color w:val="000000" w:themeColor="text1"/>
        </w:rPr>
        <w:t xml:space="preserve">Calendar </w:t>
      </w:r>
      <w:r>
        <w:rPr>
          <w:b/>
          <w:color w:val="000000" w:themeColor="text1"/>
        </w:rPr>
        <w:t>for developing the resource mobilisation component of the post-2020 global biodiversity framework</w:t>
      </w:r>
    </w:p>
    <w:p w:rsidR="00414341" w:rsidRPr="00F01869" w:rsidRDefault="00414341" w:rsidP="00414341">
      <w:pPr>
        <w:rPr>
          <w:color w:val="000000" w:themeColor="text1"/>
        </w:rPr>
      </w:pPr>
    </w:p>
    <w:tbl>
      <w:tblPr>
        <w:tblStyle w:val="TableGrid"/>
        <w:tblW w:w="9351" w:type="dxa"/>
        <w:tblLook w:val="04A0" w:firstRow="1" w:lastRow="0" w:firstColumn="1" w:lastColumn="0" w:noHBand="0" w:noVBand="1"/>
      </w:tblPr>
      <w:tblGrid>
        <w:gridCol w:w="2405"/>
        <w:gridCol w:w="6946"/>
      </w:tblGrid>
      <w:tr w:rsidR="00414341" w:rsidRPr="00F01869" w:rsidTr="00937CBA">
        <w:tc>
          <w:tcPr>
            <w:tcW w:w="2405" w:type="dxa"/>
            <w:shd w:val="clear" w:color="auto" w:fill="auto"/>
          </w:tcPr>
          <w:p w:rsidR="00414341" w:rsidRPr="00F01869" w:rsidRDefault="00414341" w:rsidP="00937CBA">
            <w:pPr>
              <w:rPr>
                <w:color w:val="000000" w:themeColor="text1"/>
              </w:rPr>
            </w:pPr>
            <w:r w:rsidRPr="00F01869">
              <w:rPr>
                <w:color w:val="000000" w:themeColor="text1"/>
              </w:rPr>
              <w:t>October 2019</w:t>
            </w:r>
          </w:p>
        </w:tc>
        <w:tc>
          <w:tcPr>
            <w:tcW w:w="6946" w:type="dxa"/>
            <w:shd w:val="clear" w:color="auto" w:fill="auto"/>
          </w:tcPr>
          <w:p w:rsidR="00414341" w:rsidRPr="00F01869" w:rsidRDefault="00414341" w:rsidP="00937CBA">
            <w:pPr>
              <w:rPr>
                <w:color w:val="000000" w:themeColor="text1"/>
              </w:rPr>
            </w:pPr>
            <w:r w:rsidRPr="00F01869">
              <w:rPr>
                <w:color w:val="000000" w:themeColor="text1"/>
              </w:rPr>
              <w:t>Expert panel commences work</w:t>
            </w:r>
          </w:p>
        </w:tc>
      </w:tr>
      <w:tr w:rsidR="00414341" w:rsidRPr="00F01869" w:rsidTr="00937CBA">
        <w:tc>
          <w:tcPr>
            <w:tcW w:w="2405" w:type="dxa"/>
            <w:shd w:val="clear" w:color="auto" w:fill="auto"/>
          </w:tcPr>
          <w:p w:rsidR="00414341" w:rsidRPr="00F01869" w:rsidRDefault="00414341" w:rsidP="00937CBA">
            <w:pPr>
              <w:rPr>
                <w:color w:val="000000" w:themeColor="text1"/>
              </w:rPr>
            </w:pPr>
            <w:r w:rsidRPr="00F01869">
              <w:rPr>
                <w:color w:val="000000" w:themeColor="text1"/>
              </w:rPr>
              <w:t>Mid-January 2020</w:t>
            </w:r>
          </w:p>
        </w:tc>
        <w:tc>
          <w:tcPr>
            <w:tcW w:w="6946" w:type="dxa"/>
            <w:shd w:val="clear" w:color="auto" w:fill="auto"/>
          </w:tcPr>
          <w:p w:rsidR="00414341" w:rsidRPr="00F01869" w:rsidRDefault="00414341" w:rsidP="00937CBA">
            <w:pPr>
              <w:rPr>
                <w:color w:val="000000" w:themeColor="text1"/>
              </w:rPr>
            </w:pPr>
            <w:r w:rsidRPr="00F01869">
              <w:rPr>
                <w:color w:val="000000" w:themeColor="text1"/>
              </w:rPr>
              <w:t xml:space="preserve">Thematic workshop, with the draft review of experiences and evaluation of the </w:t>
            </w:r>
            <w:r w:rsidR="00F17139">
              <w:rPr>
                <w:color w:val="000000" w:themeColor="text1"/>
              </w:rPr>
              <w:t>s</w:t>
            </w:r>
            <w:r w:rsidRPr="00F01869">
              <w:rPr>
                <w:color w:val="000000" w:themeColor="text1"/>
              </w:rPr>
              <w:t xml:space="preserve">trategy for </w:t>
            </w:r>
            <w:r w:rsidR="00F17139">
              <w:rPr>
                <w:color w:val="000000" w:themeColor="text1"/>
              </w:rPr>
              <w:t>r</w:t>
            </w:r>
            <w:r w:rsidRPr="00F01869">
              <w:rPr>
                <w:color w:val="000000" w:themeColor="text1"/>
              </w:rPr>
              <w:t xml:space="preserve">esource </w:t>
            </w:r>
            <w:r w:rsidR="00F17139">
              <w:rPr>
                <w:color w:val="000000" w:themeColor="text1"/>
              </w:rPr>
              <w:t>m</w:t>
            </w:r>
            <w:r w:rsidRPr="00F01869">
              <w:rPr>
                <w:color w:val="000000" w:themeColor="text1"/>
              </w:rPr>
              <w:t xml:space="preserve">obilization, prepared by the expert panel, as input </w:t>
            </w:r>
          </w:p>
        </w:tc>
      </w:tr>
      <w:tr w:rsidR="00414341" w:rsidRPr="00F01869" w:rsidTr="00937CBA">
        <w:tc>
          <w:tcPr>
            <w:tcW w:w="2405" w:type="dxa"/>
            <w:shd w:val="clear" w:color="auto" w:fill="auto"/>
          </w:tcPr>
          <w:p w:rsidR="00414341" w:rsidRPr="00F01869" w:rsidRDefault="00414341" w:rsidP="00937CBA">
            <w:pPr>
              <w:rPr>
                <w:color w:val="000000" w:themeColor="text1"/>
              </w:rPr>
            </w:pPr>
            <w:r w:rsidRPr="00F01869">
              <w:rPr>
                <w:color w:val="000000" w:themeColor="text1"/>
              </w:rPr>
              <w:t>24-28 February 2020</w:t>
            </w:r>
          </w:p>
        </w:tc>
        <w:tc>
          <w:tcPr>
            <w:tcW w:w="6946" w:type="dxa"/>
            <w:shd w:val="clear" w:color="auto" w:fill="auto"/>
          </w:tcPr>
          <w:p w:rsidR="00414341" w:rsidRPr="00F01869" w:rsidRDefault="00414341" w:rsidP="00937CBA">
            <w:pPr>
              <w:rPr>
                <w:color w:val="000000" w:themeColor="text1"/>
              </w:rPr>
            </w:pPr>
            <w:r w:rsidRPr="00F01869">
              <w:rPr>
                <w:color w:val="000000" w:themeColor="text1"/>
              </w:rPr>
              <w:t xml:space="preserve">Report of the thematic workshop considered by </w:t>
            </w:r>
            <w:r w:rsidR="00F17139">
              <w:rPr>
                <w:color w:val="000000" w:themeColor="text1"/>
              </w:rPr>
              <w:t>WG2020-2</w:t>
            </w:r>
          </w:p>
        </w:tc>
      </w:tr>
      <w:tr w:rsidR="00414341" w:rsidRPr="00F01869" w:rsidTr="00937CBA">
        <w:tc>
          <w:tcPr>
            <w:tcW w:w="2405" w:type="dxa"/>
            <w:shd w:val="clear" w:color="auto" w:fill="auto"/>
          </w:tcPr>
          <w:p w:rsidR="00414341" w:rsidRPr="00F01869" w:rsidRDefault="00414341" w:rsidP="00937CBA">
            <w:pPr>
              <w:rPr>
                <w:color w:val="000000" w:themeColor="text1"/>
              </w:rPr>
            </w:pPr>
            <w:r w:rsidRPr="00F01869">
              <w:rPr>
                <w:color w:val="000000" w:themeColor="text1"/>
              </w:rPr>
              <w:t>March to mid-April 2020</w:t>
            </w:r>
          </w:p>
        </w:tc>
        <w:tc>
          <w:tcPr>
            <w:tcW w:w="6946" w:type="dxa"/>
            <w:shd w:val="clear" w:color="auto" w:fill="auto"/>
          </w:tcPr>
          <w:p w:rsidR="00414341" w:rsidRPr="00F01869" w:rsidRDefault="00414341" w:rsidP="00937CBA">
            <w:pPr>
              <w:rPr>
                <w:color w:val="000000" w:themeColor="text1"/>
              </w:rPr>
            </w:pPr>
            <w:r w:rsidRPr="00F01869">
              <w:rPr>
                <w:color w:val="000000" w:themeColor="text1"/>
              </w:rPr>
              <w:t xml:space="preserve">Expert panel revises or drafts and finalizes its reports based on outcomes of </w:t>
            </w:r>
            <w:r w:rsidR="00F17139">
              <w:rPr>
                <w:color w:val="000000" w:themeColor="text1"/>
              </w:rPr>
              <w:t>WG2020-2</w:t>
            </w:r>
            <w:r w:rsidRPr="00F01869">
              <w:rPr>
                <w:color w:val="000000" w:themeColor="text1"/>
              </w:rPr>
              <w:t xml:space="preserve"> and views expressed at the thematic consultations</w:t>
            </w:r>
          </w:p>
        </w:tc>
      </w:tr>
      <w:tr w:rsidR="00414341" w:rsidRPr="00F01869" w:rsidTr="00937CBA">
        <w:tc>
          <w:tcPr>
            <w:tcW w:w="2405" w:type="dxa"/>
            <w:shd w:val="clear" w:color="auto" w:fill="auto"/>
          </w:tcPr>
          <w:p w:rsidR="00414341" w:rsidRPr="00F01869" w:rsidRDefault="00414341" w:rsidP="00937CBA">
            <w:pPr>
              <w:rPr>
                <w:color w:val="000000" w:themeColor="text1"/>
              </w:rPr>
            </w:pPr>
            <w:r w:rsidRPr="00F01869">
              <w:rPr>
                <w:color w:val="000000" w:themeColor="text1"/>
              </w:rPr>
              <w:t>14-17 April 2020</w:t>
            </w:r>
          </w:p>
        </w:tc>
        <w:tc>
          <w:tcPr>
            <w:tcW w:w="6946" w:type="dxa"/>
            <w:shd w:val="clear" w:color="auto" w:fill="auto"/>
          </w:tcPr>
          <w:p w:rsidR="00414341" w:rsidRPr="00F01869" w:rsidRDefault="00414341" w:rsidP="00937CBA">
            <w:pPr>
              <w:rPr>
                <w:color w:val="000000" w:themeColor="text1"/>
              </w:rPr>
            </w:pPr>
            <w:r w:rsidRPr="00F01869">
              <w:rPr>
                <w:color w:val="000000" w:themeColor="text1"/>
              </w:rPr>
              <w:t>Proposed OECD/UNDP BIOFIN global workshop on resource mobilization provides an opportunity to undertake further consultations at its margins (tentative; tbc)</w:t>
            </w:r>
          </w:p>
        </w:tc>
      </w:tr>
      <w:tr w:rsidR="00414341" w:rsidRPr="00F01869" w:rsidTr="00937CBA">
        <w:tc>
          <w:tcPr>
            <w:tcW w:w="2405" w:type="dxa"/>
            <w:shd w:val="clear" w:color="auto" w:fill="auto"/>
          </w:tcPr>
          <w:p w:rsidR="00414341" w:rsidRPr="00F01869" w:rsidRDefault="00414341" w:rsidP="00937CBA">
            <w:pPr>
              <w:rPr>
                <w:color w:val="000000" w:themeColor="text1"/>
              </w:rPr>
            </w:pPr>
            <w:r w:rsidRPr="00F01869">
              <w:rPr>
                <w:color w:val="000000" w:themeColor="text1"/>
              </w:rPr>
              <w:t>25-29 May 2020</w:t>
            </w:r>
          </w:p>
        </w:tc>
        <w:tc>
          <w:tcPr>
            <w:tcW w:w="6946" w:type="dxa"/>
            <w:shd w:val="clear" w:color="auto" w:fill="auto"/>
          </w:tcPr>
          <w:p w:rsidR="00414341" w:rsidRPr="00F01869" w:rsidRDefault="00414341" w:rsidP="00937CBA">
            <w:pPr>
              <w:rPr>
                <w:color w:val="000000" w:themeColor="text1"/>
              </w:rPr>
            </w:pPr>
            <w:r w:rsidRPr="00F01869">
              <w:rPr>
                <w:color w:val="000000" w:themeColor="text1"/>
              </w:rPr>
              <w:t>Reports of the expert panel and summary report of the thematic consultations are considered by SBI-3</w:t>
            </w:r>
          </w:p>
        </w:tc>
      </w:tr>
      <w:tr w:rsidR="00414341" w:rsidRPr="00F01869" w:rsidTr="00937CBA">
        <w:tc>
          <w:tcPr>
            <w:tcW w:w="2405" w:type="dxa"/>
            <w:shd w:val="clear" w:color="auto" w:fill="auto"/>
          </w:tcPr>
          <w:p w:rsidR="00414341" w:rsidRPr="00F01869" w:rsidRDefault="00414341" w:rsidP="00937CBA">
            <w:pPr>
              <w:rPr>
                <w:color w:val="000000" w:themeColor="text1"/>
              </w:rPr>
            </w:pPr>
            <w:r w:rsidRPr="00F01869">
              <w:rPr>
                <w:color w:val="000000" w:themeColor="text1"/>
              </w:rPr>
              <w:t>27-31 July 2020</w:t>
            </w:r>
          </w:p>
        </w:tc>
        <w:tc>
          <w:tcPr>
            <w:tcW w:w="6946" w:type="dxa"/>
            <w:shd w:val="clear" w:color="auto" w:fill="auto"/>
          </w:tcPr>
          <w:p w:rsidR="00414341" w:rsidRPr="00F01869" w:rsidRDefault="00F17139" w:rsidP="00937CBA">
            <w:pPr>
              <w:rPr>
                <w:color w:val="000000" w:themeColor="text1"/>
              </w:rPr>
            </w:pPr>
            <w:r>
              <w:rPr>
                <w:color w:val="000000" w:themeColor="text1"/>
              </w:rPr>
              <w:t>WG2020</w:t>
            </w:r>
            <w:r w:rsidR="00414341" w:rsidRPr="00F01869">
              <w:rPr>
                <w:color w:val="000000" w:themeColor="text1"/>
              </w:rPr>
              <w:t xml:space="preserve">-3 considers SBI-3 recommendation and the summary report of the thematic </w:t>
            </w:r>
            <w:r w:rsidR="00414341">
              <w:rPr>
                <w:color w:val="000000" w:themeColor="text1"/>
              </w:rPr>
              <w:t>workshop</w:t>
            </w:r>
            <w:r w:rsidR="00414341" w:rsidRPr="00F01869">
              <w:rPr>
                <w:color w:val="000000" w:themeColor="text1"/>
              </w:rPr>
              <w:t>, and integrates draft RM component into draft post-2020 framework</w:t>
            </w:r>
          </w:p>
        </w:tc>
      </w:tr>
    </w:tbl>
    <w:p w:rsidR="00414341" w:rsidRPr="00F01869" w:rsidRDefault="00414341" w:rsidP="00414341">
      <w:pPr>
        <w:rPr>
          <w:color w:val="000000" w:themeColor="text1"/>
        </w:rPr>
      </w:pPr>
    </w:p>
    <w:p w:rsidR="00414341" w:rsidRPr="00F01869" w:rsidRDefault="00414341" w:rsidP="00414341">
      <w:pPr>
        <w:rPr>
          <w:color w:val="000000" w:themeColor="text1"/>
        </w:rPr>
      </w:pPr>
    </w:p>
    <w:p w:rsidR="00F6586C" w:rsidRDefault="00F17139" w:rsidP="00786690">
      <w:pPr>
        <w:pStyle w:val="Para1"/>
        <w:numPr>
          <w:ilvl w:val="0"/>
          <w:numId w:val="0"/>
        </w:numPr>
        <w:jc w:val="center"/>
      </w:pPr>
      <w:r>
        <w:t>__________</w:t>
      </w:r>
    </w:p>
    <w:p w:rsidR="00B3369F" w:rsidRPr="00C9161D" w:rsidRDefault="00B3369F" w:rsidP="00C9161D"/>
    <w:sectPr w:rsidR="00B3369F" w:rsidRPr="00C9161D" w:rsidSect="00856948">
      <w:headerReference w:type="even" r:id="rId9"/>
      <w:headerReference w:type="default" r:id="rId1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D2F" w:rsidRDefault="00C23D2F" w:rsidP="00CF1848">
      <w:r>
        <w:separator/>
      </w:r>
    </w:p>
  </w:endnote>
  <w:endnote w:type="continuationSeparator" w:id="0">
    <w:p w:rsidR="00C23D2F" w:rsidRDefault="00C23D2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D2F" w:rsidRDefault="00C23D2F" w:rsidP="00CF1848">
      <w:r>
        <w:separator/>
      </w:r>
    </w:p>
  </w:footnote>
  <w:footnote w:type="continuationSeparator" w:id="0">
    <w:p w:rsidR="00C23D2F" w:rsidRDefault="00C23D2F" w:rsidP="00CF1848">
      <w:r>
        <w:continuationSeparator/>
      </w:r>
    </w:p>
  </w:footnote>
  <w:footnote w:id="1">
    <w:p w:rsidR="007F471D" w:rsidRPr="00786690" w:rsidRDefault="007F471D" w:rsidP="00786690">
      <w:pPr>
        <w:pStyle w:val="FootnoteText"/>
        <w:ind w:firstLine="0"/>
        <w:rPr>
          <w:lang w:val="en-CA"/>
        </w:rPr>
      </w:pPr>
      <w:r>
        <w:rPr>
          <w:rStyle w:val="FootnoteReference"/>
        </w:rPr>
        <w:footnoteRef/>
      </w:r>
      <w:r>
        <w:t xml:space="preserve"> D</w:t>
      </w:r>
      <w:r w:rsidRPr="00F01869">
        <w:t>ecision 14/22, para</w:t>
      </w:r>
      <w:r>
        <w:t>graph</w:t>
      </w:r>
      <w:r w:rsidRPr="00F01869">
        <w:t xml:space="preserve"> 14</w:t>
      </w:r>
      <w:r>
        <w:t>.</w:t>
      </w:r>
    </w:p>
  </w:footnote>
  <w:footnote w:id="2">
    <w:p w:rsidR="007F471D" w:rsidRPr="00786690" w:rsidRDefault="007F471D" w:rsidP="00786690">
      <w:pPr>
        <w:pStyle w:val="FootnoteText"/>
        <w:ind w:firstLine="0"/>
        <w:rPr>
          <w:lang w:val="en-CA"/>
        </w:rPr>
      </w:pPr>
      <w:r>
        <w:rPr>
          <w:rStyle w:val="FootnoteReference"/>
        </w:rPr>
        <w:footnoteRef/>
      </w:r>
      <w:r>
        <w:t xml:space="preserve"> D</w:t>
      </w:r>
      <w:r w:rsidRPr="00F01869">
        <w:t>ecision 14/22, paragraph 15</w:t>
      </w:r>
      <w:r>
        <w:t>.</w:t>
      </w:r>
    </w:p>
  </w:footnote>
  <w:footnote w:id="3">
    <w:p w:rsidR="007F471D" w:rsidRPr="00786690" w:rsidRDefault="007F471D" w:rsidP="00786690">
      <w:pPr>
        <w:pStyle w:val="FootnoteText"/>
        <w:ind w:firstLine="0"/>
        <w:rPr>
          <w:lang w:val="en-CA"/>
        </w:rPr>
      </w:pPr>
      <w:r>
        <w:rPr>
          <w:rStyle w:val="FootnoteReference"/>
        </w:rPr>
        <w:footnoteRef/>
      </w:r>
      <w:r>
        <w:t xml:space="preserve"> D</w:t>
      </w:r>
      <w:r w:rsidRPr="00F01869">
        <w:t>ecisions 14/22 paragraph 15 (b)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D93"/>
    <w:multiLevelType w:val="hybridMultilevel"/>
    <w:tmpl w:val="6AAA7BB4"/>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814ADD"/>
    <w:multiLevelType w:val="hybridMultilevel"/>
    <w:tmpl w:val="E23CC504"/>
    <w:lvl w:ilvl="0" w:tplc="10090001">
      <w:start w:val="1"/>
      <w:numFmt w:val="bullet"/>
      <w:lvlText w:val=""/>
      <w:lvlJc w:val="left"/>
      <w:pPr>
        <w:ind w:left="720" w:hanging="360"/>
      </w:pPr>
      <w:rPr>
        <w:rFonts w:ascii="Symbol" w:hAnsi="Symbol" w:hint="default"/>
      </w:rPr>
    </w:lvl>
    <w:lvl w:ilvl="1" w:tplc="FD6C9DB4">
      <w:start w:val="2"/>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F5B5500"/>
    <w:multiLevelType w:val="hybridMultilevel"/>
    <w:tmpl w:val="3B42B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7C0A0D"/>
    <w:multiLevelType w:val="hybridMultilevel"/>
    <w:tmpl w:val="9892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D22443E"/>
    <w:multiLevelType w:val="hybridMultilevel"/>
    <w:tmpl w:val="882ECBBC"/>
    <w:lvl w:ilvl="0" w:tplc="697C12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F04E9"/>
    <w:multiLevelType w:val="hybridMultilevel"/>
    <w:tmpl w:val="2F52DD5C"/>
    <w:lvl w:ilvl="0" w:tplc="C72A3F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44E52"/>
    <w:multiLevelType w:val="hybridMultilevel"/>
    <w:tmpl w:val="F064C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81CF1"/>
    <w:multiLevelType w:val="hybridMultilevel"/>
    <w:tmpl w:val="FC7A7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1"/>
  </w:num>
  <w:num w:numId="5">
    <w:abstractNumId w:val="9"/>
  </w:num>
  <w:num w:numId="6">
    <w:abstractNumId w:val="1"/>
  </w:num>
  <w:num w:numId="7">
    <w:abstractNumId w:val="3"/>
  </w:num>
  <w:num w:numId="8">
    <w:abstractNumId w:val="8"/>
    <w:lvlOverride w:ilvl="0">
      <w:startOverride w:val="1"/>
    </w:lvlOverride>
  </w:num>
  <w:num w:numId="9">
    <w:abstractNumId w:val="15"/>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4"/>
  </w:num>
  <w:num w:numId="15">
    <w:abstractNumId w:val="12"/>
  </w:num>
  <w:num w:numId="16">
    <w:abstractNumId w:val="2"/>
  </w:num>
  <w:num w:numId="17">
    <w:abstractNumId w:val="16"/>
  </w:num>
  <w:num w:numId="18">
    <w:abstractNumId w:val="18"/>
  </w:num>
  <w:num w:numId="19">
    <w:abstractNumId w:val="19"/>
  </w:num>
  <w:num w:numId="20">
    <w:abstractNumId w:val="4"/>
  </w:num>
  <w:num w:numId="21">
    <w:abstractNumId w:val="10"/>
  </w:num>
  <w:num w:numId="22">
    <w:abstractNumId w:val="17"/>
  </w:num>
  <w:num w:numId="23">
    <w:abstractNumId w:val="6"/>
  </w:num>
  <w:num w:numId="24">
    <w:abstractNumId w:val="7"/>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revisionView w:markup="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E673A"/>
    <w:rsid w:val="000F74F5"/>
    <w:rsid w:val="00105372"/>
    <w:rsid w:val="00131E7A"/>
    <w:rsid w:val="00134846"/>
    <w:rsid w:val="00172AF6"/>
    <w:rsid w:val="00176CEE"/>
    <w:rsid w:val="00186DD8"/>
    <w:rsid w:val="0030169D"/>
    <w:rsid w:val="00372F74"/>
    <w:rsid w:val="003F7224"/>
    <w:rsid w:val="00414341"/>
    <w:rsid w:val="00427D21"/>
    <w:rsid w:val="004644C2"/>
    <w:rsid w:val="00467F9C"/>
    <w:rsid w:val="00534681"/>
    <w:rsid w:val="006122BA"/>
    <w:rsid w:val="006B2290"/>
    <w:rsid w:val="00717D88"/>
    <w:rsid w:val="00786690"/>
    <w:rsid w:val="007942D3"/>
    <w:rsid w:val="007B6C09"/>
    <w:rsid w:val="007E09DA"/>
    <w:rsid w:val="007F471D"/>
    <w:rsid w:val="008178B6"/>
    <w:rsid w:val="00856948"/>
    <w:rsid w:val="00865B74"/>
    <w:rsid w:val="00930BA1"/>
    <w:rsid w:val="0093169E"/>
    <w:rsid w:val="009505C9"/>
    <w:rsid w:val="00AC2835"/>
    <w:rsid w:val="00AF42DE"/>
    <w:rsid w:val="00AF48CC"/>
    <w:rsid w:val="00B3369F"/>
    <w:rsid w:val="00BB4606"/>
    <w:rsid w:val="00C23D2F"/>
    <w:rsid w:val="00C443BD"/>
    <w:rsid w:val="00C9161D"/>
    <w:rsid w:val="00CF1848"/>
    <w:rsid w:val="00D11D59"/>
    <w:rsid w:val="00D12044"/>
    <w:rsid w:val="00D76A18"/>
    <w:rsid w:val="00DD118C"/>
    <w:rsid w:val="00E6200C"/>
    <w:rsid w:val="00E66235"/>
    <w:rsid w:val="00E83C24"/>
    <w:rsid w:val="00E9318D"/>
    <w:rsid w:val="00F17139"/>
    <w:rsid w:val="00F53193"/>
    <w:rsid w:val="00F6586C"/>
    <w:rsid w:val="00F94774"/>
    <w:rsid w:val="00FC53DB"/>
    <w:rsid w:val="00FD596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05B799F"/>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6801B3"/>
    <w:rsid w:val="00810A55"/>
    <w:rsid w:val="008C6619"/>
    <w:rsid w:val="008D420E"/>
    <w:rsid w:val="0098642F"/>
    <w:rsid w:val="00C8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20AC01-564F-468A-8F41-B20C9D00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CONCEPT NOTE</vt:lpstr>
    </vt:vector>
  </TitlesOfParts>
  <Company>SCBD</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
  <dc:creator>SCBD</dc:creator>
  <cp:keywords>Subsidiary Body on Implementation, Implementation of the Convention</cp:keywords>
  <cp:lastModifiedBy>Veronique Lefebvre</cp:lastModifiedBy>
  <cp:revision>4</cp:revision>
  <dcterms:created xsi:type="dcterms:W3CDTF">2019-10-01T14:40:00Z</dcterms:created>
  <dcterms:modified xsi:type="dcterms:W3CDTF">2019-10-01T15:20:00Z</dcterms:modified>
  <cp:contentStatus>GENERAL</cp:contentStatus>
</cp:coreProperties>
</file>