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3"/>
        <w:gridCol w:w="1230"/>
        <w:gridCol w:w="7855"/>
      </w:tblGrid>
      <w:tr w:rsidR="007166EB" w:rsidRPr="00850BE4" w14:paraId="409B440B" w14:textId="77777777" w:rsidTr="00947347">
        <w:trPr>
          <w:trHeight w:val="851"/>
        </w:trPr>
        <w:tc>
          <w:tcPr>
            <w:tcW w:w="1013" w:type="dxa"/>
            <w:tcBorders>
              <w:top w:val="nil"/>
              <w:left w:val="nil"/>
              <w:bottom w:val="nil"/>
              <w:right w:val="nil"/>
            </w:tcBorders>
            <w:tcMar>
              <w:top w:w="80" w:type="dxa"/>
              <w:left w:w="80" w:type="dxa"/>
              <w:bottom w:w="80" w:type="dxa"/>
              <w:right w:w="80" w:type="dxa"/>
            </w:tcMar>
            <w:vAlign w:val="bottom"/>
          </w:tcPr>
          <w:p w14:paraId="622D014D" w14:textId="77777777" w:rsidR="007166EB" w:rsidRPr="00850BE4" w:rsidRDefault="007166EB">
            <w:pPr>
              <w:pStyle w:val="AASmallLogo"/>
            </w:pPr>
            <w:r w:rsidRPr="00850BE4">
              <w:rPr>
                <w:noProof/>
                <w:sz w:val="22"/>
              </w:rPr>
              <w:drawing>
                <wp:inline distT="0" distB="0" distL="0" distR="0" wp14:anchorId="73BA9319" wp14:editId="57AA2AC7">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2"/>
                          <a:stretch>
                            <a:fillRect/>
                          </a:stretch>
                        </pic:blipFill>
                        <pic:spPr>
                          <a:xfrm>
                            <a:off x="0" y="0"/>
                            <a:ext cx="451127" cy="382336"/>
                          </a:xfrm>
                          <a:prstGeom prst="rect">
                            <a:avLst/>
                          </a:prstGeom>
                          <a:ln w="12700" cap="flat">
                            <a:noFill/>
                            <a:miter lim="400000"/>
                          </a:ln>
                          <a:effectLst/>
                        </pic:spPr>
                      </pic:pic>
                    </a:graphicData>
                  </a:graphic>
                </wp:inline>
              </w:drawing>
            </w:r>
            <w:r w:rsidRPr="00850BE4">
              <w:t xml:space="preserve"> </w:t>
            </w:r>
          </w:p>
        </w:tc>
        <w:tc>
          <w:tcPr>
            <w:tcW w:w="1230" w:type="dxa"/>
            <w:tcBorders>
              <w:top w:val="nil"/>
              <w:left w:val="nil"/>
              <w:bottom w:val="nil"/>
              <w:right w:val="nil"/>
            </w:tcBorders>
            <w:tcMar>
              <w:top w:w="80" w:type="dxa"/>
              <w:left w:w="80" w:type="dxa"/>
              <w:bottom w:w="80" w:type="dxa"/>
              <w:right w:w="80" w:type="dxa"/>
            </w:tcMar>
            <w:vAlign w:val="bottom"/>
          </w:tcPr>
          <w:p w14:paraId="7397D86A" w14:textId="77777777" w:rsidR="007166EB" w:rsidRPr="00850BE4" w:rsidRDefault="007166EB">
            <w:pPr>
              <w:pStyle w:val="AASmallLogo"/>
            </w:pPr>
            <w:r w:rsidRPr="00850BE4">
              <w:rPr>
                <w:noProof/>
                <w:sz w:val="22"/>
              </w:rPr>
              <w:drawing>
                <wp:inline distT="0" distB="0" distL="0" distR="0" wp14:anchorId="36380882" wp14:editId="1EAB3281">
                  <wp:extent cx="498789" cy="357466"/>
                  <wp:effectExtent l="0" t="0" r="0" b="0"/>
                  <wp:docPr id="1073741826" name="officeArt object" descr="Picture 2"/>
                  <wp:cNvGraphicFramePr/>
                  <a:graphic xmlns:a="http://schemas.openxmlformats.org/drawingml/2006/main">
                    <a:graphicData uri="http://schemas.openxmlformats.org/drawingml/2006/picture">
                      <pic:pic xmlns:pic="http://schemas.openxmlformats.org/drawingml/2006/picture">
                        <pic:nvPicPr>
                          <pic:cNvPr id="1073741826" name="Picture 2" descr="Picture 2"/>
                          <pic:cNvPicPr>
                            <a:picLocks noChangeAspect="1"/>
                          </pic:cNvPicPr>
                        </pic:nvPicPr>
                        <pic:blipFill>
                          <a:blip r:embed="rId13"/>
                          <a:stretch>
                            <a:fillRect/>
                          </a:stretch>
                        </pic:blipFill>
                        <pic:spPr>
                          <a:xfrm>
                            <a:off x="0" y="0"/>
                            <a:ext cx="498789" cy="357466"/>
                          </a:xfrm>
                          <a:prstGeom prst="rect">
                            <a:avLst/>
                          </a:prstGeom>
                          <a:ln w="12700" cap="flat">
                            <a:noFill/>
                            <a:miter lim="400000"/>
                          </a:ln>
                          <a:effectLst/>
                        </pic:spPr>
                      </pic:pic>
                    </a:graphicData>
                  </a:graphic>
                </wp:inline>
              </w:drawing>
            </w:r>
            <w:r w:rsidRPr="00850BE4">
              <w:t xml:space="preserve"> </w:t>
            </w:r>
          </w:p>
        </w:tc>
        <w:tc>
          <w:tcPr>
            <w:tcW w:w="7855" w:type="dxa"/>
            <w:tcBorders>
              <w:top w:val="nil"/>
              <w:left w:val="nil"/>
              <w:bottom w:val="nil"/>
              <w:right w:val="nil"/>
            </w:tcBorders>
            <w:tcMar>
              <w:top w:w="80" w:type="dxa"/>
              <w:left w:w="80" w:type="dxa"/>
              <w:bottom w:w="80" w:type="dxa"/>
              <w:right w:w="80" w:type="dxa"/>
            </w:tcMar>
            <w:vAlign w:val="bottom"/>
          </w:tcPr>
          <w:p w14:paraId="23564B80" w14:textId="5BDB4433" w:rsidR="007166EB" w:rsidRPr="00850BE4" w:rsidRDefault="007166EB" w:rsidP="00947347">
            <w:pPr>
              <w:pStyle w:val="ABSymbol"/>
            </w:pPr>
            <w:r w:rsidRPr="00850BE4">
              <w:rPr>
                <w:sz w:val="40"/>
                <w:szCs w:val="40"/>
              </w:rPr>
              <w:t>CBD</w:t>
            </w:r>
            <w:r w:rsidRPr="00850BE4">
              <w:t>/CP/MOP/12/</w:t>
            </w:r>
            <w:r w:rsidR="009A7AF7" w:rsidRPr="00850BE4">
              <w:t>2</w:t>
            </w:r>
          </w:p>
        </w:tc>
      </w:tr>
    </w:tbl>
    <w:p w14:paraId="1F8E2BF8" w14:textId="77777777" w:rsidR="007166EB" w:rsidRPr="00850BE4" w:rsidRDefault="007166EB" w:rsidP="007166EB">
      <w:pPr>
        <w:pStyle w:val="Body"/>
        <w:widowControl w:val="0"/>
        <w:rPr>
          <w:sz w:val="4"/>
          <w:szCs w:val="4"/>
        </w:rPr>
      </w:pPr>
    </w:p>
    <w:p w14:paraId="2C3997FF" w14:textId="77777777" w:rsidR="007166EB" w:rsidRPr="00850BE4" w:rsidRDefault="007166EB" w:rsidP="007166EB">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838"/>
        <w:gridCol w:w="3260"/>
      </w:tblGrid>
      <w:tr w:rsidR="007166EB" w:rsidRPr="00850BE4" w14:paraId="4584E7AB" w14:textId="77777777" w:rsidTr="00947347">
        <w:trPr>
          <w:trHeight w:val="1921"/>
        </w:trPr>
        <w:tc>
          <w:tcPr>
            <w:tcW w:w="6838"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3888CF61" w14:textId="77777777" w:rsidR="007166EB" w:rsidRPr="00850BE4" w:rsidRDefault="007166EB">
            <w:pPr>
              <w:pStyle w:val="ACLargeLogo"/>
            </w:pPr>
            <w:r w:rsidRPr="00850BE4">
              <w:rPr>
                <w:noProof/>
                <w:sz w:val="22"/>
              </w:rPr>
              <w:drawing>
                <wp:inline distT="0" distB="0" distL="0" distR="0" wp14:anchorId="28BD3916" wp14:editId="7E43B9A2">
                  <wp:extent cx="2755632" cy="1030313"/>
                  <wp:effectExtent l="0" t="0" r="0" b="0"/>
                  <wp:docPr id="1073741827" name="officeArt object" descr="Picture 3"/>
                  <wp:cNvGraphicFramePr/>
                  <a:graphic xmlns:a="http://schemas.openxmlformats.org/drawingml/2006/main">
                    <a:graphicData uri="http://schemas.openxmlformats.org/drawingml/2006/picture">
                      <pic:pic xmlns:pic="http://schemas.openxmlformats.org/drawingml/2006/picture">
                        <pic:nvPicPr>
                          <pic:cNvPr id="1073741827" name="Picture 3" descr="Picture 3"/>
                          <pic:cNvPicPr>
                            <a:picLocks noChangeAspect="1"/>
                          </pic:cNvPicPr>
                        </pic:nvPicPr>
                        <pic:blipFill>
                          <a:blip r:embed="rId14"/>
                          <a:stretch>
                            <a:fillRect/>
                          </a:stretch>
                        </pic:blipFill>
                        <pic:spPr>
                          <a:xfrm>
                            <a:off x="0" y="0"/>
                            <a:ext cx="2755632" cy="1030313"/>
                          </a:xfrm>
                          <a:prstGeom prst="rect">
                            <a:avLst/>
                          </a:prstGeom>
                          <a:ln w="12700" cap="flat">
                            <a:noFill/>
                            <a:miter lim="400000"/>
                          </a:ln>
                          <a:effectLst/>
                        </pic:spPr>
                      </pic:pic>
                    </a:graphicData>
                  </a:graphic>
                </wp:inline>
              </w:drawing>
            </w:r>
            <w:r w:rsidRPr="00850BE4">
              <w:t xml:space="preserve"> </w:t>
            </w:r>
          </w:p>
        </w:tc>
        <w:tc>
          <w:tcPr>
            <w:tcW w:w="3260"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7388897D" w14:textId="77777777" w:rsidR="007166EB" w:rsidRPr="00850BE4" w:rsidRDefault="007166EB" w:rsidP="00947347">
            <w:pPr>
              <w:pStyle w:val="AEDistrNormal"/>
              <w:ind w:left="60"/>
            </w:pPr>
            <w:r w:rsidRPr="00850BE4">
              <w:t xml:space="preserve">Distr.: General </w:t>
            </w:r>
          </w:p>
          <w:p w14:paraId="580F64AA" w14:textId="50D5410E" w:rsidR="007166EB" w:rsidRPr="00850BE4" w:rsidRDefault="00EA1CBA" w:rsidP="00947347">
            <w:pPr>
              <w:pStyle w:val="AEDistrNormal"/>
              <w:ind w:left="60"/>
            </w:pPr>
            <w:r w:rsidRPr="00850BE4">
              <w:t>23</w:t>
            </w:r>
            <w:r w:rsidR="00761E36" w:rsidRPr="00850BE4">
              <w:t xml:space="preserve"> </w:t>
            </w:r>
            <w:r w:rsidR="00F84DE8" w:rsidRPr="00850BE4">
              <w:t>September</w:t>
            </w:r>
            <w:r w:rsidR="00827F38" w:rsidRPr="00850BE4">
              <w:t xml:space="preserve"> 2026</w:t>
            </w:r>
          </w:p>
          <w:p w14:paraId="6195A918" w14:textId="77777777" w:rsidR="007166EB" w:rsidRPr="00850BE4" w:rsidRDefault="007166EB" w:rsidP="00947347">
            <w:pPr>
              <w:pStyle w:val="AEDistrNormal6pt"/>
              <w:ind w:left="60"/>
            </w:pPr>
            <w:r w:rsidRPr="00850BE4">
              <w:t xml:space="preserve">Original: English </w:t>
            </w:r>
          </w:p>
        </w:tc>
      </w:tr>
    </w:tbl>
    <w:p w14:paraId="16B85ED2" w14:textId="77777777" w:rsidR="007166EB" w:rsidRPr="00850BE4" w:rsidRDefault="007166EB" w:rsidP="007166EB">
      <w:pPr>
        <w:pStyle w:val="AISpacer"/>
        <w:widowControl w:val="0"/>
      </w:pPr>
    </w:p>
    <w:p w14:paraId="3A1A4DA5" w14:textId="77777777" w:rsidR="007166EB" w:rsidRPr="00850BE4" w:rsidRDefault="007166EB" w:rsidP="007166EB">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562"/>
        <w:gridCol w:w="4536"/>
      </w:tblGrid>
      <w:tr w:rsidR="00BE4861" w:rsidRPr="00850BE4" w14:paraId="5B3CEA47" w14:textId="77777777" w:rsidTr="007A59F7">
        <w:trPr>
          <w:trHeight w:val="1537"/>
        </w:trPr>
        <w:tc>
          <w:tcPr>
            <w:tcW w:w="5562" w:type="dxa"/>
            <w:tcBorders>
              <w:top w:val="nil"/>
              <w:left w:val="nil"/>
              <w:bottom w:val="nil"/>
              <w:right w:val="nil"/>
            </w:tcBorders>
            <w:tcMar>
              <w:top w:w="80" w:type="dxa"/>
              <w:left w:w="80" w:type="dxa"/>
              <w:bottom w:w="80" w:type="dxa"/>
              <w:right w:w="80" w:type="dxa"/>
            </w:tcMar>
          </w:tcPr>
          <w:p w14:paraId="45E93993" w14:textId="77777777" w:rsidR="00BE4861" w:rsidRPr="00850BE4" w:rsidRDefault="00BE4861" w:rsidP="00BE4861">
            <w:pPr>
              <w:pStyle w:val="AFCorN12Bold"/>
              <w:ind w:left="241"/>
            </w:pPr>
            <w:r w:rsidRPr="00850BE4">
              <w:t xml:space="preserve">Conference of the Parties to the Convention on </w:t>
            </w:r>
            <w:r w:rsidRPr="00850BE4">
              <w:br/>
              <w:t xml:space="preserve">Biological Diversity serving as the meeting of </w:t>
            </w:r>
            <w:r w:rsidRPr="00850BE4">
              <w:br/>
              <w:t xml:space="preserve">the Parties to the Cartagena Protocol on Biosafety </w:t>
            </w:r>
          </w:p>
          <w:p w14:paraId="1F52A8FA" w14:textId="77777777" w:rsidR="00BE4861" w:rsidRPr="00850BE4" w:rsidRDefault="00BE4861" w:rsidP="00BE4861">
            <w:pPr>
              <w:pStyle w:val="AFCorNBold"/>
              <w:ind w:left="241"/>
            </w:pPr>
            <w:r w:rsidRPr="00850BE4">
              <w:t xml:space="preserve">Twelfth meeting </w:t>
            </w:r>
          </w:p>
          <w:p w14:paraId="412939DD" w14:textId="77777777" w:rsidR="00BE4861" w:rsidRPr="00850BE4" w:rsidRDefault="00BE4861" w:rsidP="00BE4861">
            <w:pPr>
              <w:pStyle w:val="AFCorNNormal"/>
              <w:ind w:left="241"/>
            </w:pPr>
            <w:r w:rsidRPr="00850BE4">
              <w:t xml:space="preserve">Yerevan, </w:t>
            </w:r>
            <w:r w:rsidRPr="00850BE4">
              <w:rPr>
                <w:snapToGrid w:val="0"/>
                <w:kern w:val="22"/>
              </w:rPr>
              <w:t>19–30 October 2026</w:t>
            </w:r>
          </w:p>
          <w:p w14:paraId="49C72114" w14:textId="753BB4F7" w:rsidR="00BE4861" w:rsidRPr="00850BE4" w:rsidRDefault="00BE4861" w:rsidP="007A59F7">
            <w:pPr>
              <w:pStyle w:val="AFCorNNormal"/>
              <w:ind w:left="241"/>
            </w:pPr>
            <w:r w:rsidRPr="00850BE4">
              <w:t xml:space="preserve">Items 5 </w:t>
            </w:r>
            <w:r w:rsidR="007218D0">
              <w:t xml:space="preserve">to </w:t>
            </w:r>
            <w:r w:rsidR="007218D0" w:rsidRPr="006E3071">
              <w:t xml:space="preserve">10 and 12 </w:t>
            </w:r>
            <w:r w:rsidRPr="00850BE4">
              <w:t>to 17 of the provisional agenda</w:t>
            </w:r>
            <w:r w:rsidRPr="00850BE4">
              <w:rPr>
                <w:rStyle w:val="FootnoteReference"/>
              </w:rPr>
              <w:footnoteReference w:customMarkFollows="1" w:id="1"/>
              <w:t>*</w:t>
            </w:r>
            <w:r w:rsidRPr="00850BE4">
              <w:t xml:space="preserve"> </w:t>
            </w:r>
          </w:p>
        </w:tc>
        <w:tc>
          <w:tcPr>
            <w:tcW w:w="4536" w:type="dxa"/>
            <w:tcBorders>
              <w:top w:val="nil"/>
              <w:left w:val="nil"/>
              <w:bottom w:val="nil"/>
              <w:right w:val="nil"/>
            </w:tcBorders>
            <w:tcMar>
              <w:top w:w="80" w:type="dxa"/>
              <w:left w:w="80" w:type="dxa"/>
              <w:bottom w:w="80" w:type="dxa"/>
              <w:right w:w="80" w:type="dxa"/>
            </w:tcMar>
          </w:tcPr>
          <w:p w14:paraId="774CE011" w14:textId="77777777" w:rsidR="00BE4861" w:rsidRPr="00850BE4" w:rsidRDefault="00BE4861"/>
        </w:tc>
      </w:tr>
      <w:tr w:rsidR="007166EB" w:rsidRPr="00850BE4" w14:paraId="62F637B6" w14:textId="77777777" w:rsidTr="007A59F7">
        <w:trPr>
          <w:trHeight w:val="3617"/>
        </w:trPr>
        <w:tc>
          <w:tcPr>
            <w:tcW w:w="5562" w:type="dxa"/>
            <w:tcBorders>
              <w:top w:val="nil"/>
              <w:left w:val="nil"/>
              <w:bottom w:val="nil"/>
              <w:right w:val="nil"/>
            </w:tcBorders>
            <w:tcMar>
              <w:top w:w="80" w:type="dxa"/>
              <w:left w:w="80" w:type="dxa"/>
              <w:bottom w:w="80" w:type="dxa"/>
              <w:right w:w="80" w:type="dxa"/>
            </w:tcMar>
          </w:tcPr>
          <w:p w14:paraId="781D5F91" w14:textId="77777777" w:rsidR="00E50609" w:rsidRPr="00850BE4" w:rsidRDefault="00E50609" w:rsidP="00E50609">
            <w:pPr>
              <w:pStyle w:val="AFCorNBold"/>
              <w:spacing w:after="60"/>
              <w:ind w:left="241"/>
            </w:pPr>
            <w:r w:rsidRPr="00850BE4">
              <w:t>Report of the Compliance Committee</w:t>
            </w:r>
          </w:p>
          <w:p w14:paraId="19E843CD" w14:textId="0BFD6363" w:rsidR="00E50609" w:rsidRPr="00850BE4" w:rsidRDefault="00E50609" w:rsidP="00E50609">
            <w:pPr>
              <w:pStyle w:val="AFCorNBold"/>
              <w:spacing w:after="60"/>
              <w:ind w:left="241"/>
            </w:pPr>
            <w:r w:rsidRPr="00850BE4">
              <w:t xml:space="preserve">Administration of the Cartagena Protocol </w:t>
            </w:r>
            <w:r w:rsidR="00324078">
              <w:br/>
            </w:r>
            <w:r w:rsidRPr="00850BE4">
              <w:t>and budget for the trust funds</w:t>
            </w:r>
          </w:p>
          <w:p w14:paraId="7E7DC857" w14:textId="77777777" w:rsidR="00E50609" w:rsidRPr="00850BE4" w:rsidRDefault="00E50609" w:rsidP="00E50609">
            <w:pPr>
              <w:pStyle w:val="AFCorNBold"/>
              <w:spacing w:after="60"/>
              <w:ind w:left="241"/>
            </w:pPr>
            <w:r w:rsidRPr="00850BE4">
              <w:t>Monitoring and reporting</w:t>
            </w:r>
          </w:p>
          <w:p w14:paraId="3A7BACA3" w14:textId="12DA8038" w:rsidR="00E50609" w:rsidRPr="00850BE4" w:rsidRDefault="00E50609" w:rsidP="00E50609">
            <w:pPr>
              <w:pStyle w:val="AFCorNBold"/>
              <w:spacing w:after="60"/>
              <w:ind w:left="241"/>
            </w:pPr>
            <w:r w:rsidRPr="00850BE4">
              <w:t xml:space="preserve">Assessment and review of the effectiveness of the Cartagena Protocol and midterm evaluation of the implementation plan and capacity-building action </w:t>
            </w:r>
            <w:r w:rsidR="00324078">
              <w:br/>
            </w:r>
            <w:r w:rsidRPr="00850BE4">
              <w:t>plan for the Protocol</w:t>
            </w:r>
          </w:p>
          <w:p w14:paraId="359ACCF2" w14:textId="77777777" w:rsidR="00E50609" w:rsidRPr="00850BE4" w:rsidRDefault="00E50609" w:rsidP="00E50609">
            <w:pPr>
              <w:pStyle w:val="AFCorNBold"/>
              <w:spacing w:after="60"/>
              <w:ind w:left="241"/>
            </w:pPr>
            <w:r w:rsidRPr="00850BE4">
              <w:t>Matters related to the financial mechanism and resources</w:t>
            </w:r>
          </w:p>
          <w:p w14:paraId="0EB530B1" w14:textId="6375A11C" w:rsidR="00E50609" w:rsidRPr="00850BE4" w:rsidRDefault="00E50609" w:rsidP="00E50609">
            <w:pPr>
              <w:pStyle w:val="AFCorNBold"/>
              <w:spacing w:after="60"/>
              <w:ind w:left="241"/>
            </w:pPr>
            <w:r w:rsidRPr="00850BE4">
              <w:t xml:space="preserve">Operation and activities of the Biosafety </w:t>
            </w:r>
            <w:r w:rsidR="00324078">
              <w:br/>
            </w:r>
            <w:proofErr w:type="gramStart"/>
            <w:r w:rsidRPr="00850BE4">
              <w:t>Clearing-House</w:t>
            </w:r>
            <w:proofErr w:type="gramEnd"/>
          </w:p>
          <w:p w14:paraId="4505379B" w14:textId="72DFA102" w:rsidR="00140CB2" w:rsidRPr="00850BE4" w:rsidRDefault="00140CB2" w:rsidP="007A59F7">
            <w:pPr>
              <w:pStyle w:val="AFCorNBold"/>
              <w:spacing w:after="60"/>
            </w:pPr>
          </w:p>
        </w:tc>
        <w:tc>
          <w:tcPr>
            <w:tcW w:w="4536" w:type="dxa"/>
            <w:tcBorders>
              <w:top w:val="nil"/>
              <w:left w:val="nil"/>
              <w:bottom w:val="nil"/>
              <w:right w:val="nil"/>
            </w:tcBorders>
            <w:tcMar>
              <w:top w:w="80" w:type="dxa"/>
              <w:left w:w="80" w:type="dxa"/>
              <w:bottom w:w="80" w:type="dxa"/>
              <w:right w:w="80" w:type="dxa"/>
            </w:tcMar>
          </w:tcPr>
          <w:p w14:paraId="1CC3AFEB" w14:textId="77777777" w:rsidR="00E50609" w:rsidRPr="00850BE4" w:rsidRDefault="00E50609" w:rsidP="00E50609">
            <w:pPr>
              <w:pStyle w:val="AFCorNBold"/>
              <w:spacing w:after="60"/>
              <w:ind w:left="241"/>
            </w:pPr>
            <w:r w:rsidRPr="00850BE4">
              <w:t>Review of the effectiveness of processes under the Convention on Biological Diversity and its Protocols</w:t>
            </w:r>
          </w:p>
          <w:p w14:paraId="1A408006" w14:textId="77777777" w:rsidR="00E50609" w:rsidRPr="00850BE4" w:rsidRDefault="00E50609" w:rsidP="00E50609">
            <w:pPr>
              <w:pStyle w:val="AFCorNBold"/>
              <w:spacing w:after="60"/>
              <w:ind w:left="241"/>
            </w:pPr>
            <w:r w:rsidRPr="00850BE4">
              <w:t>Risk assessment and risk management of living modified organisms</w:t>
            </w:r>
          </w:p>
          <w:p w14:paraId="377C1BC1" w14:textId="77777777" w:rsidR="00E50609" w:rsidRPr="00850BE4" w:rsidRDefault="00E50609" w:rsidP="00E50609">
            <w:pPr>
              <w:pStyle w:val="AFCorNBold"/>
              <w:spacing w:after="60"/>
              <w:ind w:left="241"/>
            </w:pPr>
            <w:r w:rsidRPr="00850BE4">
              <w:t>Detection and identification of living modified organisms</w:t>
            </w:r>
          </w:p>
          <w:p w14:paraId="2F419015" w14:textId="77777777" w:rsidR="00E50609" w:rsidRPr="00850BE4" w:rsidRDefault="00E50609" w:rsidP="00E50609">
            <w:pPr>
              <w:pStyle w:val="AFCorNBold"/>
              <w:spacing w:after="60"/>
              <w:ind w:left="241"/>
            </w:pPr>
            <w:r w:rsidRPr="00850BE4">
              <w:t>Socioeconomic considerations</w:t>
            </w:r>
          </w:p>
          <w:p w14:paraId="01414EB9" w14:textId="77777777" w:rsidR="00E50609" w:rsidRPr="00850BE4" w:rsidRDefault="00E50609" w:rsidP="00E50609">
            <w:pPr>
              <w:pStyle w:val="AFCorNBold"/>
              <w:spacing w:after="60"/>
              <w:ind w:left="241"/>
            </w:pPr>
            <w:r w:rsidRPr="00850BE4">
              <w:t>National legislation, regulations and guidelines on new developments in modern biotechnology</w:t>
            </w:r>
          </w:p>
          <w:p w14:paraId="4175C18F" w14:textId="77777777" w:rsidR="00E50609" w:rsidRPr="00850BE4" w:rsidRDefault="00E50609" w:rsidP="00E50609">
            <w:pPr>
              <w:pStyle w:val="AFCorNBold"/>
              <w:spacing w:after="60"/>
              <w:ind w:left="241"/>
            </w:pPr>
            <w:r w:rsidRPr="00850BE4">
              <w:t>Nagoya-Kuala Lumpur Supplementary Protocol on Liability and Redress</w:t>
            </w:r>
          </w:p>
          <w:p w14:paraId="7432FBE3" w14:textId="77777777" w:rsidR="007166EB" w:rsidRPr="00850BE4" w:rsidRDefault="007166EB"/>
        </w:tc>
      </w:tr>
    </w:tbl>
    <w:p w14:paraId="1AC431E3" w14:textId="77777777" w:rsidR="007166EB" w:rsidRPr="00850BE4" w:rsidRDefault="007166EB" w:rsidP="007166EB">
      <w:pPr>
        <w:pStyle w:val="AISpacer"/>
        <w:widowControl w:val="0"/>
      </w:pPr>
    </w:p>
    <w:p w14:paraId="3D16DC89" w14:textId="77777777" w:rsidR="008A1499" w:rsidRPr="00850BE4" w:rsidRDefault="008A1499" w:rsidP="008A1499">
      <w:pPr>
        <w:pStyle w:val="AISpacer"/>
      </w:pPr>
    </w:p>
    <w:p w14:paraId="62873911" w14:textId="471E1ACD" w:rsidR="000C6FBB" w:rsidRPr="00850BE4" w:rsidRDefault="00384334" w:rsidP="000C6FBB">
      <w:pPr>
        <w:pStyle w:val="CBDTitle"/>
      </w:pPr>
      <w:sdt>
        <w:sdtPr>
          <w:alias w:val="Title"/>
          <w:tag w:val=""/>
          <w:id w:val="-1975355689"/>
          <w:placeholder>
            <w:docPart w:val="81F4229FB9114AD7BB0D32BC5F5A70FD"/>
          </w:placeholder>
          <w:dataBinding w:prefixMappings="xmlns:ns0='http://purl.org/dc/elements/1.1/' xmlns:ns1='http://schemas.openxmlformats.org/package/2006/metadata/core-properties' " w:xpath="/ns1:coreProperties[1]/ns0:title[1]" w:storeItemID="{6C3C8BC8-F283-45AE-878A-BAB7291924A1}"/>
          <w:text/>
        </w:sdtPr>
        <w:sdtEndPr/>
        <w:sdtContent>
          <w:r w:rsidR="00141AD7" w:rsidRPr="00850BE4">
            <w:t xml:space="preserve">Compilation of draft decisions for the twelfth meeting of the Conference of the Parties </w:t>
          </w:r>
          <w:r w:rsidR="00235C06" w:rsidRPr="00850BE4">
            <w:t>serving as the meeting of the Parties to the Cartagena Protocol on Biosafety</w:t>
          </w:r>
        </w:sdtContent>
      </w:sdt>
    </w:p>
    <w:p w14:paraId="0DD179DD" w14:textId="1A2041C1" w:rsidR="00C9161D" w:rsidRPr="00850BE4" w:rsidRDefault="0035311B" w:rsidP="007166EB">
      <w:pPr>
        <w:pStyle w:val="CBDH1"/>
        <w:ind w:left="0" w:firstLine="0"/>
      </w:pPr>
      <w:r w:rsidRPr="00850BE4">
        <w:t>Introduction</w:t>
      </w:r>
    </w:p>
    <w:p w14:paraId="7279B008" w14:textId="4057E015" w:rsidR="000126F5" w:rsidRPr="00850BE4" w:rsidRDefault="000557F6" w:rsidP="007A59F7">
      <w:pPr>
        <w:pStyle w:val="CBDNormalNumber"/>
        <w:numPr>
          <w:ilvl w:val="0"/>
          <w:numId w:val="0"/>
        </w:numPr>
        <w:ind w:left="567"/>
      </w:pPr>
      <w:r w:rsidRPr="00850BE4">
        <w:tab/>
      </w:r>
      <w:r w:rsidR="000126F5" w:rsidRPr="008D768B">
        <w:t>The present note contains a compilation of draft decisio</w:t>
      </w:r>
      <w:r w:rsidR="000126F5" w:rsidRPr="00850BE4">
        <w:t xml:space="preserve">ns for the consideration of the Conference of the Parties </w:t>
      </w:r>
      <w:r w:rsidR="00227BC8" w:rsidRPr="00850BE4">
        <w:t>serving as the meeting of the Parties to the Cartagena Protocol on Biosafety</w:t>
      </w:r>
      <w:r w:rsidR="000126F5" w:rsidRPr="00850BE4">
        <w:t xml:space="preserve">. The compilation comprises the draft decisions contained in the recommendations from the twenty-seventh meeting of the Subsidiary Body on Scientific, Technical and Technological Advice </w:t>
      </w:r>
      <w:r w:rsidR="0056349A" w:rsidRPr="00850BE4">
        <w:t xml:space="preserve">and </w:t>
      </w:r>
      <w:r w:rsidR="000126F5" w:rsidRPr="00850BE4">
        <w:t xml:space="preserve">the sixth and seventh meetings of the Subsidiary Body on Implementation </w:t>
      </w:r>
      <w:r w:rsidR="006F5DE1" w:rsidRPr="00850BE4">
        <w:t xml:space="preserve">and </w:t>
      </w:r>
      <w:r w:rsidR="007512E3" w:rsidRPr="00850BE4">
        <w:t xml:space="preserve">the twentieth and twenty-first meetings of the Compliance Committee </w:t>
      </w:r>
      <w:r w:rsidR="0023492C" w:rsidRPr="00850BE4">
        <w:t>under the Protocol</w:t>
      </w:r>
      <w:r w:rsidR="006F5DE1" w:rsidRPr="00850BE4">
        <w:t>,</w:t>
      </w:r>
      <w:r w:rsidR="000126F5" w:rsidRPr="00850BE4">
        <w:t xml:space="preserve"> as well as additional elements developed by the </w:t>
      </w:r>
      <w:r w:rsidR="00655389" w:rsidRPr="00850BE4">
        <w:t>Secretariat</w:t>
      </w:r>
      <w:r w:rsidR="000126F5" w:rsidRPr="00850BE4">
        <w:t xml:space="preserve"> in the light of, inter alia, previous decisions of the Conference of the Parties </w:t>
      </w:r>
      <w:r w:rsidR="00373BDF" w:rsidRPr="00850BE4">
        <w:t xml:space="preserve">serving as the meeting of the Parties to the Cartagena Protocol </w:t>
      </w:r>
      <w:r w:rsidR="000126F5" w:rsidRPr="00850BE4">
        <w:t xml:space="preserve">or recommendations of its subsidiary bodies. The mandates for such additional elements are provided in the documents prepared </w:t>
      </w:r>
      <w:r w:rsidR="000126F5" w:rsidRPr="00850BE4">
        <w:lastRenderedPageBreak/>
        <w:t xml:space="preserve">under each relevant agenda item of the present meeting. Items for which no draft decision is envisaged </w:t>
      </w:r>
      <w:r w:rsidR="003B46FC" w:rsidRPr="00850BE4">
        <w:t>(items 1–4</w:t>
      </w:r>
      <w:r w:rsidR="00842185" w:rsidRPr="00850BE4">
        <w:t>, 11 and 18–20</w:t>
      </w:r>
      <w:r w:rsidR="003B46FC" w:rsidRPr="00850BE4">
        <w:t xml:space="preserve">) </w:t>
      </w:r>
      <w:r w:rsidR="000126F5" w:rsidRPr="00850BE4">
        <w:t>are also indicated in the compilation, with an explanatory note, for the sake of providing an exhaustive list of items</w:t>
      </w:r>
      <w:r w:rsidR="00591CE7" w:rsidRPr="00850BE4">
        <w:t>.</w:t>
      </w:r>
    </w:p>
    <w:p w14:paraId="0D7C0C7A" w14:textId="77777777" w:rsidR="00373BDF" w:rsidRPr="00850BE4" w:rsidRDefault="00373BDF" w:rsidP="0035311B">
      <w:pPr>
        <w:pStyle w:val="CBDAgendaItem"/>
        <w:rPr>
          <w:rFonts w:hint="eastAsia"/>
        </w:rPr>
        <w:sectPr w:rsidR="00373BDF" w:rsidRPr="00850BE4" w:rsidSect="00947347">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pPr>
    </w:p>
    <w:p w14:paraId="26C89A96" w14:textId="76D4131A" w:rsidR="00296FDD" w:rsidRPr="007A59F7" w:rsidRDefault="00296FDD" w:rsidP="001643E1">
      <w:pPr>
        <w:pStyle w:val="TOC1"/>
        <w:rPr>
          <w:sz w:val="26"/>
          <w:szCs w:val="26"/>
        </w:rPr>
      </w:pPr>
      <w:r w:rsidRPr="007A59F7">
        <w:rPr>
          <w:sz w:val="26"/>
          <w:szCs w:val="26"/>
        </w:rPr>
        <w:lastRenderedPageBreak/>
        <w:t>Contents</w:t>
      </w:r>
    </w:p>
    <w:p w14:paraId="076C8997" w14:textId="55F5CD87" w:rsidR="00266EBF" w:rsidRPr="007A59F7" w:rsidRDefault="00266EBF" w:rsidP="007A59F7">
      <w:pPr>
        <w:jc w:val="right"/>
        <w:rPr>
          <w:i/>
          <w:iCs/>
          <w:sz w:val="18"/>
          <w:szCs w:val="18"/>
        </w:rPr>
      </w:pPr>
      <w:r w:rsidRPr="007A59F7">
        <w:rPr>
          <w:i/>
          <w:iCs/>
          <w:sz w:val="18"/>
          <w:szCs w:val="18"/>
        </w:rPr>
        <w:t>Page</w:t>
      </w:r>
    </w:p>
    <w:p w14:paraId="28061B7F" w14:textId="492AC8F5" w:rsidR="007E5E93" w:rsidRDefault="00296FDD"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r w:rsidRPr="00850BE4">
        <w:rPr>
          <w:sz w:val="26"/>
          <w:szCs w:val="26"/>
        </w:rPr>
        <w:fldChar w:fldCharType="begin"/>
      </w:r>
      <w:r w:rsidRPr="00850BE4">
        <w:rPr>
          <w:sz w:val="26"/>
          <w:szCs w:val="26"/>
        </w:rPr>
        <w:instrText xml:space="preserve"> TOC \h \z \t "CBD_AgendaItem,1" </w:instrText>
      </w:r>
      <w:r w:rsidRPr="00850BE4">
        <w:rPr>
          <w:sz w:val="26"/>
          <w:szCs w:val="26"/>
        </w:rPr>
        <w:fldChar w:fldCharType="separate"/>
      </w:r>
      <w:hyperlink w:anchor="_Toc241483685" w:history="1">
        <w:r w:rsidR="007E5E93" w:rsidRPr="002F015D">
          <w:rPr>
            <w:rStyle w:val="Hyperlink"/>
            <w:noProof/>
          </w:rPr>
          <w:t>Items 1 to 4</w:t>
        </w:r>
        <w:r w:rsidR="007E5E93">
          <w:rPr>
            <w:noProof/>
            <w:webHidden/>
          </w:rPr>
          <w:tab/>
        </w:r>
        <w:r w:rsidR="007E5E93">
          <w:rPr>
            <w:noProof/>
            <w:webHidden/>
          </w:rPr>
          <w:fldChar w:fldCharType="begin"/>
        </w:r>
        <w:r w:rsidR="007E5E93">
          <w:rPr>
            <w:noProof/>
            <w:webHidden/>
          </w:rPr>
          <w:instrText xml:space="preserve"> PAGEREF _Toc241483685 \h </w:instrText>
        </w:r>
        <w:r w:rsidR="007E5E93">
          <w:rPr>
            <w:noProof/>
            <w:webHidden/>
          </w:rPr>
        </w:r>
        <w:r w:rsidR="007E5E93">
          <w:rPr>
            <w:noProof/>
            <w:webHidden/>
          </w:rPr>
          <w:fldChar w:fldCharType="separate"/>
        </w:r>
        <w:r w:rsidR="007E5E93">
          <w:rPr>
            <w:noProof/>
            <w:webHidden/>
          </w:rPr>
          <w:t>5</w:t>
        </w:r>
        <w:r w:rsidR="007E5E93">
          <w:rPr>
            <w:noProof/>
            <w:webHidden/>
          </w:rPr>
          <w:fldChar w:fldCharType="end"/>
        </w:r>
      </w:hyperlink>
    </w:p>
    <w:p w14:paraId="0D59ADAF" w14:textId="043943DB" w:rsidR="007E5E93" w:rsidRDefault="007E5E93"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86" w:history="1">
        <w:r w:rsidRPr="002F015D">
          <w:rPr>
            <w:rStyle w:val="Hyperlink"/>
            <w:noProof/>
          </w:rPr>
          <w:t>Item 5</w:t>
        </w:r>
        <w:r>
          <w:rPr>
            <w:rStyle w:val="Hyperlink"/>
            <w:noProof/>
          </w:rPr>
          <w:t>.</w:t>
        </w:r>
        <w:r w:rsidR="004F14E3">
          <w:rPr>
            <w:rStyle w:val="Hyperlink"/>
            <w:noProof/>
          </w:rPr>
          <w:tab/>
        </w:r>
        <w:r w:rsidRPr="002F015D">
          <w:rPr>
            <w:rStyle w:val="Hyperlink"/>
            <w:noProof/>
          </w:rPr>
          <w:t>Report of the Compliance Committee</w:t>
        </w:r>
        <w:r>
          <w:rPr>
            <w:noProof/>
            <w:webHidden/>
          </w:rPr>
          <w:tab/>
        </w:r>
        <w:r>
          <w:rPr>
            <w:noProof/>
            <w:webHidden/>
          </w:rPr>
          <w:fldChar w:fldCharType="begin"/>
        </w:r>
        <w:r>
          <w:rPr>
            <w:noProof/>
            <w:webHidden/>
          </w:rPr>
          <w:instrText xml:space="preserve"> PAGEREF _Toc241483686 \h </w:instrText>
        </w:r>
        <w:r>
          <w:rPr>
            <w:noProof/>
            <w:webHidden/>
          </w:rPr>
        </w:r>
        <w:r>
          <w:rPr>
            <w:noProof/>
            <w:webHidden/>
          </w:rPr>
          <w:fldChar w:fldCharType="separate"/>
        </w:r>
        <w:r>
          <w:rPr>
            <w:noProof/>
            <w:webHidden/>
          </w:rPr>
          <w:t>6</w:t>
        </w:r>
        <w:r>
          <w:rPr>
            <w:noProof/>
            <w:webHidden/>
          </w:rPr>
          <w:fldChar w:fldCharType="end"/>
        </w:r>
      </w:hyperlink>
    </w:p>
    <w:p w14:paraId="4468BE2F" w14:textId="136DE328" w:rsidR="007E5E93" w:rsidRDefault="007E5E93"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87" w:history="1">
        <w:r w:rsidRPr="002F015D">
          <w:rPr>
            <w:rStyle w:val="Hyperlink"/>
            <w:noProof/>
          </w:rPr>
          <w:t>Item 6</w:t>
        </w:r>
        <w:r>
          <w:rPr>
            <w:rStyle w:val="Hyperlink"/>
            <w:noProof/>
          </w:rPr>
          <w:t>.</w:t>
        </w:r>
        <w:r w:rsidR="004F14E3">
          <w:rPr>
            <w:rStyle w:val="Hyperlink"/>
            <w:noProof/>
          </w:rPr>
          <w:tab/>
        </w:r>
        <w:r w:rsidRPr="002F015D">
          <w:rPr>
            <w:rStyle w:val="Hyperlink"/>
            <w:noProof/>
          </w:rPr>
          <w:t>Administration of the Cartagena Protocol and budget for the trust funds</w:t>
        </w:r>
        <w:r>
          <w:rPr>
            <w:noProof/>
            <w:webHidden/>
          </w:rPr>
          <w:tab/>
        </w:r>
        <w:r>
          <w:rPr>
            <w:noProof/>
            <w:webHidden/>
          </w:rPr>
          <w:fldChar w:fldCharType="begin"/>
        </w:r>
        <w:r>
          <w:rPr>
            <w:noProof/>
            <w:webHidden/>
          </w:rPr>
          <w:instrText xml:space="preserve"> PAGEREF _Toc241483687 \h </w:instrText>
        </w:r>
        <w:r>
          <w:rPr>
            <w:noProof/>
            <w:webHidden/>
          </w:rPr>
        </w:r>
        <w:r>
          <w:rPr>
            <w:noProof/>
            <w:webHidden/>
          </w:rPr>
          <w:fldChar w:fldCharType="separate"/>
        </w:r>
        <w:r>
          <w:rPr>
            <w:noProof/>
            <w:webHidden/>
          </w:rPr>
          <w:t>8</w:t>
        </w:r>
        <w:r>
          <w:rPr>
            <w:noProof/>
            <w:webHidden/>
          </w:rPr>
          <w:fldChar w:fldCharType="end"/>
        </w:r>
      </w:hyperlink>
    </w:p>
    <w:p w14:paraId="0154DFFA" w14:textId="420D06BB" w:rsidR="007E5E93" w:rsidRDefault="007E5E93"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88" w:history="1">
        <w:r w:rsidRPr="002F015D">
          <w:rPr>
            <w:rStyle w:val="Hyperlink"/>
            <w:noProof/>
          </w:rPr>
          <w:t>Item 7</w:t>
        </w:r>
        <w:r>
          <w:rPr>
            <w:rStyle w:val="Hyperlink"/>
            <w:noProof/>
          </w:rPr>
          <w:t>.</w:t>
        </w:r>
        <w:r w:rsidR="004F14E3">
          <w:rPr>
            <w:rStyle w:val="Hyperlink"/>
            <w:noProof/>
          </w:rPr>
          <w:tab/>
        </w:r>
        <w:r w:rsidRPr="002F015D">
          <w:rPr>
            <w:rStyle w:val="Hyperlink"/>
            <w:noProof/>
          </w:rPr>
          <w:t>Monitoring and reporting</w:t>
        </w:r>
        <w:r>
          <w:rPr>
            <w:noProof/>
            <w:webHidden/>
          </w:rPr>
          <w:tab/>
        </w:r>
        <w:r>
          <w:rPr>
            <w:noProof/>
            <w:webHidden/>
          </w:rPr>
          <w:fldChar w:fldCharType="begin"/>
        </w:r>
        <w:r>
          <w:rPr>
            <w:noProof/>
            <w:webHidden/>
          </w:rPr>
          <w:instrText xml:space="preserve"> PAGEREF _Toc241483688 \h </w:instrText>
        </w:r>
        <w:r>
          <w:rPr>
            <w:noProof/>
            <w:webHidden/>
          </w:rPr>
        </w:r>
        <w:r>
          <w:rPr>
            <w:noProof/>
            <w:webHidden/>
          </w:rPr>
          <w:fldChar w:fldCharType="separate"/>
        </w:r>
        <w:r>
          <w:rPr>
            <w:noProof/>
            <w:webHidden/>
          </w:rPr>
          <w:t>10</w:t>
        </w:r>
        <w:r>
          <w:rPr>
            <w:noProof/>
            <w:webHidden/>
          </w:rPr>
          <w:fldChar w:fldCharType="end"/>
        </w:r>
      </w:hyperlink>
    </w:p>
    <w:p w14:paraId="30213790" w14:textId="5FBDC1C1" w:rsidR="007E5E93" w:rsidRDefault="007E5E93"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89" w:history="1">
        <w:r w:rsidRPr="002F015D">
          <w:rPr>
            <w:rStyle w:val="Hyperlink"/>
            <w:noProof/>
          </w:rPr>
          <w:t>Item 8</w:t>
        </w:r>
        <w:r>
          <w:rPr>
            <w:rStyle w:val="Hyperlink"/>
            <w:noProof/>
          </w:rPr>
          <w:t>.</w:t>
        </w:r>
        <w:r w:rsidR="004F14E3">
          <w:rPr>
            <w:rStyle w:val="Hyperlink"/>
            <w:noProof/>
          </w:rPr>
          <w:tab/>
        </w:r>
        <w:r w:rsidRPr="002F015D">
          <w:rPr>
            <w:rStyle w:val="Hyperlink"/>
            <w:noProof/>
          </w:rPr>
          <w:t>Assessment and review of the effectiveness of the Cartagena Protocol  and midterm evaluation of the implementation plan and  capacity-building action plan for the Protocol</w:t>
        </w:r>
        <w:r>
          <w:rPr>
            <w:noProof/>
            <w:webHidden/>
          </w:rPr>
          <w:tab/>
        </w:r>
        <w:r>
          <w:rPr>
            <w:noProof/>
            <w:webHidden/>
          </w:rPr>
          <w:fldChar w:fldCharType="begin"/>
        </w:r>
        <w:r>
          <w:rPr>
            <w:noProof/>
            <w:webHidden/>
          </w:rPr>
          <w:instrText xml:space="preserve"> PAGEREF _Toc241483689 \h </w:instrText>
        </w:r>
        <w:r>
          <w:rPr>
            <w:noProof/>
            <w:webHidden/>
          </w:rPr>
        </w:r>
        <w:r>
          <w:rPr>
            <w:noProof/>
            <w:webHidden/>
          </w:rPr>
          <w:fldChar w:fldCharType="separate"/>
        </w:r>
        <w:r>
          <w:rPr>
            <w:noProof/>
            <w:webHidden/>
          </w:rPr>
          <w:t>11</w:t>
        </w:r>
        <w:r>
          <w:rPr>
            <w:noProof/>
            <w:webHidden/>
          </w:rPr>
          <w:fldChar w:fldCharType="end"/>
        </w:r>
      </w:hyperlink>
    </w:p>
    <w:p w14:paraId="055D5C92" w14:textId="5F1DD6E2" w:rsidR="007E5E93" w:rsidRDefault="007E5E93"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0" w:history="1">
        <w:r w:rsidRPr="002F015D">
          <w:rPr>
            <w:rStyle w:val="Hyperlink"/>
            <w:noProof/>
          </w:rPr>
          <w:t>Item 9</w:t>
        </w:r>
        <w:r w:rsidR="006639F6">
          <w:rPr>
            <w:rStyle w:val="Hyperlink"/>
            <w:noProof/>
          </w:rPr>
          <w:t>.</w:t>
        </w:r>
        <w:r w:rsidR="004F14E3">
          <w:rPr>
            <w:rStyle w:val="Hyperlink"/>
            <w:noProof/>
          </w:rPr>
          <w:tab/>
        </w:r>
        <w:r w:rsidRPr="002F015D">
          <w:rPr>
            <w:rStyle w:val="Hyperlink"/>
            <w:noProof/>
          </w:rPr>
          <w:t>Matters related to the financial mechanism and resources</w:t>
        </w:r>
        <w:r>
          <w:rPr>
            <w:noProof/>
            <w:webHidden/>
          </w:rPr>
          <w:tab/>
        </w:r>
        <w:r>
          <w:rPr>
            <w:noProof/>
            <w:webHidden/>
          </w:rPr>
          <w:fldChar w:fldCharType="begin"/>
        </w:r>
        <w:r>
          <w:rPr>
            <w:noProof/>
            <w:webHidden/>
          </w:rPr>
          <w:instrText xml:space="preserve"> PAGEREF _Toc241483690 \h </w:instrText>
        </w:r>
        <w:r>
          <w:rPr>
            <w:noProof/>
            <w:webHidden/>
          </w:rPr>
        </w:r>
        <w:r>
          <w:rPr>
            <w:noProof/>
            <w:webHidden/>
          </w:rPr>
          <w:fldChar w:fldCharType="separate"/>
        </w:r>
        <w:r>
          <w:rPr>
            <w:noProof/>
            <w:webHidden/>
          </w:rPr>
          <w:t>18</w:t>
        </w:r>
        <w:r>
          <w:rPr>
            <w:noProof/>
            <w:webHidden/>
          </w:rPr>
          <w:fldChar w:fldCharType="end"/>
        </w:r>
      </w:hyperlink>
    </w:p>
    <w:p w14:paraId="69B4F011" w14:textId="3FBC7873" w:rsidR="007E5E93" w:rsidRDefault="007E5E93"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1" w:history="1">
        <w:r w:rsidRPr="002F015D">
          <w:rPr>
            <w:rStyle w:val="Hyperlink"/>
            <w:noProof/>
          </w:rPr>
          <w:t>Item 10</w:t>
        </w:r>
        <w:r w:rsidR="006639F6">
          <w:rPr>
            <w:rStyle w:val="Hyperlink"/>
            <w:noProof/>
          </w:rPr>
          <w:t>.</w:t>
        </w:r>
        <w:r w:rsidR="004F14E3">
          <w:rPr>
            <w:rStyle w:val="Hyperlink"/>
            <w:noProof/>
          </w:rPr>
          <w:tab/>
        </w:r>
        <w:r w:rsidRPr="002F015D">
          <w:rPr>
            <w:rStyle w:val="Hyperlink"/>
            <w:noProof/>
          </w:rPr>
          <w:t>Operation and activities of the Biosafety Clearing-House</w:t>
        </w:r>
        <w:r>
          <w:rPr>
            <w:noProof/>
            <w:webHidden/>
          </w:rPr>
          <w:tab/>
        </w:r>
        <w:r>
          <w:rPr>
            <w:noProof/>
            <w:webHidden/>
          </w:rPr>
          <w:fldChar w:fldCharType="begin"/>
        </w:r>
        <w:r>
          <w:rPr>
            <w:noProof/>
            <w:webHidden/>
          </w:rPr>
          <w:instrText xml:space="preserve"> PAGEREF _Toc241483691 \h </w:instrText>
        </w:r>
        <w:r>
          <w:rPr>
            <w:noProof/>
            <w:webHidden/>
          </w:rPr>
        </w:r>
        <w:r>
          <w:rPr>
            <w:noProof/>
            <w:webHidden/>
          </w:rPr>
          <w:fldChar w:fldCharType="separate"/>
        </w:r>
        <w:r>
          <w:rPr>
            <w:noProof/>
            <w:webHidden/>
          </w:rPr>
          <w:t>20</w:t>
        </w:r>
        <w:r>
          <w:rPr>
            <w:noProof/>
            <w:webHidden/>
          </w:rPr>
          <w:fldChar w:fldCharType="end"/>
        </w:r>
      </w:hyperlink>
    </w:p>
    <w:p w14:paraId="5D6AA603" w14:textId="10C4C285" w:rsidR="007E5E93" w:rsidRDefault="007E5E93"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2" w:history="1">
        <w:r w:rsidRPr="002F015D">
          <w:rPr>
            <w:rStyle w:val="Hyperlink"/>
            <w:noProof/>
          </w:rPr>
          <w:t>Item 11</w:t>
        </w:r>
        <w:r w:rsidR="006639F6">
          <w:rPr>
            <w:rStyle w:val="Hyperlink"/>
            <w:noProof/>
          </w:rPr>
          <w:t>.</w:t>
        </w:r>
        <w:r w:rsidR="004F14E3">
          <w:rPr>
            <w:rStyle w:val="Hyperlink"/>
            <w:noProof/>
          </w:rPr>
          <w:tab/>
        </w:r>
        <w:r w:rsidRPr="002F015D">
          <w:rPr>
            <w:rStyle w:val="Hyperlink"/>
            <w:noProof/>
          </w:rPr>
          <w:t>Cooperation with international organizations,  bodies established under other conventions, and initiatives</w:t>
        </w:r>
        <w:r>
          <w:rPr>
            <w:noProof/>
            <w:webHidden/>
          </w:rPr>
          <w:tab/>
        </w:r>
        <w:r>
          <w:rPr>
            <w:noProof/>
            <w:webHidden/>
          </w:rPr>
          <w:fldChar w:fldCharType="begin"/>
        </w:r>
        <w:r>
          <w:rPr>
            <w:noProof/>
            <w:webHidden/>
          </w:rPr>
          <w:instrText xml:space="preserve"> PAGEREF _Toc241483692 \h </w:instrText>
        </w:r>
        <w:r>
          <w:rPr>
            <w:noProof/>
            <w:webHidden/>
          </w:rPr>
        </w:r>
        <w:r>
          <w:rPr>
            <w:noProof/>
            <w:webHidden/>
          </w:rPr>
          <w:fldChar w:fldCharType="separate"/>
        </w:r>
        <w:r>
          <w:rPr>
            <w:noProof/>
            <w:webHidden/>
          </w:rPr>
          <w:t>21</w:t>
        </w:r>
        <w:r>
          <w:rPr>
            <w:noProof/>
            <w:webHidden/>
          </w:rPr>
          <w:fldChar w:fldCharType="end"/>
        </w:r>
      </w:hyperlink>
    </w:p>
    <w:p w14:paraId="5F6F9D8D" w14:textId="426AA78D" w:rsidR="007E5E93" w:rsidRDefault="007E5E93"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3" w:history="1">
        <w:r w:rsidRPr="002F015D">
          <w:rPr>
            <w:rStyle w:val="Hyperlink"/>
            <w:noProof/>
          </w:rPr>
          <w:t>Item 12</w:t>
        </w:r>
        <w:r w:rsidR="006639F6">
          <w:rPr>
            <w:rStyle w:val="Hyperlink"/>
            <w:noProof/>
          </w:rPr>
          <w:t>.</w:t>
        </w:r>
        <w:r w:rsidR="004F14E3">
          <w:rPr>
            <w:rStyle w:val="Hyperlink"/>
            <w:noProof/>
          </w:rPr>
          <w:tab/>
        </w:r>
        <w:r w:rsidRPr="002F015D">
          <w:rPr>
            <w:rStyle w:val="Hyperlink"/>
            <w:noProof/>
          </w:rPr>
          <w:t>Review of the effectiveness of processes under  the Convention on Biological Diversity and its Protocols</w:t>
        </w:r>
        <w:r>
          <w:rPr>
            <w:noProof/>
            <w:webHidden/>
          </w:rPr>
          <w:tab/>
        </w:r>
        <w:r>
          <w:rPr>
            <w:noProof/>
            <w:webHidden/>
          </w:rPr>
          <w:fldChar w:fldCharType="begin"/>
        </w:r>
        <w:r>
          <w:rPr>
            <w:noProof/>
            <w:webHidden/>
          </w:rPr>
          <w:instrText xml:space="preserve"> PAGEREF _Toc241483693 \h </w:instrText>
        </w:r>
        <w:r>
          <w:rPr>
            <w:noProof/>
            <w:webHidden/>
          </w:rPr>
        </w:r>
        <w:r>
          <w:rPr>
            <w:noProof/>
            <w:webHidden/>
          </w:rPr>
          <w:fldChar w:fldCharType="separate"/>
        </w:r>
        <w:r>
          <w:rPr>
            <w:noProof/>
            <w:webHidden/>
          </w:rPr>
          <w:t>22</w:t>
        </w:r>
        <w:r>
          <w:rPr>
            <w:noProof/>
            <w:webHidden/>
          </w:rPr>
          <w:fldChar w:fldCharType="end"/>
        </w:r>
      </w:hyperlink>
    </w:p>
    <w:p w14:paraId="57FC099B" w14:textId="2E42A28B" w:rsidR="007E5E93" w:rsidRDefault="007E5E93"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4" w:history="1">
        <w:r w:rsidRPr="002F015D">
          <w:rPr>
            <w:rStyle w:val="Hyperlink"/>
            <w:noProof/>
          </w:rPr>
          <w:t>Item 13</w:t>
        </w:r>
        <w:r w:rsidR="006639F6">
          <w:rPr>
            <w:rStyle w:val="Hyperlink"/>
            <w:noProof/>
          </w:rPr>
          <w:t>.</w:t>
        </w:r>
        <w:r w:rsidR="004F14E3">
          <w:rPr>
            <w:rStyle w:val="Hyperlink"/>
            <w:noProof/>
          </w:rPr>
          <w:tab/>
        </w:r>
        <w:r w:rsidRPr="002F015D">
          <w:rPr>
            <w:rStyle w:val="Hyperlink"/>
            <w:noProof/>
          </w:rPr>
          <w:t>Risk assessment and risk management of living modified organisms</w:t>
        </w:r>
        <w:r>
          <w:rPr>
            <w:noProof/>
            <w:webHidden/>
          </w:rPr>
          <w:tab/>
        </w:r>
        <w:r>
          <w:rPr>
            <w:noProof/>
            <w:webHidden/>
          </w:rPr>
          <w:fldChar w:fldCharType="begin"/>
        </w:r>
        <w:r>
          <w:rPr>
            <w:noProof/>
            <w:webHidden/>
          </w:rPr>
          <w:instrText xml:space="preserve"> PAGEREF _Toc241483694 \h </w:instrText>
        </w:r>
        <w:r>
          <w:rPr>
            <w:noProof/>
            <w:webHidden/>
          </w:rPr>
        </w:r>
        <w:r>
          <w:rPr>
            <w:noProof/>
            <w:webHidden/>
          </w:rPr>
          <w:fldChar w:fldCharType="separate"/>
        </w:r>
        <w:r>
          <w:rPr>
            <w:noProof/>
            <w:webHidden/>
          </w:rPr>
          <w:t>23</w:t>
        </w:r>
        <w:r>
          <w:rPr>
            <w:noProof/>
            <w:webHidden/>
          </w:rPr>
          <w:fldChar w:fldCharType="end"/>
        </w:r>
      </w:hyperlink>
    </w:p>
    <w:p w14:paraId="7B0961E9" w14:textId="0FE59B08" w:rsidR="007E5E93" w:rsidRDefault="007E5E93"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5" w:history="1">
        <w:r w:rsidRPr="002F015D">
          <w:rPr>
            <w:rStyle w:val="Hyperlink"/>
            <w:noProof/>
          </w:rPr>
          <w:t>Item 14</w:t>
        </w:r>
        <w:r w:rsidR="006639F6">
          <w:rPr>
            <w:rStyle w:val="Hyperlink"/>
            <w:noProof/>
          </w:rPr>
          <w:t>.</w:t>
        </w:r>
        <w:r w:rsidR="004F14E3">
          <w:rPr>
            <w:rStyle w:val="Hyperlink"/>
            <w:noProof/>
          </w:rPr>
          <w:tab/>
        </w:r>
        <w:r w:rsidRPr="002F015D">
          <w:rPr>
            <w:rStyle w:val="Hyperlink"/>
            <w:noProof/>
          </w:rPr>
          <w:t>Detection and identification of living modified organisms</w:t>
        </w:r>
        <w:r>
          <w:rPr>
            <w:noProof/>
            <w:webHidden/>
          </w:rPr>
          <w:tab/>
        </w:r>
        <w:r>
          <w:rPr>
            <w:noProof/>
            <w:webHidden/>
          </w:rPr>
          <w:fldChar w:fldCharType="begin"/>
        </w:r>
        <w:r>
          <w:rPr>
            <w:noProof/>
            <w:webHidden/>
          </w:rPr>
          <w:instrText xml:space="preserve"> PAGEREF _Toc241483695 \h </w:instrText>
        </w:r>
        <w:r>
          <w:rPr>
            <w:noProof/>
            <w:webHidden/>
          </w:rPr>
        </w:r>
        <w:r>
          <w:rPr>
            <w:noProof/>
            <w:webHidden/>
          </w:rPr>
          <w:fldChar w:fldCharType="separate"/>
        </w:r>
        <w:r>
          <w:rPr>
            <w:noProof/>
            <w:webHidden/>
          </w:rPr>
          <w:t>27</w:t>
        </w:r>
        <w:r>
          <w:rPr>
            <w:noProof/>
            <w:webHidden/>
          </w:rPr>
          <w:fldChar w:fldCharType="end"/>
        </w:r>
      </w:hyperlink>
    </w:p>
    <w:p w14:paraId="31FE2959" w14:textId="51512554" w:rsidR="007E5E93" w:rsidRDefault="007E5E93"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6" w:history="1">
        <w:r w:rsidRPr="002F015D">
          <w:rPr>
            <w:rStyle w:val="Hyperlink"/>
            <w:noProof/>
          </w:rPr>
          <w:t>Item 15</w:t>
        </w:r>
        <w:r w:rsidR="006639F6">
          <w:rPr>
            <w:rStyle w:val="Hyperlink"/>
            <w:noProof/>
          </w:rPr>
          <w:t>.</w:t>
        </w:r>
        <w:r w:rsidR="004F14E3">
          <w:rPr>
            <w:rStyle w:val="Hyperlink"/>
            <w:noProof/>
          </w:rPr>
          <w:tab/>
        </w:r>
        <w:r w:rsidRPr="002F015D">
          <w:rPr>
            <w:rStyle w:val="Hyperlink"/>
            <w:noProof/>
          </w:rPr>
          <w:t>Socioeconomic considerations</w:t>
        </w:r>
        <w:r>
          <w:rPr>
            <w:noProof/>
            <w:webHidden/>
          </w:rPr>
          <w:tab/>
        </w:r>
        <w:r>
          <w:rPr>
            <w:noProof/>
            <w:webHidden/>
          </w:rPr>
          <w:fldChar w:fldCharType="begin"/>
        </w:r>
        <w:r>
          <w:rPr>
            <w:noProof/>
            <w:webHidden/>
          </w:rPr>
          <w:instrText xml:space="preserve"> PAGEREF _Toc241483696 \h </w:instrText>
        </w:r>
        <w:r>
          <w:rPr>
            <w:noProof/>
            <w:webHidden/>
          </w:rPr>
        </w:r>
        <w:r>
          <w:rPr>
            <w:noProof/>
            <w:webHidden/>
          </w:rPr>
          <w:fldChar w:fldCharType="separate"/>
        </w:r>
        <w:r>
          <w:rPr>
            <w:noProof/>
            <w:webHidden/>
          </w:rPr>
          <w:t>29</w:t>
        </w:r>
        <w:r>
          <w:rPr>
            <w:noProof/>
            <w:webHidden/>
          </w:rPr>
          <w:fldChar w:fldCharType="end"/>
        </w:r>
      </w:hyperlink>
    </w:p>
    <w:p w14:paraId="7E84FEFD" w14:textId="53687328" w:rsidR="007E5E93" w:rsidRDefault="007E5E93"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7" w:history="1">
        <w:r w:rsidRPr="002F015D">
          <w:rPr>
            <w:rStyle w:val="Hyperlink"/>
            <w:noProof/>
          </w:rPr>
          <w:t>Item 16</w:t>
        </w:r>
        <w:r w:rsidR="006639F6">
          <w:rPr>
            <w:rStyle w:val="Hyperlink"/>
            <w:noProof/>
          </w:rPr>
          <w:t>.</w:t>
        </w:r>
        <w:r w:rsidR="004F14E3">
          <w:rPr>
            <w:rStyle w:val="Hyperlink"/>
            <w:noProof/>
          </w:rPr>
          <w:tab/>
        </w:r>
        <w:r w:rsidRPr="002F015D">
          <w:rPr>
            <w:rStyle w:val="Hyperlink"/>
            <w:noProof/>
          </w:rPr>
          <w:t>National legislation, regulations and guidelines  on new developments in modern biotechnology</w:t>
        </w:r>
        <w:r>
          <w:rPr>
            <w:noProof/>
            <w:webHidden/>
          </w:rPr>
          <w:tab/>
        </w:r>
        <w:r>
          <w:rPr>
            <w:noProof/>
            <w:webHidden/>
          </w:rPr>
          <w:fldChar w:fldCharType="begin"/>
        </w:r>
        <w:r>
          <w:rPr>
            <w:noProof/>
            <w:webHidden/>
          </w:rPr>
          <w:instrText xml:space="preserve"> PAGEREF _Toc241483697 \h </w:instrText>
        </w:r>
        <w:r>
          <w:rPr>
            <w:noProof/>
            <w:webHidden/>
          </w:rPr>
        </w:r>
        <w:r>
          <w:rPr>
            <w:noProof/>
            <w:webHidden/>
          </w:rPr>
          <w:fldChar w:fldCharType="separate"/>
        </w:r>
        <w:r>
          <w:rPr>
            <w:noProof/>
            <w:webHidden/>
          </w:rPr>
          <w:t>30</w:t>
        </w:r>
        <w:r>
          <w:rPr>
            <w:noProof/>
            <w:webHidden/>
          </w:rPr>
          <w:fldChar w:fldCharType="end"/>
        </w:r>
      </w:hyperlink>
    </w:p>
    <w:p w14:paraId="4F3730F0" w14:textId="1CB283E3" w:rsidR="007E5E93" w:rsidRDefault="007E5E93"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8" w:history="1">
        <w:r w:rsidRPr="002F015D">
          <w:rPr>
            <w:rStyle w:val="Hyperlink"/>
            <w:noProof/>
          </w:rPr>
          <w:t>Item 17</w:t>
        </w:r>
        <w:r w:rsidR="006639F6">
          <w:rPr>
            <w:rStyle w:val="Hyperlink"/>
            <w:noProof/>
          </w:rPr>
          <w:t>.</w:t>
        </w:r>
        <w:r w:rsidR="004F14E3">
          <w:rPr>
            <w:rStyle w:val="Hyperlink"/>
            <w:noProof/>
          </w:rPr>
          <w:tab/>
        </w:r>
        <w:r w:rsidRPr="002F015D">
          <w:rPr>
            <w:rStyle w:val="Hyperlink"/>
            <w:noProof/>
          </w:rPr>
          <w:t>Nagoya-Kuala Lumpur Supplementary Protocol on Liability and Redress</w:t>
        </w:r>
        <w:r>
          <w:rPr>
            <w:noProof/>
            <w:webHidden/>
          </w:rPr>
          <w:tab/>
        </w:r>
        <w:r>
          <w:rPr>
            <w:noProof/>
            <w:webHidden/>
          </w:rPr>
          <w:fldChar w:fldCharType="begin"/>
        </w:r>
        <w:r>
          <w:rPr>
            <w:noProof/>
            <w:webHidden/>
          </w:rPr>
          <w:instrText xml:space="preserve"> PAGEREF _Toc241483698 \h </w:instrText>
        </w:r>
        <w:r>
          <w:rPr>
            <w:noProof/>
            <w:webHidden/>
          </w:rPr>
        </w:r>
        <w:r>
          <w:rPr>
            <w:noProof/>
            <w:webHidden/>
          </w:rPr>
          <w:fldChar w:fldCharType="separate"/>
        </w:r>
        <w:r>
          <w:rPr>
            <w:noProof/>
            <w:webHidden/>
          </w:rPr>
          <w:t>31</w:t>
        </w:r>
        <w:r>
          <w:rPr>
            <w:noProof/>
            <w:webHidden/>
          </w:rPr>
          <w:fldChar w:fldCharType="end"/>
        </w:r>
      </w:hyperlink>
    </w:p>
    <w:p w14:paraId="135D38F0" w14:textId="3F43CE17" w:rsidR="007E5E93" w:rsidRDefault="007E5E93"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9" w:history="1">
        <w:r w:rsidRPr="002F015D">
          <w:rPr>
            <w:rStyle w:val="Hyperlink"/>
            <w:noProof/>
          </w:rPr>
          <w:t>Items 18 to 20</w:t>
        </w:r>
        <w:r>
          <w:rPr>
            <w:noProof/>
            <w:webHidden/>
          </w:rPr>
          <w:tab/>
        </w:r>
        <w:r>
          <w:rPr>
            <w:noProof/>
            <w:webHidden/>
          </w:rPr>
          <w:fldChar w:fldCharType="begin"/>
        </w:r>
        <w:r>
          <w:rPr>
            <w:noProof/>
            <w:webHidden/>
          </w:rPr>
          <w:instrText xml:space="preserve"> PAGEREF _Toc241483699 \h </w:instrText>
        </w:r>
        <w:r>
          <w:rPr>
            <w:noProof/>
            <w:webHidden/>
          </w:rPr>
        </w:r>
        <w:r>
          <w:rPr>
            <w:noProof/>
            <w:webHidden/>
          </w:rPr>
          <w:fldChar w:fldCharType="separate"/>
        </w:r>
        <w:r>
          <w:rPr>
            <w:noProof/>
            <w:webHidden/>
          </w:rPr>
          <w:t>33</w:t>
        </w:r>
        <w:r>
          <w:rPr>
            <w:noProof/>
            <w:webHidden/>
          </w:rPr>
          <w:fldChar w:fldCharType="end"/>
        </w:r>
      </w:hyperlink>
    </w:p>
    <w:p w14:paraId="0A9A3D72" w14:textId="257CC8AF" w:rsidR="00536EFA" w:rsidRPr="00850BE4" w:rsidRDefault="00296FDD" w:rsidP="0035311B">
      <w:pPr>
        <w:pStyle w:val="CBDAgendaItem"/>
        <w:rPr>
          <w:rFonts w:hint="eastAsia"/>
          <w:sz w:val="26"/>
          <w:szCs w:val="26"/>
        </w:rPr>
      </w:pPr>
      <w:r w:rsidRPr="00850BE4">
        <w:rPr>
          <w:sz w:val="26"/>
          <w:szCs w:val="26"/>
        </w:rPr>
        <w:fldChar w:fldCharType="end"/>
      </w:r>
    </w:p>
    <w:p w14:paraId="5DBCF47F" w14:textId="77777777" w:rsidR="00536EFA" w:rsidRPr="00850BE4" w:rsidRDefault="00536EFA" w:rsidP="0035311B">
      <w:pPr>
        <w:pStyle w:val="CBDAgendaItem"/>
        <w:rPr>
          <w:rFonts w:hint="eastAsia"/>
          <w:sz w:val="26"/>
          <w:szCs w:val="26"/>
        </w:rPr>
        <w:sectPr w:rsidR="00536EFA" w:rsidRPr="00850BE4" w:rsidSect="00373BDF">
          <w:pgSz w:w="12240" w:h="15840"/>
          <w:pgMar w:top="567" w:right="1440" w:bottom="1134" w:left="1440" w:header="709" w:footer="709" w:gutter="0"/>
          <w:cols w:space="708"/>
          <w:docGrid w:linePitch="360"/>
        </w:sectPr>
      </w:pPr>
    </w:p>
    <w:p w14:paraId="25E251CC" w14:textId="651F53B9" w:rsidR="0093169E" w:rsidRPr="007A59F7" w:rsidRDefault="0035311B" w:rsidP="0035311B">
      <w:pPr>
        <w:pStyle w:val="CBDAgendaItem"/>
        <w:rPr>
          <w:rFonts w:hint="eastAsia"/>
          <w:sz w:val="26"/>
          <w:szCs w:val="26"/>
        </w:rPr>
      </w:pPr>
      <w:bookmarkStart w:id="0" w:name="_Toc241483685"/>
      <w:r w:rsidRPr="007A59F7">
        <w:rPr>
          <w:rFonts w:hint="eastAsia"/>
          <w:sz w:val="26"/>
          <w:szCs w:val="26"/>
        </w:rPr>
        <w:lastRenderedPageBreak/>
        <w:t>Item</w:t>
      </w:r>
      <w:r w:rsidR="00EA4677" w:rsidRPr="007A59F7">
        <w:rPr>
          <w:rFonts w:hint="eastAsia"/>
          <w:sz w:val="26"/>
          <w:szCs w:val="26"/>
        </w:rPr>
        <w:t>s</w:t>
      </w:r>
      <w:r w:rsidRPr="007A59F7">
        <w:rPr>
          <w:rFonts w:hint="eastAsia"/>
          <w:sz w:val="26"/>
          <w:szCs w:val="26"/>
        </w:rPr>
        <w:t xml:space="preserve"> 1 </w:t>
      </w:r>
      <w:r w:rsidR="002F7D36" w:rsidRPr="007A59F7">
        <w:rPr>
          <w:rFonts w:hint="eastAsia"/>
          <w:sz w:val="26"/>
          <w:szCs w:val="26"/>
        </w:rPr>
        <w:t>to 4</w:t>
      </w:r>
      <w:bookmarkEnd w:id="0"/>
    </w:p>
    <w:p w14:paraId="79A97464" w14:textId="669C1277" w:rsidR="00867247" w:rsidRPr="00850BE4" w:rsidRDefault="003A4AA5" w:rsidP="007A59F7">
      <w:pPr>
        <w:pStyle w:val="CBDNormalNumber"/>
        <w:numPr>
          <w:ilvl w:val="0"/>
          <w:numId w:val="0"/>
        </w:numPr>
        <w:ind w:left="567"/>
      </w:pPr>
      <w:r w:rsidRPr="00850BE4">
        <w:t>No draft decisions are envisaged under items 1 to 4, owing to the nature of those items. The actions required on the part of the Conference of the Parties serving as the meeting of the Parties to the Protocol for those items are reflected in the annotated provisional agenda</w:t>
      </w:r>
      <w:r w:rsidR="006223DF" w:rsidRPr="00850BE4">
        <w:t>.</w:t>
      </w:r>
    </w:p>
    <w:p w14:paraId="716438C8" w14:textId="77777777" w:rsidR="00361D55" w:rsidRPr="00850BE4" w:rsidRDefault="00361D55" w:rsidP="00E612A5">
      <w:pPr>
        <w:pStyle w:val="CBDAgendaItem"/>
        <w:rPr>
          <w:rFonts w:hint="eastAsia"/>
        </w:rPr>
        <w:sectPr w:rsidR="00361D55" w:rsidRPr="00850BE4" w:rsidSect="007A59F7">
          <w:pgSz w:w="12240" w:h="15840"/>
          <w:pgMar w:top="567" w:right="1440" w:bottom="1134" w:left="1440" w:header="709" w:footer="709" w:gutter="0"/>
          <w:cols w:space="708"/>
          <w:docGrid w:linePitch="360"/>
        </w:sectPr>
      </w:pPr>
    </w:p>
    <w:p w14:paraId="3A92A30B" w14:textId="19C97B45" w:rsidR="00E612A5" w:rsidRPr="00850BE4" w:rsidRDefault="00E612A5" w:rsidP="00E612A5">
      <w:pPr>
        <w:pStyle w:val="CBDAgendaItem"/>
        <w:rPr>
          <w:rFonts w:hint="eastAsia"/>
          <w:sz w:val="26"/>
          <w:szCs w:val="26"/>
        </w:rPr>
      </w:pPr>
      <w:bookmarkStart w:id="1" w:name="_Toc241483686"/>
      <w:r w:rsidRPr="00850BE4">
        <w:rPr>
          <w:sz w:val="26"/>
          <w:szCs w:val="26"/>
        </w:rPr>
        <w:lastRenderedPageBreak/>
        <w:t xml:space="preserve">Item 5 </w:t>
      </w:r>
      <w:r w:rsidRPr="00850BE4">
        <w:rPr>
          <w:sz w:val="26"/>
          <w:szCs w:val="26"/>
        </w:rPr>
        <w:br/>
        <w:t>Report of the Compliance Committee</w:t>
      </w:r>
      <w:bookmarkEnd w:id="1"/>
    </w:p>
    <w:tbl>
      <w:tblPr>
        <w:tblStyle w:val="TableGrid"/>
        <w:tblW w:w="0" w:type="auto"/>
        <w:tblLook w:val="04A0" w:firstRow="1" w:lastRow="0" w:firstColumn="1" w:lastColumn="0" w:noHBand="0" w:noVBand="1"/>
      </w:tblPr>
      <w:tblGrid>
        <w:gridCol w:w="9360"/>
      </w:tblGrid>
      <w:tr w:rsidR="00AB59B5" w:rsidRPr="00850BE4" w14:paraId="19CB3A08" w14:textId="77777777" w:rsidTr="00AB59B5">
        <w:tc>
          <w:tcPr>
            <w:tcW w:w="9360" w:type="dxa"/>
            <w:tcBorders>
              <w:left w:val="nil"/>
              <w:right w:val="nil"/>
            </w:tcBorders>
          </w:tcPr>
          <w:p w14:paraId="5463F56D" w14:textId="326274BA" w:rsidR="00827A5F" w:rsidRPr="00850BE4" w:rsidRDefault="003A4AA5" w:rsidP="0023492C">
            <w:pPr>
              <w:pStyle w:val="CBDNormalNumber"/>
              <w:numPr>
                <w:ilvl w:val="0"/>
                <w:numId w:val="0"/>
              </w:numPr>
              <w:ind w:firstLine="596"/>
              <w:rPr>
                <w:i/>
                <w:iCs/>
              </w:rPr>
            </w:pPr>
            <w:r w:rsidRPr="00850BE4">
              <w:rPr>
                <w:i/>
                <w:iCs/>
              </w:rPr>
              <w:t xml:space="preserve">The following draft decision has been reproduced from document </w:t>
            </w:r>
            <w:hyperlink r:id="rId20" w:history="1">
              <w:r w:rsidRPr="00850BE4">
                <w:rPr>
                  <w:rStyle w:val="Hyperlink"/>
                  <w:i/>
                  <w:iCs/>
                </w:rPr>
                <w:t>CBD/CP/MOP/12/3</w:t>
              </w:r>
            </w:hyperlink>
            <w:r w:rsidRPr="00850BE4">
              <w:rPr>
                <w:i/>
                <w:iCs/>
              </w:rPr>
              <w:t xml:space="preserve"> (annex I, sect. I, para. 1)</w:t>
            </w:r>
            <w:r w:rsidR="008B2DBD" w:rsidRPr="00850BE4">
              <w:rPr>
                <w:i/>
                <w:iCs/>
              </w:rPr>
              <w:t>.</w:t>
            </w:r>
          </w:p>
        </w:tc>
      </w:tr>
    </w:tbl>
    <w:p w14:paraId="7754BB3D" w14:textId="44E46C36" w:rsidR="00AB59B5" w:rsidRPr="00850BE4" w:rsidRDefault="00AD02AF" w:rsidP="00AD02AF">
      <w:pPr>
        <w:pStyle w:val="CBDcompilationH2"/>
      </w:pPr>
      <w:r w:rsidRPr="00850BE4">
        <w:t>Compliance</w:t>
      </w:r>
    </w:p>
    <w:p w14:paraId="71AB7CCA" w14:textId="77777777" w:rsidR="001A690B" w:rsidRPr="00850BE4" w:rsidRDefault="001A690B" w:rsidP="00DB4DF6">
      <w:pPr>
        <w:pStyle w:val="CBDRecommendText"/>
        <w:tabs>
          <w:tab w:val="clear" w:pos="567"/>
        </w:tabs>
        <w:ind w:left="576" w:firstLine="558"/>
        <w:rPr>
          <w:i/>
          <w:iCs/>
          <w:lang w:bidi="ar-SY"/>
        </w:rPr>
      </w:pPr>
      <w:r w:rsidRPr="00850BE4">
        <w:rPr>
          <w:i/>
          <w:iCs/>
          <w:lang w:bidi="ar-SY"/>
        </w:rPr>
        <w:t>The Conference of the Parties serving as the meeting of the Parties to the Cartagena Protocol</w:t>
      </w:r>
    </w:p>
    <w:p w14:paraId="5ADF3D34" w14:textId="77777777" w:rsidR="001A690B" w:rsidRPr="00850BE4" w:rsidRDefault="001A690B">
      <w:pPr>
        <w:pStyle w:val="CBDDesicionText"/>
        <w:numPr>
          <w:ilvl w:val="0"/>
          <w:numId w:val="10"/>
        </w:numPr>
        <w:tabs>
          <w:tab w:val="clear" w:pos="567"/>
          <w:tab w:val="clear" w:pos="1701"/>
          <w:tab w:val="clear" w:pos="2268"/>
          <w:tab w:val="left" w:pos="630"/>
          <w:tab w:val="left" w:pos="1800"/>
        </w:tabs>
        <w:ind w:left="576" w:firstLine="558"/>
      </w:pPr>
      <w:r w:rsidRPr="00850BE4">
        <w:rPr>
          <w:i/>
          <w:iCs/>
        </w:rPr>
        <w:t>Notes</w:t>
      </w:r>
      <w:r w:rsidRPr="00850BE4">
        <w:t xml:space="preserve"> that </w:t>
      </w:r>
      <w:proofErr w:type="gramStart"/>
      <w:r w:rsidRPr="00850BE4">
        <w:t>a number of</w:t>
      </w:r>
      <w:proofErr w:type="gramEnd"/>
      <w:r w:rsidRPr="00850BE4">
        <w:t xml:space="preserve"> Parties have not designated the national focal points, competent national authorities or contact points required under the Cartagena Protocol on Biosafety;</w:t>
      </w:r>
      <w:r w:rsidRPr="00850BE4">
        <w:rPr>
          <w:rStyle w:val="FootnoteReference"/>
        </w:rPr>
        <w:footnoteReference w:id="2"/>
      </w:r>
      <w:r w:rsidRPr="00850BE4">
        <w:t xml:space="preserve"> </w:t>
      </w:r>
    </w:p>
    <w:p w14:paraId="413BDC6A" w14:textId="77777777" w:rsidR="001A690B" w:rsidRPr="00850BE4" w:rsidRDefault="001A690B">
      <w:pPr>
        <w:pStyle w:val="CBDDesicionText"/>
        <w:numPr>
          <w:ilvl w:val="0"/>
          <w:numId w:val="10"/>
        </w:numPr>
        <w:tabs>
          <w:tab w:val="clear" w:pos="567"/>
          <w:tab w:val="clear" w:pos="1701"/>
          <w:tab w:val="clear" w:pos="2268"/>
          <w:tab w:val="left" w:pos="630"/>
          <w:tab w:val="left" w:pos="1800"/>
        </w:tabs>
        <w:ind w:left="576" w:firstLine="558"/>
      </w:pPr>
      <w:r w:rsidRPr="00850BE4">
        <w:rPr>
          <w:i/>
          <w:iCs/>
        </w:rPr>
        <w:t xml:space="preserve">Reminds </w:t>
      </w:r>
      <w:r w:rsidRPr="00850BE4">
        <w:t xml:space="preserve">Parties of their obligation to designate their national focal points for the Cartagena Protocol, in compliance with Article 19 of the Protocol, and of the need to designate their Biosafety Clearing-House national focal points, in accordance with the modalities of operation of the Biosafety </w:t>
      </w:r>
      <w:proofErr w:type="gramStart"/>
      <w:r w:rsidRPr="00850BE4">
        <w:t>Clearing-House</w:t>
      </w:r>
      <w:proofErr w:type="gramEnd"/>
      <w:r w:rsidRPr="00850BE4">
        <w:t>, and to keep the information up to date;</w:t>
      </w:r>
      <w:r w:rsidRPr="00850BE4">
        <w:rPr>
          <w:rStyle w:val="FootnoteReference"/>
        </w:rPr>
        <w:footnoteReference w:id="3"/>
      </w:r>
      <w:r w:rsidRPr="00850BE4">
        <w:t xml:space="preserve"> </w:t>
      </w:r>
    </w:p>
    <w:p w14:paraId="3083B742" w14:textId="77777777" w:rsidR="001A690B" w:rsidRPr="00850BE4" w:rsidRDefault="001A690B">
      <w:pPr>
        <w:pStyle w:val="CBDDesicionText"/>
        <w:numPr>
          <w:ilvl w:val="0"/>
          <w:numId w:val="10"/>
        </w:numPr>
        <w:tabs>
          <w:tab w:val="clear" w:pos="567"/>
          <w:tab w:val="clear" w:pos="1701"/>
          <w:tab w:val="clear" w:pos="2268"/>
          <w:tab w:val="left" w:pos="630"/>
          <w:tab w:val="left" w:pos="1800"/>
        </w:tabs>
        <w:ind w:left="576" w:firstLine="558"/>
      </w:pPr>
      <w:r w:rsidRPr="00850BE4">
        <w:rPr>
          <w:i/>
          <w:iCs/>
        </w:rPr>
        <w:t>Also reminds</w:t>
      </w:r>
      <w:r w:rsidRPr="00850BE4">
        <w:t xml:space="preserve"> Parties of their obligation to make available through the Biosafety </w:t>
      </w:r>
      <w:proofErr w:type="gramStart"/>
      <w:r w:rsidRPr="00850BE4">
        <w:t>Clearing-House</w:t>
      </w:r>
      <w:proofErr w:type="gramEnd"/>
      <w:r w:rsidRPr="00850BE4">
        <w:t xml:space="preserve"> the </w:t>
      </w:r>
      <w:bookmarkStart w:id="2" w:name="_Hlk200722798"/>
      <w:r w:rsidRPr="00850BE4">
        <w:t xml:space="preserve">contact details of one or more </w:t>
      </w:r>
      <w:bookmarkStart w:id="3" w:name="_Hlk200722925"/>
      <w:r w:rsidRPr="00850BE4">
        <w:t>competent national authorities</w:t>
      </w:r>
      <w:bookmarkEnd w:id="2"/>
      <w:bookmarkEnd w:id="3"/>
      <w:r w:rsidRPr="00850BE4">
        <w:t>, in accordance with Article 19 of the Cartagena Protocol, and urges those Parties that have not yet done so to make that information available, as a matter of priority;</w:t>
      </w:r>
    </w:p>
    <w:p w14:paraId="481A3645" w14:textId="77777777" w:rsidR="001A690B" w:rsidRPr="00850BE4" w:rsidRDefault="001A690B">
      <w:pPr>
        <w:pStyle w:val="CBDDesicionText"/>
        <w:numPr>
          <w:ilvl w:val="0"/>
          <w:numId w:val="10"/>
        </w:numPr>
        <w:tabs>
          <w:tab w:val="clear" w:pos="567"/>
          <w:tab w:val="clear" w:pos="1701"/>
          <w:tab w:val="clear" w:pos="2268"/>
          <w:tab w:val="left" w:pos="630"/>
          <w:tab w:val="left" w:pos="1800"/>
        </w:tabs>
        <w:ind w:left="576" w:firstLine="558"/>
      </w:pPr>
      <w:r w:rsidRPr="00850BE4">
        <w:rPr>
          <w:i/>
          <w:iCs/>
        </w:rPr>
        <w:t>Further reminds</w:t>
      </w:r>
      <w:r w:rsidRPr="00850BE4">
        <w:t xml:space="preserve"> Parties of their obligation to designate a point of contact for the purposes of receiving notifications under Article 17 of the Cartagena Protocol, and urges</w:t>
      </w:r>
      <w:r w:rsidRPr="00850BE4">
        <w:rPr>
          <w:i/>
          <w:iCs/>
        </w:rPr>
        <w:t xml:space="preserve"> </w:t>
      </w:r>
      <w:r w:rsidRPr="00850BE4">
        <w:t>those that have not yet done so to make such designations as soon as possible;</w:t>
      </w:r>
    </w:p>
    <w:p w14:paraId="30A0BFFF" w14:textId="77777777" w:rsidR="001A690B" w:rsidRPr="00850BE4" w:rsidRDefault="001A690B">
      <w:pPr>
        <w:pStyle w:val="CBDDesicionText"/>
        <w:numPr>
          <w:ilvl w:val="0"/>
          <w:numId w:val="10"/>
        </w:numPr>
        <w:tabs>
          <w:tab w:val="clear" w:pos="567"/>
          <w:tab w:val="clear" w:pos="1701"/>
          <w:tab w:val="clear" w:pos="2268"/>
          <w:tab w:val="left" w:pos="630"/>
          <w:tab w:val="left" w:pos="1800"/>
        </w:tabs>
        <w:ind w:left="576" w:firstLine="558"/>
      </w:pPr>
      <w:r w:rsidRPr="00850BE4">
        <w:rPr>
          <w:i/>
          <w:iCs/>
        </w:rPr>
        <w:t>Urges</w:t>
      </w:r>
      <w:r w:rsidRPr="00850BE4">
        <w:t xml:space="preserve"> Parties that are developing their biosafety regulatory frameworks to expedite their work, recognizing that Parties are required under the Cartagena Protocol to take measures for its implementation and that such measures will contribute to achieving Target 17 of the Kunming-Montreal Global Biodiversity Framework,</w:t>
      </w:r>
      <w:r w:rsidRPr="00850BE4">
        <w:rPr>
          <w:rStyle w:val="FootnoteReference"/>
        </w:rPr>
        <w:footnoteReference w:id="4"/>
      </w:r>
      <w:r w:rsidRPr="00850BE4">
        <w:t xml:space="preserve"> and welcomes the support provided in that regard to several Parties by the United Nations Environment Programme, through its Law and Environment Assistance Platform, and Japan, through the Japan Biodiversity Fund;</w:t>
      </w:r>
    </w:p>
    <w:p w14:paraId="21F265B1" w14:textId="77777777" w:rsidR="001A690B" w:rsidRPr="00850BE4" w:rsidRDefault="001A690B">
      <w:pPr>
        <w:pStyle w:val="CBDDesicionText"/>
        <w:numPr>
          <w:ilvl w:val="0"/>
          <w:numId w:val="10"/>
        </w:numPr>
        <w:tabs>
          <w:tab w:val="clear" w:pos="567"/>
          <w:tab w:val="clear" w:pos="1701"/>
          <w:tab w:val="clear" w:pos="2268"/>
          <w:tab w:val="left" w:pos="630"/>
          <w:tab w:val="left" w:pos="1800"/>
        </w:tabs>
        <w:ind w:left="576" w:firstLine="558"/>
      </w:pPr>
      <w:r w:rsidRPr="00850BE4">
        <w:rPr>
          <w:i/>
          <w:iCs/>
        </w:rPr>
        <w:t>Reminds</w:t>
      </w:r>
      <w:r w:rsidRPr="00850BE4">
        <w:t xml:space="preserve"> Parties of their obligation to publish their legal measures for the implementation of the Cartagena Protocol through the Biosafety </w:t>
      </w:r>
      <w:proofErr w:type="gramStart"/>
      <w:r w:rsidRPr="00850BE4">
        <w:t>Clearing-House</w:t>
      </w:r>
      <w:proofErr w:type="gramEnd"/>
      <w:r w:rsidRPr="00850BE4">
        <w:t>;</w:t>
      </w:r>
    </w:p>
    <w:p w14:paraId="6B33F8C9" w14:textId="77777777" w:rsidR="001A690B" w:rsidRPr="00850BE4" w:rsidRDefault="001A690B">
      <w:pPr>
        <w:pStyle w:val="CBDDesicionText"/>
        <w:numPr>
          <w:ilvl w:val="0"/>
          <w:numId w:val="10"/>
        </w:numPr>
        <w:tabs>
          <w:tab w:val="clear" w:pos="567"/>
          <w:tab w:val="clear" w:pos="1134"/>
          <w:tab w:val="clear" w:pos="1701"/>
          <w:tab w:val="clear" w:pos="2268"/>
          <w:tab w:val="left" w:pos="630"/>
          <w:tab w:val="left" w:pos="1800"/>
        </w:tabs>
        <w:ind w:left="576" w:firstLine="558"/>
      </w:pPr>
      <w:r w:rsidRPr="00850BE4">
        <w:rPr>
          <w:i/>
          <w:iCs/>
        </w:rPr>
        <w:t>Recalls</w:t>
      </w:r>
      <w:r w:rsidRPr="00850BE4">
        <w:t xml:space="preserve"> the caution in decision </w:t>
      </w:r>
      <w:hyperlink r:id="rId21" w:history="1">
        <w:r w:rsidRPr="00850BE4">
          <w:rPr>
            <w:rStyle w:val="Hyperlink"/>
          </w:rPr>
          <w:t>CP-11/1 B</w:t>
        </w:r>
      </w:hyperlink>
      <w:r w:rsidRPr="00850BE4">
        <w:t xml:space="preserve"> of 30 October 2024, and welcomes the funding extended by the Global Environment Facility to the cautioned Parties to prepare their fourth and fifth national reports;</w:t>
      </w:r>
    </w:p>
    <w:p w14:paraId="43DC2DC8" w14:textId="77777777" w:rsidR="001A690B" w:rsidRPr="00850BE4" w:rsidRDefault="001A690B">
      <w:pPr>
        <w:pStyle w:val="CBDDesicionText"/>
        <w:numPr>
          <w:ilvl w:val="0"/>
          <w:numId w:val="10"/>
        </w:numPr>
        <w:tabs>
          <w:tab w:val="clear" w:pos="567"/>
          <w:tab w:val="clear" w:pos="1134"/>
          <w:tab w:val="clear" w:pos="1701"/>
          <w:tab w:val="clear" w:pos="2268"/>
          <w:tab w:val="left" w:pos="630"/>
          <w:tab w:val="left" w:pos="1800"/>
        </w:tabs>
        <w:ind w:left="576" w:firstLine="558"/>
      </w:pPr>
      <w:r w:rsidRPr="00850BE4">
        <w:rPr>
          <w:i/>
          <w:iCs/>
        </w:rPr>
        <w:t>Welcomes</w:t>
      </w:r>
      <w:r w:rsidRPr="00850BE4">
        <w:t xml:space="preserve"> the submission of the fourth and fifth national reports by Belize and Libya, which resolves their non-compliance with the reporting obligation;</w:t>
      </w:r>
    </w:p>
    <w:p w14:paraId="70D527BF" w14:textId="77777777" w:rsidR="001A690B" w:rsidRPr="00850BE4" w:rsidRDefault="001A690B">
      <w:pPr>
        <w:pStyle w:val="CBDDesicionText"/>
        <w:numPr>
          <w:ilvl w:val="0"/>
          <w:numId w:val="10"/>
        </w:numPr>
        <w:tabs>
          <w:tab w:val="clear" w:pos="567"/>
          <w:tab w:val="clear" w:pos="1134"/>
          <w:tab w:val="clear" w:pos="1701"/>
          <w:tab w:val="clear" w:pos="2268"/>
          <w:tab w:val="left" w:pos="630"/>
          <w:tab w:val="left" w:pos="1800"/>
        </w:tabs>
        <w:ind w:left="576" w:firstLine="558"/>
      </w:pPr>
      <w:r w:rsidRPr="00850BE4">
        <w:rPr>
          <w:i/>
          <w:iCs/>
        </w:rPr>
        <w:t>Expresses grave concern</w:t>
      </w:r>
      <w:r w:rsidRPr="00850BE4">
        <w:t xml:space="preserve"> that Papua New Guinea has not submitted its third, fourth or fifth national report;</w:t>
      </w:r>
    </w:p>
    <w:p w14:paraId="3C62BF47" w14:textId="77777777" w:rsidR="001A690B" w:rsidRPr="00850BE4" w:rsidRDefault="001A690B">
      <w:pPr>
        <w:pStyle w:val="CBDDesicionText"/>
        <w:numPr>
          <w:ilvl w:val="0"/>
          <w:numId w:val="10"/>
        </w:numPr>
        <w:tabs>
          <w:tab w:val="clear" w:pos="567"/>
          <w:tab w:val="clear" w:pos="1134"/>
          <w:tab w:val="clear" w:pos="1701"/>
          <w:tab w:val="clear" w:pos="2268"/>
          <w:tab w:val="left" w:pos="630"/>
          <w:tab w:val="left" w:pos="1800"/>
        </w:tabs>
        <w:ind w:left="576" w:firstLine="558"/>
      </w:pPr>
      <w:r w:rsidRPr="00850BE4">
        <w:rPr>
          <w:i/>
          <w:iCs/>
        </w:rPr>
        <w:t>Requests</w:t>
      </w:r>
      <w:r w:rsidRPr="00850BE4">
        <w:t xml:space="preserve"> the Committee to consider possible measures to address the repeated non-compliance of Papua New Guinea with its reporting obligation and make a recommendation in that regard to the Conference of the Parties serving as the meeting of the Parties to the Cartagena Protocol for consideration at its thirteenth meeting;</w:t>
      </w:r>
    </w:p>
    <w:p w14:paraId="3350C80E" w14:textId="77777777" w:rsidR="001A690B" w:rsidRPr="00850BE4" w:rsidRDefault="001A690B">
      <w:pPr>
        <w:pStyle w:val="CBDDesicionText"/>
        <w:numPr>
          <w:ilvl w:val="0"/>
          <w:numId w:val="10"/>
        </w:numPr>
        <w:tabs>
          <w:tab w:val="clear" w:pos="567"/>
          <w:tab w:val="clear" w:pos="1134"/>
          <w:tab w:val="clear" w:pos="2268"/>
          <w:tab w:val="left" w:pos="630"/>
        </w:tabs>
        <w:ind w:left="567" w:firstLine="567"/>
      </w:pPr>
      <w:r w:rsidRPr="00850BE4">
        <w:rPr>
          <w:i/>
          <w:iCs/>
        </w:rPr>
        <w:lastRenderedPageBreak/>
        <w:t xml:space="preserve">Encourages </w:t>
      </w:r>
      <w:r w:rsidRPr="00850BE4">
        <w:t>Parties facing difficulties complying with one or more obligations under the Cartagena Protocol to seek assistance from the Compliance Committee under the Protocol or the Secretariat of the Convention on Biological Diversity.</w:t>
      </w:r>
      <w:r w:rsidRPr="00850BE4">
        <w:rPr>
          <w:rStyle w:val="FootnoteReference"/>
        </w:rPr>
        <w:footnoteReference w:id="5"/>
      </w:r>
      <w:r w:rsidRPr="00850BE4">
        <w:rPr>
          <w:i/>
          <w:iCs/>
        </w:rPr>
        <w:t xml:space="preserve"> </w:t>
      </w:r>
    </w:p>
    <w:p w14:paraId="3D94551E" w14:textId="77777777" w:rsidR="001A690B" w:rsidRPr="00850BE4" w:rsidRDefault="001A690B" w:rsidP="00AB59B5">
      <w:pPr>
        <w:pStyle w:val="CBDNormalNumber"/>
        <w:numPr>
          <w:ilvl w:val="0"/>
          <w:numId w:val="0"/>
        </w:numPr>
        <w:ind w:left="567"/>
      </w:pPr>
    </w:p>
    <w:p w14:paraId="1052124D" w14:textId="72067459" w:rsidR="00E612A5" w:rsidRPr="00850BE4" w:rsidRDefault="00E612A5" w:rsidP="00034596">
      <w:pPr>
        <w:pStyle w:val="CBDNormalNumber"/>
        <w:numPr>
          <w:ilvl w:val="0"/>
          <w:numId w:val="0"/>
        </w:numPr>
        <w:ind w:left="567"/>
      </w:pPr>
    </w:p>
    <w:p w14:paraId="6483FE73" w14:textId="77777777" w:rsidR="00034596" w:rsidRPr="00850BE4" w:rsidRDefault="00034596" w:rsidP="00E612A5">
      <w:pPr>
        <w:pStyle w:val="CBDAgendaItem"/>
        <w:rPr>
          <w:rFonts w:hint="eastAsia"/>
        </w:rPr>
        <w:sectPr w:rsidR="00034596" w:rsidRPr="00850BE4" w:rsidSect="00361D55">
          <w:pgSz w:w="12240" w:h="15840"/>
          <w:pgMar w:top="567" w:right="1440" w:bottom="1134" w:left="1440" w:header="709" w:footer="709" w:gutter="0"/>
          <w:cols w:space="708"/>
          <w:docGrid w:linePitch="360"/>
        </w:sectPr>
      </w:pPr>
    </w:p>
    <w:p w14:paraId="0595AA32" w14:textId="627F3169" w:rsidR="00E612A5" w:rsidRPr="00850BE4" w:rsidRDefault="00E612A5" w:rsidP="00E612A5">
      <w:pPr>
        <w:pStyle w:val="CBDAgendaItem"/>
        <w:rPr>
          <w:rFonts w:hint="eastAsia"/>
          <w:sz w:val="26"/>
          <w:szCs w:val="26"/>
        </w:rPr>
      </w:pPr>
      <w:bookmarkStart w:id="4" w:name="_Toc241483687"/>
      <w:r w:rsidRPr="00850BE4">
        <w:rPr>
          <w:sz w:val="26"/>
          <w:szCs w:val="26"/>
        </w:rPr>
        <w:lastRenderedPageBreak/>
        <w:t xml:space="preserve">Item 6 </w:t>
      </w:r>
      <w:r w:rsidRPr="00850BE4">
        <w:rPr>
          <w:sz w:val="26"/>
          <w:szCs w:val="26"/>
        </w:rPr>
        <w:br/>
        <w:t xml:space="preserve">Administration of the </w:t>
      </w:r>
      <w:r w:rsidR="009A2EC1" w:rsidRPr="00850BE4">
        <w:rPr>
          <w:sz w:val="26"/>
          <w:szCs w:val="26"/>
        </w:rPr>
        <w:t xml:space="preserve">Cartagena </w:t>
      </w:r>
      <w:r w:rsidRPr="00850BE4">
        <w:rPr>
          <w:sz w:val="26"/>
          <w:szCs w:val="26"/>
        </w:rPr>
        <w:t>Protocol and budget for the trust funds</w:t>
      </w:r>
      <w:bookmarkEnd w:id="4"/>
    </w:p>
    <w:tbl>
      <w:tblPr>
        <w:tblStyle w:val="TableGrid"/>
        <w:tblW w:w="0" w:type="auto"/>
        <w:tblLook w:val="04A0" w:firstRow="1" w:lastRow="0" w:firstColumn="1" w:lastColumn="0" w:noHBand="0" w:noVBand="1"/>
      </w:tblPr>
      <w:tblGrid>
        <w:gridCol w:w="9360"/>
      </w:tblGrid>
      <w:tr w:rsidR="006470A9" w:rsidRPr="00850BE4" w14:paraId="2CE158CF" w14:textId="77777777" w:rsidTr="00E56E5C">
        <w:tc>
          <w:tcPr>
            <w:tcW w:w="9360" w:type="dxa"/>
            <w:tcBorders>
              <w:left w:val="nil"/>
              <w:right w:val="nil"/>
            </w:tcBorders>
          </w:tcPr>
          <w:p w14:paraId="565F9B9A" w14:textId="705178ED" w:rsidR="006470A9" w:rsidRPr="00850BE4" w:rsidRDefault="000433B9" w:rsidP="006678C1">
            <w:pPr>
              <w:pStyle w:val="CBDNormalNumber"/>
              <w:numPr>
                <w:ilvl w:val="0"/>
                <w:numId w:val="0"/>
              </w:numPr>
              <w:ind w:firstLine="596"/>
              <w:rPr>
                <w:i/>
                <w:iCs/>
              </w:rPr>
            </w:pPr>
            <w:r w:rsidRPr="00850BE4">
              <w:rPr>
                <w:i/>
                <w:iCs/>
              </w:rPr>
              <w:t xml:space="preserve">Elements of the following draft decision </w:t>
            </w:r>
            <w:r w:rsidRPr="000433B9">
              <w:rPr>
                <w:i/>
                <w:iCs/>
              </w:rPr>
              <w:t>have been adapted</w:t>
            </w:r>
            <w:r w:rsidRPr="00850BE4">
              <w:rPr>
                <w:i/>
                <w:iCs/>
              </w:rPr>
              <w:t xml:space="preserve"> from document</w:t>
            </w:r>
            <w:r w:rsidRPr="004321FC">
              <w:rPr>
                <w:i/>
                <w:iCs/>
              </w:rPr>
              <w:t xml:space="preserve"> </w:t>
            </w:r>
            <w:hyperlink r:id="rId22" w:history="1">
              <w:r w:rsidRPr="000433B9">
                <w:rPr>
                  <w:rStyle w:val="Hyperlink"/>
                </w:rPr>
                <w:t>CBD/CP/MOP/12/5</w:t>
              </w:r>
            </w:hyperlink>
            <w:r w:rsidRPr="00850BE4">
              <w:rPr>
                <w:i/>
                <w:iCs/>
              </w:rPr>
              <w:t xml:space="preserve">. Paragraphs 5 and 6 have been </w:t>
            </w:r>
            <w:r w:rsidRPr="000433B9">
              <w:rPr>
                <w:i/>
                <w:iCs/>
              </w:rPr>
              <w:t>adapted</w:t>
            </w:r>
            <w:r w:rsidRPr="00850BE4">
              <w:rPr>
                <w:i/>
                <w:iCs/>
              </w:rPr>
              <w:t xml:space="preserve"> from paragraph 6 of recommendation </w:t>
            </w:r>
            <w:hyperlink r:id="rId23" w:history="1">
              <w:r w:rsidRPr="000433B9">
                <w:rPr>
                  <w:rStyle w:val="Hyperlink"/>
                </w:rPr>
                <w:t>6/9</w:t>
              </w:r>
            </w:hyperlink>
            <w:r w:rsidRPr="00850BE4">
              <w:rPr>
                <w:i/>
                <w:iCs/>
              </w:rPr>
              <w:t xml:space="preserve"> of the Subsidiary Body on Implementation</w:t>
            </w:r>
            <w:r w:rsidR="00CE7B89" w:rsidRPr="00850BE4">
              <w:rPr>
                <w:i/>
                <w:iCs/>
              </w:rPr>
              <w:t>.</w:t>
            </w:r>
          </w:p>
        </w:tc>
      </w:tr>
    </w:tbl>
    <w:p w14:paraId="0BD01DED" w14:textId="6A145FCE" w:rsidR="0061439E" w:rsidRPr="00850BE4" w:rsidRDefault="003F6A68" w:rsidP="003F6A68">
      <w:pPr>
        <w:pStyle w:val="CBDcompilationH2"/>
        <w:rPr>
          <w:snapToGrid w:val="0"/>
        </w:rPr>
      </w:pPr>
      <w:r w:rsidRPr="00850BE4">
        <w:rPr>
          <w:snapToGrid w:val="0"/>
        </w:rPr>
        <w:t>Administration of the Cartagena Protocol and budget for the trust funds</w:t>
      </w:r>
    </w:p>
    <w:p w14:paraId="570545E2" w14:textId="77777777" w:rsidR="001458DC" w:rsidRPr="00850BE4" w:rsidRDefault="001458DC" w:rsidP="007A59F7">
      <w:pPr>
        <w:pStyle w:val="CBDNormalNoNumber"/>
        <w:tabs>
          <w:tab w:val="clear" w:pos="567"/>
          <w:tab w:val="clear" w:pos="1134"/>
        </w:tabs>
        <w:ind w:firstLine="567"/>
      </w:pPr>
      <w:r w:rsidRPr="00850BE4">
        <w:rPr>
          <w:i/>
          <w:iCs/>
        </w:rPr>
        <w:t>The Conference of the Parties serving as the meeting of the Parties to the Cartagena Protocol</w:t>
      </w:r>
      <w:r w:rsidRPr="00850BE4">
        <w:t>,</w:t>
      </w:r>
    </w:p>
    <w:p w14:paraId="0056DAC7" w14:textId="3F2B9679" w:rsidR="001458DC" w:rsidRPr="00850BE4" w:rsidRDefault="001458DC" w:rsidP="001458DC">
      <w:pPr>
        <w:pStyle w:val="CBDNormalNoNumber"/>
        <w:tabs>
          <w:tab w:val="clear" w:pos="567"/>
          <w:tab w:val="clear" w:pos="1134"/>
        </w:tabs>
        <w:ind w:firstLine="567"/>
      </w:pPr>
      <w:r w:rsidRPr="00850BE4">
        <w:rPr>
          <w:i/>
          <w:iCs/>
        </w:rPr>
        <w:t>Recalling</w:t>
      </w:r>
      <w:r w:rsidRPr="00850BE4">
        <w:t xml:space="preserve"> decision </w:t>
      </w:r>
      <w:hyperlink r:id="rId24" w:history="1">
        <w:r w:rsidRPr="00850BE4">
          <w:rPr>
            <w:rStyle w:val="Hyperlink"/>
          </w:rPr>
          <w:t>CP-11/11</w:t>
        </w:r>
      </w:hyperlink>
      <w:r w:rsidRPr="00850BE4">
        <w:t xml:space="preserve"> of 6 December 2024,</w:t>
      </w:r>
    </w:p>
    <w:p w14:paraId="1F13B872" w14:textId="55977543" w:rsidR="001458DC" w:rsidRPr="00850BE4" w:rsidRDefault="001458DC" w:rsidP="001458DC">
      <w:pPr>
        <w:pStyle w:val="CBDNormalNoNumber"/>
        <w:tabs>
          <w:tab w:val="clear" w:pos="567"/>
          <w:tab w:val="clear" w:pos="1134"/>
        </w:tabs>
        <w:ind w:firstLine="567"/>
      </w:pPr>
      <w:r w:rsidRPr="00850BE4">
        <w:rPr>
          <w:i/>
          <w:iCs/>
        </w:rPr>
        <w:t>Having considered</w:t>
      </w:r>
      <w:r w:rsidRPr="00850BE4">
        <w:t xml:space="preserve"> the information contained in documents prepared by the Secretariat of the Convention on Biological Diversity</w:t>
      </w:r>
      <w:r w:rsidRPr="00850BE4">
        <w:rPr>
          <w:rStyle w:val="FootnoteReference"/>
        </w:rPr>
        <w:footnoteReference w:id="6"/>
      </w:r>
      <w:r w:rsidRPr="00850BE4">
        <w:t xml:space="preserve"> related to the item on the administration of the Cartagena Protocol on Biosafety</w:t>
      </w:r>
      <w:r w:rsidRPr="00850BE4">
        <w:rPr>
          <w:rStyle w:val="FootnoteReference"/>
        </w:rPr>
        <w:footnoteReference w:id="7"/>
      </w:r>
      <w:r w:rsidRPr="00850BE4">
        <w:t xml:space="preserve"> and budget for the trust funds on the agenda of its twelfth meeting,</w:t>
      </w:r>
      <w:r w:rsidRPr="00850BE4">
        <w:rPr>
          <w:rStyle w:val="FootnoteReference"/>
        </w:rPr>
        <w:footnoteReference w:id="8"/>
      </w:r>
    </w:p>
    <w:p w14:paraId="2C577372" w14:textId="1319ECF8" w:rsidR="001458DC" w:rsidRPr="00850BE4" w:rsidRDefault="001458DC" w:rsidP="001458DC">
      <w:pPr>
        <w:pStyle w:val="CBDNormalNoNumber"/>
        <w:tabs>
          <w:tab w:val="clear" w:pos="567"/>
          <w:tab w:val="clear" w:pos="1134"/>
        </w:tabs>
        <w:ind w:firstLine="567"/>
      </w:pPr>
      <w:r w:rsidRPr="00850BE4">
        <w:rPr>
          <w:i/>
          <w:iCs/>
        </w:rPr>
        <w:t>Welcoming with appreciation</w:t>
      </w:r>
      <w:r w:rsidRPr="00850BE4">
        <w:t xml:space="preserve"> the financial contributions from developed country Parties to the special voluntary trust funds to facilitate the participation of Parties and indigenous peoples and local communities in the processes of the Convention and its Protocols,</w:t>
      </w:r>
    </w:p>
    <w:p w14:paraId="31F496DC" w14:textId="77777777" w:rsidR="001458DC" w:rsidRPr="00850BE4" w:rsidRDefault="001458DC" w:rsidP="001458DC">
      <w:pPr>
        <w:pStyle w:val="CBDNormalNoNumber"/>
        <w:tabs>
          <w:tab w:val="clear" w:pos="567"/>
          <w:tab w:val="clear" w:pos="1134"/>
        </w:tabs>
        <w:ind w:firstLine="567"/>
      </w:pPr>
      <w:r w:rsidRPr="00850BE4">
        <w:rPr>
          <w:i/>
          <w:iCs/>
        </w:rPr>
        <w:t>Recognizing</w:t>
      </w:r>
      <w:r w:rsidRPr="00850BE4">
        <w:t xml:space="preserve"> the fiscal constraints on Parties, and noting with concern that the participation of developing country Parties, in particular the least developed countries and the small island developing States among them, and Parties with economies in transition in meetings held under the Convention and its Protocols has been adversely affected by the lack of predictable and sustainable funding,</w:t>
      </w:r>
    </w:p>
    <w:p w14:paraId="0F4C437A" w14:textId="71D316B9" w:rsidR="001458DC" w:rsidRPr="00850BE4" w:rsidRDefault="001458DC" w:rsidP="001458DC">
      <w:pPr>
        <w:pStyle w:val="CBDNormalNoNumber"/>
        <w:tabs>
          <w:tab w:val="clear" w:pos="567"/>
          <w:tab w:val="clear" w:pos="1134"/>
        </w:tabs>
        <w:ind w:firstLine="567"/>
      </w:pPr>
      <w:r w:rsidRPr="00850BE4">
        <w:t>1.</w:t>
      </w:r>
      <w:r w:rsidRPr="00850BE4">
        <w:tab/>
      </w:r>
      <w:r w:rsidRPr="00850BE4">
        <w:rPr>
          <w:i/>
          <w:iCs/>
        </w:rPr>
        <w:t>Decides</w:t>
      </w:r>
      <w:r w:rsidRPr="00850BE4">
        <w:t xml:space="preserve"> to adopt an integrated programme of work and budget for the Convention on Biological Diversity, the Cartagena Protocol on Biosafety and the Nagoya Protocol on Access to Genetic Resources and the Fair and Equitable Sharing of Benefits Arising from Their Utilization</w:t>
      </w:r>
      <w:r w:rsidRPr="00850BE4">
        <w:rPr>
          <w:rStyle w:val="FootnoteReference"/>
        </w:rPr>
        <w:footnoteReference w:id="9"/>
      </w:r>
      <w:r w:rsidRPr="00850BE4">
        <w:t xml:space="preserve"> for the biennium 2027–2028;</w:t>
      </w:r>
    </w:p>
    <w:p w14:paraId="7BC552B8" w14:textId="77777777" w:rsidR="001458DC" w:rsidRPr="00850BE4" w:rsidRDefault="001458DC" w:rsidP="001458DC">
      <w:pPr>
        <w:pStyle w:val="CBDNormalNoNumber"/>
        <w:tabs>
          <w:tab w:val="clear" w:pos="567"/>
          <w:tab w:val="clear" w:pos="1134"/>
        </w:tabs>
        <w:ind w:firstLine="567"/>
      </w:pPr>
      <w:r w:rsidRPr="00850BE4">
        <w:t>2.</w:t>
      </w:r>
      <w:r w:rsidRPr="00850BE4">
        <w:rPr>
          <w:i/>
          <w:iCs/>
        </w:rPr>
        <w:tab/>
        <w:t>Also decides</w:t>
      </w:r>
      <w:r w:rsidRPr="00850BE4">
        <w:t xml:space="preserve"> to share all costs for secretariat services among the Convention, the Cartagena Protocol and the Nagoya Protocol on a ratio of 72 to 15 to 13 for the biennium 2027–2028;</w:t>
      </w:r>
    </w:p>
    <w:p w14:paraId="5C034DE9" w14:textId="43E9FAFA" w:rsidR="001458DC" w:rsidRPr="00850BE4" w:rsidRDefault="001458DC" w:rsidP="00E2449C">
      <w:pPr>
        <w:pStyle w:val="CBDNormalNoNumber"/>
        <w:tabs>
          <w:tab w:val="clear" w:pos="567"/>
          <w:tab w:val="clear" w:pos="1134"/>
        </w:tabs>
        <w:ind w:firstLine="567"/>
      </w:pPr>
      <w:r w:rsidRPr="00850BE4">
        <w:rPr>
          <w:rFonts w:asciiTheme="majorBidi" w:hAnsiTheme="majorBidi" w:cstheme="majorBidi"/>
        </w:rPr>
        <w:t>3.</w:t>
      </w:r>
      <w:r w:rsidRPr="00850BE4">
        <w:rPr>
          <w:rFonts w:asciiTheme="majorBidi" w:hAnsiTheme="majorBidi" w:cstheme="majorBidi"/>
          <w:i/>
          <w:iCs/>
        </w:rPr>
        <w:tab/>
        <w:t>Approves</w:t>
      </w:r>
      <w:r w:rsidRPr="00850BE4">
        <w:rPr>
          <w:rFonts w:asciiTheme="majorBidi" w:hAnsiTheme="majorBidi" w:cstheme="majorBidi"/>
        </w:rPr>
        <w:t xml:space="preserve"> </w:t>
      </w:r>
      <w:r w:rsidRPr="00850BE4">
        <w:t xml:space="preserve">a core programme budget for the General Trust Fund </w:t>
      </w:r>
      <w:r w:rsidR="00E2449C" w:rsidRPr="00850BE4">
        <w:t xml:space="preserve">for the Core Programme Budget </w:t>
      </w:r>
      <w:r w:rsidRPr="00850BE4">
        <w:t xml:space="preserve">for the Cartagena Protocol of </w:t>
      </w:r>
      <w:r w:rsidRPr="00850BE4">
        <w:rPr>
          <w:rFonts w:asciiTheme="majorBidi" w:hAnsiTheme="majorBidi" w:cstheme="majorBidi"/>
        </w:rPr>
        <w:t>XX </w:t>
      </w:r>
      <w:r w:rsidRPr="00850BE4">
        <w:t xml:space="preserve">United States dollars for 2027 and </w:t>
      </w:r>
      <w:r w:rsidRPr="00850BE4">
        <w:rPr>
          <w:rFonts w:asciiTheme="majorBidi" w:hAnsiTheme="majorBidi" w:cstheme="majorBidi"/>
        </w:rPr>
        <w:t>XX </w:t>
      </w:r>
      <w:r w:rsidRPr="00850BE4">
        <w:t xml:space="preserve">dollars for 2028, representing 15 per cent of the integrated budget of </w:t>
      </w:r>
      <w:r w:rsidRPr="00850BE4">
        <w:rPr>
          <w:rFonts w:asciiTheme="majorBidi" w:hAnsiTheme="majorBidi" w:cstheme="majorBidi"/>
        </w:rPr>
        <w:t>XX</w:t>
      </w:r>
      <w:r w:rsidRPr="00850BE4">
        <w:t xml:space="preserve"> dollars for 2027 and </w:t>
      </w:r>
      <w:r w:rsidRPr="00850BE4">
        <w:rPr>
          <w:rFonts w:asciiTheme="majorBidi" w:hAnsiTheme="majorBidi" w:cstheme="majorBidi"/>
        </w:rPr>
        <w:t>XX</w:t>
      </w:r>
      <w:r w:rsidRPr="00850BE4">
        <w:t> dollars for 2028 for the Convention and its Protocols, for the purposes listed in tables </w:t>
      </w:r>
      <w:r w:rsidRPr="007A59F7">
        <w:t>XX</w:t>
      </w:r>
      <w:r w:rsidRPr="00850BE4">
        <w:t xml:space="preserve"> and XX below;</w:t>
      </w:r>
    </w:p>
    <w:p w14:paraId="05D0C13C" w14:textId="1B6AD74C" w:rsidR="001458DC" w:rsidRPr="00850BE4" w:rsidRDefault="001458DC" w:rsidP="001458DC">
      <w:pPr>
        <w:pStyle w:val="CBDNormalNoNumber"/>
        <w:tabs>
          <w:tab w:val="clear" w:pos="567"/>
          <w:tab w:val="clear" w:pos="1134"/>
        </w:tabs>
        <w:ind w:firstLine="567"/>
      </w:pPr>
      <w:r w:rsidRPr="00850BE4">
        <w:t>4.</w:t>
      </w:r>
      <w:r w:rsidRPr="00850BE4">
        <w:tab/>
      </w:r>
      <w:r w:rsidRPr="00850BE4">
        <w:rPr>
          <w:i/>
          <w:iCs/>
        </w:rPr>
        <w:t>Adopts</w:t>
      </w:r>
      <w:r w:rsidRPr="00850BE4">
        <w:t xml:space="preserve"> the scale of assessments for the apportionment of expenses for 2027 and 2028, in accordance with the scale of assessments of the United Nations,</w:t>
      </w:r>
      <w:r w:rsidRPr="00850BE4">
        <w:rPr>
          <w:rStyle w:val="FootnoteReference"/>
          <w:rFonts w:asciiTheme="majorBidi" w:hAnsiTheme="majorBidi" w:cstheme="majorBidi"/>
        </w:rPr>
        <w:footnoteReference w:id="10"/>
      </w:r>
      <w:r w:rsidRPr="00850BE4">
        <w:t xml:space="preserve"> as contained in the annex to the present decision;</w:t>
      </w:r>
      <w:r w:rsidR="007218D0">
        <w:rPr>
          <w:rStyle w:val="FootnoteReference"/>
        </w:rPr>
        <w:footnoteReference w:id="11"/>
      </w:r>
    </w:p>
    <w:p w14:paraId="3491C941" w14:textId="0AAE78EF" w:rsidR="001458DC" w:rsidRPr="00850BE4" w:rsidRDefault="001458DC" w:rsidP="001458DC">
      <w:pPr>
        <w:pStyle w:val="CBDNormalNoNumber"/>
        <w:tabs>
          <w:tab w:val="clear" w:pos="567"/>
          <w:tab w:val="clear" w:pos="1134"/>
        </w:tabs>
        <w:ind w:firstLine="567"/>
      </w:pPr>
      <w:r w:rsidRPr="00850BE4">
        <w:t>5.</w:t>
      </w:r>
      <w:r w:rsidRPr="00850BE4">
        <w:tab/>
      </w:r>
      <w:r w:rsidRPr="00850BE4">
        <w:rPr>
          <w:i/>
          <w:iCs/>
        </w:rPr>
        <w:t>Takes note</w:t>
      </w:r>
      <w:r w:rsidRPr="00850BE4">
        <w:t xml:space="preserve"> of the executive summary of the report on the external in-depth functional review of the Secretariat</w:t>
      </w:r>
      <w:r w:rsidRPr="00850BE4">
        <w:rPr>
          <w:rStyle w:val="FootnoteReference"/>
        </w:rPr>
        <w:footnoteReference w:id="12"/>
      </w:r>
      <w:r w:rsidRPr="00850BE4">
        <w:t xml:space="preserve"> and the progress report on the functional review;</w:t>
      </w:r>
      <w:r w:rsidRPr="00850BE4">
        <w:rPr>
          <w:rStyle w:val="FootnoteReference"/>
        </w:rPr>
        <w:footnoteReference w:id="13"/>
      </w:r>
    </w:p>
    <w:p w14:paraId="29657929" w14:textId="579A60D2" w:rsidR="001458DC" w:rsidRPr="007A59F7" w:rsidRDefault="001458DC" w:rsidP="001458DC">
      <w:pPr>
        <w:pStyle w:val="CBDNormalNoNumber"/>
        <w:tabs>
          <w:tab w:val="clear" w:pos="567"/>
          <w:tab w:val="clear" w:pos="1134"/>
        </w:tabs>
        <w:ind w:firstLine="567"/>
      </w:pPr>
      <w:r w:rsidRPr="00850BE4">
        <w:lastRenderedPageBreak/>
        <w:t>6.</w:t>
      </w:r>
      <w:r w:rsidRPr="00850BE4">
        <w:tab/>
      </w:r>
      <w:r w:rsidRPr="00850BE4">
        <w:rPr>
          <w:i/>
          <w:iCs/>
        </w:rPr>
        <w:t>Decides</w:t>
      </w:r>
      <w:r w:rsidRPr="00850BE4">
        <w:t xml:space="preserve"> to apply paragraphs 4, 5 and 7 to 36 of decision 17/-- of the Conference of the Parties to the Convention on the administration of the Convention and budget for the trust funds, mutatis mutandis.</w:t>
      </w:r>
    </w:p>
    <w:p w14:paraId="27E076C5" w14:textId="77777777" w:rsidR="00DD112C" w:rsidRPr="007A59F7" w:rsidRDefault="00DD112C" w:rsidP="00E612A5">
      <w:pPr>
        <w:pStyle w:val="CBDAgendaItem"/>
        <w:rPr>
          <w:rFonts w:hint="eastAsia"/>
        </w:rPr>
      </w:pPr>
    </w:p>
    <w:p w14:paraId="4376474E" w14:textId="77777777" w:rsidR="004016B7" w:rsidRPr="00850BE4" w:rsidRDefault="004016B7" w:rsidP="00E612A5">
      <w:pPr>
        <w:pStyle w:val="CBDAgendaItem"/>
        <w:rPr>
          <w:rFonts w:hint="eastAsia"/>
        </w:rPr>
      </w:pPr>
    </w:p>
    <w:p w14:paraId="2D93EC6D" w14:textId="77777777" w:rsidR="004016B7" w:rsidRPr="00850BE4" w:rsidRDefault="004016B7" w:rsidP="00E612A5">
      <w:pPr>
        <w:pStyle w:val="CBDAgendaItem"/>
        <w:rPr>
          <w:rFonts w:hint="eastAsia"/>
        </w:rPr>
        <w:sectPr w:rsidR="004016B7" w:rsidRPr="00850BE4" w:rsidSect="00361D55">
          <w:pgSz w:w="12240" w:h="15840"/>
          <w:pgMar w:top="567" w:right="1440" w:bottom="1134" w:left="1440" w:header="709" w:footer="709" w:gutter="0"/>
          <w:cols w:space="708"/>
          <w:docGrid w:linePitch="360"/>
        </w:sectPr>
      </w:pPr>
    </w:p>
    <w:p w14:paraId="66440CEE" w14:textId="114BC635" w:rsidR="00E612A5" w:rsidRPr="00850BE4" w:rsidRDefault="00E612A5" w:rsidP="00E612A5">
      <w:pPr>
        <w:pStyle w:val="CBDAgendaItem"/>
        <w:rPr>
          <w:rFonts w:hint="eastAsia"/>
          <w:sz w:val="26"/>
          <w:szCs w:val="26"/>
        </w:rPr>
      </w:pPr>
      <w:bookmarkStart w:id="5" w:name="_Toc241483688"/>
      <w:r w:rsidRPr="00850BE4">
        <w:rPr>
          <w:sz w:val="26"/>
          <w:szCs w:val="26"/>
        </w:rPr>
        <w:lastRenderedPageBreak/>
        <w:t xml:space="preserve">Item 7 </w:t>
      </w:r>
      <w:r w:rsidRPr="00850BE4">
        <w:rPr>
          <w:sz w:val="26"/>
          <w:szCs w:val="26"/>
        </w:rPr>
        <w:br/>
        <w:t>Monitoring and reporting</w:t>
      </w:r>
      <w:bookmarkEnd w:id="5"/>
    </w:p>
    <w:tbl>
      <w:tblPr>
        <w:tblStyle w:val="TableGrid"/>
        <w:tblW w:w="0" w:type="auto"/>
        <w:tblLook w:val="04A0" w:firstRow="1" w:lastRow="0" w:firstColumn="1" w:lastColumn="0" w:noHBand="0" w:noVBand="1"/>
      </w:tblPr>
      <w:tblGrid>
        <w:gridCol w:w="9360"/>
      </w:tblGrid>
      <w:tr w:rsidR="006470A9" w:rsidRPr="00850BE4" w14:paraId="19F67E84" w14:textId="77777777" w:rsidTr="00E56E5C">
        <w:tc>
          <w:tcPr>
            <w:tcW w:w="9360" w:type="dxa"/>
            <w:tcBorders>
              <w:left w:val="nil"/>
              <w:right w:val="nil"/>
            </w:tcBorders>
          </w:tcPr>
          <w:p w14:paraId="43972F18" w14:textId="72BD6E86" w:rsidR="006470A9" w:rsidRPr="00850BE4" w:rsidRDefault="00E53900" w:rsidP="00872155">
            <w:pPr>
              <w:pStyle w:val="CBDNormalNumber"/>
              <w:numPr>
                <w:ilvl w:val="0"/>
                <w:numId w:val="0"/>
              </w:numPr>
              <w:ind w:firstLine="596"/>
              <w:rPr>
                <w:i/>
                <w:iCs/>
              </w:rPr>
            </w:pPr>
            <w:r w:rsidRPr="00850BE4">
              <w:rPr>
                <w:i/>
                <w:iCs/>
              </w:rPr>
              <w:t xml:space="preserve">The following draft decision has been reproduced from document </w:t>
            </w:r>
            <w:hyperlink r:id="rId25" w:history="1">
              <w:r w:rsidRPr="00850BE4">
                <w:rPr>
                  <w:rStyle w:val="Hyperlink"/>
                  <w:i/>
                  <w:iCs/>
                </w:rPr>
                <w:t>CBD/CP/MOP/12/6</w:t>
              </w:r>
            </w:hyperlink>
            <w:r w:rsidR="00CA6208" w:rsidRPr="00850BE4">
              <w:rPr>
                <w:i/>
                <w:iCs/>
              </w:rPr>
              <w:t>.</w:t>
            </w:r>
          </w:p>
        </w:tc>
      </w:tr>
    </w:tbl>
    <w:p w14:paraId="1FF301A5" w14:textId="2CC582BB" w:rsidR="006470A9" w:rsidRPr="00850BE4" w:rsidRDefault="000D6F94" w:rsidP="00417545">
      <w:pPr>
        <w:pStyle w:val="CBDcompilationH2"/>
      </w:pPr>
      <w:r w:rsidRPr="00850BE4">
        <w:t>Monitoring and reporting</w:t>
      </w:r>
    </w:p>
    <w:p w14:paraId="10152757" w14:textId="77777777" w:rsidR="000E22EA" w:rsidRPr="00850BE4" w:rsidRDefault="000E22EA" w:rsidP="00BA5260">
      <w:pPr>
        <w:pStyle w:val="CBDNormalNumber"/>
        <w:numPr>
          <w:ilvl w:val="0"/>
          <w:numId w:val="0"/>
        </w:numPr>
        <w:ind w:left="567" w:firstLine="567"/>
        <w:rPr>
          <w:i/>
          <w:iCs/>
        </w:rPr>
      </w:pPr>
      <w:r w:rsidRPr="00850BE4">
        <w:rPr>
          <w:i/>
          <w:iCs/>
        </w:rPr>
        <w:t>The Conference of the Parties serving as the meeting of the Parties to the Cartagena Protocol</w:t>
      </w:r>
      <w:r w:rsidRPr="00850BE4">
        <w:t>,</w:t>
      </w:r>
    </w:p>
    <w:p w14:paraId="1692F2A6" w14:textId="77777777" w:rsidR="000E22EA" w:rsidRPr="00850BE4" w:rsidRDefault="000E22EA" w:rsidP="000E22EA">
      <w:pPr>
        <w:pStyle w:val="CBDNormalNumber"/>
        <w:numPr>
          <w:ilvl w:val="0"/>
          <w:numId w:val="0"/>
        </w:numPr>
        <w:ind w:left="567"/>
      </w:pPr>
      <w:r w:rsidRPr="00850BE4">
        <w:rPr>
          <w:i/>
          <w:iCs/>
        </w:rPr>
        <w:tab/>
        <w:t>Recalling</w:t>
      </w:r>
      <w:r w:rsidRPr="00850BE4">
        <w:t xml:space="preserve"> Article 33 of the Cartagena Protocol on Biosafety</w:t>
      </w:r>
      <w:r w:rsidRPr="00850BE4">
        <w:rPr>
          <w:rStyle w:val="FootnoteReference"/>
        </w:rPr>
        <w:footnoteReference w:id="14"/>
      </w:r>
      <w:r w:rsidRPr="00850BE4">
        <w:t xml:space="preserve"> and its decision </w:t>
      </w:r>
      <w:hyperlink r:id="rId26" w:history="1">
        <w:r w:rsidRPr="00850BE4">
          <w:rPr>
            <w:rStyle w:val="Hyperlink"/>
          </w:rPr>
          <w:t>CP-10/9</w:t>
        </w:r>
      </w:hyperlink>
      <w:r w:rsidRPr="00850BE4">
        <w:t xml:space="preserve"> of 10 December 2022, in which it requested Parties to submit to the Secretariat their fifth national reports on the implementation of the Protocol,</w:t>
      </w:r>
    </w:p>
    <w:p w14:paraId="1E738D11" w14:textId="77777777" w:rsidR="000E22EA" w:rsidRPr="00850BE4" w:rsidRDefault="000E22EA" w:rsidP="000E22EA">
      <w:pPr>
        <w:pStyle w:val="CBDNormalNumber"/>
        <w:numPr>
          <w:ilvl w:val="0"/>
          <w:numId w:val="0"/>
        </w:numPr>
        <w:ind w:left="567" w:firstLine="567"/>
      </w:pPr>
      <w:r w:rsidRPr="00850BE4">
        <w:t>1.</w:t>
      </w:r>
      <w:r w:rsidRPr="00850BE4">
        <w:tab/>
      </w:r>
      <w:r w:rsidRPr="00850BE4">
        <w:rPr>
          <w:i/>
          <w:iCs/>
        </w:rPr>
        <w:t>Welcomes</w:t>
      </w:r>
      <w:r w:rsidRPr="00850BE4">
        <w:t xml:space="preserve"> the fact that more than two thirds of Parties submitted their fifth national reports on the implementation of the Cartagena Protocol by the reporting deadline; </w:t>
      </w:r>
    </w:p>
    <w:p w14:paraId="51F798F2" w14:textId="77777777" w:rsidR="000E22EA" w:rsidRPr="00850BE4" w:rsidRDefault="000E22EA" w:rsidP="000E22EA">
      <w:pPr>
        <w:pStyle w:val="CBDNormalNumber"/>
        <w:numPr>
          <w:ilvl w:val="0"/>
          <w:numId w:val="0"/>
        </w:numPr>
        <w:ind w:left="567" w:firstLine="567"/>
      </w:pPr>
      <w:r w:rsidRPr="00850BE4">
        <w:t>2.</w:t>
      </w:r>
      <w:r w:rsidRPr="00850BE4">
        <w:tab/>
      </w:r>
      <w:r w:rsidRPr="00850BE4">
        <w:rPr>
          <w:i/>
          <w:iCs/>
        </w:rPr>
        <w:t>Reminds</w:t>
      </w:r>
      <w:r w:rsidRPr="00850BE4">
        <w:t xml:space="preserve"> Parties that have not yet submitted their fifth national reports to do so as soon as possible through the Biosafety </w:t>
      </w:r>
      <w:proofErr w:type="gramStart"/>
      <w:r w:rsidRPr="00850BE4">
        <w:t>Clearing-House</w:t>
      </w:r>
      <w:proofErr w:type="gramEnd"/>
      <w:r w:rsidRPr="00850BE4">
        <w:t>;</w:t>
      </w:r>
    </w:p>
    <w:p w14:paraId="22B3589A" w14:textId="77777777" w:rsidR="000E22EA" w:rsidRPr="00850BE4" w:rsidRDefault="000E22EA" w:rsidP="000E22EA">
      <w:pPr>
        <w:pStyle w:val="CBDNormalNumber"/>
        <w:numPr>
          <w:ilvl w:val="0"/>
          <w:numId w:val="0"/>
        </w:numPr>
        <w:ind w:left="567" w:firstLine="567"/>
      </w:pPr>
      <w:r w:rsidRPr="00850BE4">
        <w:t>3.</w:t>
      </w:r>
      <w:r w:rsidRPr="00850BE4">
        <w:tab/>
      </w:r>
      <w:r w:rsidRPr="00850BE4">
        <w:rPr>
          <w:i/>
          <w:iCs/>
        </w:rPr>
        <w:t>Expresses</w:t>
      </w:r>
      <w:r w:rsidRPr="00850BE4">
        <w:t xml:space="preserve"> its appreciation to the Global Environment Facility and the United Nations Environment Programme for the support provided to eligible Parties for the preparation and submission of their fifth national reports;</w:t>
      </w:r>
    </w:p>
    <w:p w14:paraId="555AD9DF" w14:textId="77777777" w:rsidR="000E22EA" w:rsidRPr="00850BE4" w:rsidRDefault="000E22EA" w:rsidP="000E22EA">
      <w:pPr>
        <w:pStyle w:val="CBDNormalNumber"/>
        <w:numPr>
          <w:ilvl w:val="0"/>
          <w:numId w:val="0"/>
        </w:numPr>
        <w:ind w:left="567" w:firstLine="567"/>
      </w:pPr>
      <w:r w:rsidRPr="00850BE4">
        <w:t>4.</w:t>
      </w:r>
      <w:r w:rsidRPr="00850BE4">
        <w:tab/>
      </w:r>
      <w:r w:rsidRPr="00850BE4">
        <w:rPr>
          <w:i/>
          <w:iCs/>
        </w:rPr>
        <w:t>Notes</w:t>
      </w:r>
      <w:r w:rsidRPr="00850BE4">
        <w:t xml:space="preserve"> that the sixth national reports will be due by 30 June 2029;</w:t>
      </w:r>
    </w:p>
    <w:p w14:paraId="281DFB60" w14:textId="65D5CD8D" w:rsidR="00B9705D" w:rsidRPr="00850BE4" w:rsidRDefault="000E22EA" w:rsidP="003F2135">
      <w:pPr>
        <w:pStyle w:val="CBDNormalNumber"/>
        <w:numPr>
          <w:ilvl w:val="0"/>
          <w:numId w:val="0"/>
        </w:numPr>
        <w:ind w:left="567" w:firstLine="567"/>
      </w:pPr>
      <w:r w:rsidRPr="00850BE4">
        <w:t>5.</w:t>
      </w:r>
      <w:r w:rsidRPr="00850BE4">
        <w:tab/>
      </w:r>
      <w:r w:rsidRPr="00850BE4">
        <w:rPr>
          <w:i/>
          <w:iCs/>
        </w:rPr>
        <w:t xml:space="preserve">Requests </w:t>
      </w:r>
      <w:r w:rsidRPr="00850BE4">
        <w:t>the Executive Secretary to prepare the format for the sixth national report, taking into account the comments provided by Parties in the fifth national reports, while maintaining continuity in the questions in order to facilitate the measurement of progress against the indicators in the implementation plan for the Cartagena Protocol,</w:t>
      </w:r>
      <w:r w:rsidRPr="00850BE4">
        <w:rPr>
          <w:rStyle w:val="FootnoteReference"/>
        </w:rPr>
        <w:footnoteReference w:id="15"/>
      </w:r>
      <w:r w:rsidRPr="00850BE4">
        <w:t xml:space="preserve"> and to submit the format for consideration by the Conference of the Parties serving as the meeting of the Parties to the Protocol at its thirteenth meeting.</w:t>
      </w:r>
    </w:p>
    <w:p w14:paraId="7154C064" w14:textId="73AA29FC" w:rsidR="00E10477" w:rsidRPr="00850BE4" w:rsidRDefault="00E10477" w:rsidP="007008B9">
      <w:pPr>
        <w:pStyle w:val="CBDNormalNumber"/>
        <w:numPr>
          <w:ilvl w:val="0"/>
          <w:numId w:val="0"/>
        </w:numPr>
        <w:ind w:left="567"/>
      </w:pPr>
    </w:p>
    <w:p w14:paraId="14E04949" w14:textId="77777777" w:rsidR="00111086" w:rsidRPr="00850BE4" w:rsidRDefault="00111086" w:rsidP="00E612A5">
      <w:pPr>
        <w:pStyle w:val="CBDAgendaItem"/>
        <w:rPr>
          <w:rFonts w:hint="eastAsia"/>
        </w:rPr>
        <w:sectPr w:rsidR="00111086" w:rsidRPr="00850BE4" w:rsidSect="00361D55">
          <w:pgSz w:w="12240" w:h="15840"/>
          <w:pgMar w:top="567" w:right="1440" w:bottom="1134" w:left="1440" w:header="709" w:footer="709" w:gutter="0"/>
          <w:cols w:space="708"/>
          <w:docGrid w:linePitch="360"/>
        </w:sectPr>
      </w:pPr>
    </w:p>
    <w:p w14:paraId="062837E9" w14:textId="24372B38" w:rsidR="00E612A5" w:rsidRPr="00850BE4" w:rsidRDefault="00E612A5" w:rsidP="00E612A5">
      <w:pPr>
        <w:pStyle w:val="CBDAgendaItem"/>
        <w:rPr>
          <w:rFonts w:hint="eastAsia"/>
          <w:sz w:val="26"/>
          <w:szCs w:val="26"/>
        </w:rPr>
      </w:pPr>
      <w:bookmarkStart w:id="6" w:name="_Toc241483689"/>
      <w:r w:rsidRPr="00850BE4">
        <w:rPr>
          <w:sz w:val="26"/>
          <w:szCs w:val="26"/>
        </w:rPr>
        <w:lastRenderedPageBreak/>
        <w:t xml:space="preserve">Item 8 </w:t>
      </w:r>
      <w:r w:rsidRPr="00850BE4">
        <w:rPr>
          <w:sz w:val="26"/>
          <w:szCs w:val="26"/>
        </w:rPr>
        <w:br/>
        <w:t xml:space="preserve">Assessment and review of the effectiveness of the Cartagena Protocol </w:t>
      </w:r>
      <w:r w:rsidR="003E6BBD" w:rsidRPr="00850BE4">
        <w:rPr>
          <w:sz w:val="26"/>
          <w:szCs w:val="26"/>
        </w:rPr>
        <w:br/>
      </w:r>
      <w:r w:rsidRPr="00850BE4">
        <w:rPr>
          <w:sz w:val="26"/>
          <w:szCs w:val="26"/>
        </w:rPr>
        <w:t xml:space="preserve">and midterm evaluation of the </w:t>
      </w:r>
      <w:r w:rsidR="00D06761" w:rsidRPr="00850BE4">
        <w:rPr>
          <w:sz w:val="26"/>
          <w:szCs w:val="26"/>
        </w:rPr>
        <w:t>i</w:t>
      </w:r>
      <w:r w:rsidRPr="00850BE4">
        <w:rPr>
          <w:sz w:val="26"/>
          <w:szCs w:val="26"/>
        </w:rPr>
        <w:t xml:space="preserve">mplementation </w:t>
      </w:r>
      <w:r w:rsidR="00D06761" w:rsidRPr="00850BE4">
        <w:rPr>
          <w:sz w:val="26"/>
          <w:szCs w:val="26"/>
        </w:rPr>
        <w:t>p</w:t>
      </w:r>
      <w:r w:rsidRPr="00850BE4">
        <w:rPr>
          <w:sz w:val="26"/>
          <w:szCs w:val="26"/>
        </w:rPr>
        <w:t xml:space="preserve">lan and </w:t>
      </w:r>
      <w:r w:rsidR="003E6BBD" w:rsidRPr="00850BE4">
        <w:rPr>
          <w:sz w:val="26"/>
          <w:szCs w:val="26"/>
        </w:rPr>
        <w:br/>
      </w:r>
      <w:r w:rsidR="00D06761" w:rsidRPr="00850BE4">
        <w:rPr>
          <w:sz w:val="26"/>
          <w:szCs w:val="26"/>
        </w:rPr>
        <w:t>c</w:t>
      </w:r>
      <w:r w:rsidRPr="00850BE4">
        <w:rPr>
          <w:sz w:val="26"/>
          <w:szCs w:val="26"/>
        </w:rPr>
        <w:t>apacity</w:t>
      </w:r>
      <w:r w:rsidR="00D06761" w:rsidRPr="00850BE4">
        <w:rPr>
          <w:sz w:val="26"/>
          <w:szCs w:val="26"/>
        </w:rPr>
        <w:t>-b</w:t>
      </w:r>
      <w:r w:rsidRPr="00850BE4">
        <w:rPr>
          <w:sz w:val="26"/>
          <w:szCs w:val="26"/>
        </w:rPr>
        <w:t xml:space="preserve">uilding </w:t>
      </w:r>
      <w:r w:rsidR="00D06761" w:rsidRPr="00850BE4">
        <w:rPr>
          <w:sz w:val="26"/>
          <w:szCs w:val="26"/>
        </w:rPr>
        <w:t>a</w:t>
      </w:r>
      <w:r w:rsidRPr="00850BE4">
        <w:rPr>
          <w:sz w:val="26"/>
          <w:szCs w:val="26"/>
        </w:rPr>
        <w:t xml:space="preserve">ction </w:t>
      </w:r>
      <w:r w:rsidR="00D06761" w:rsidRPr="00850BE4">
        <w:rPr>
          <w:sz w:val="26"/>
          <w:szCs w:val="26"/>
        </w:rPr>
        <w:t>p</w:t>
      </w:r>
      <w:r w:rsidRPr="00850BE4">
        <w:rPr>
          <w:sz w:val="26"/>
          <w:szCs w:val="26"/>
        </w:rPr>
        <w:t>lan for the Protocol</w:t>
      </w:r>
      <w:bookmarkEnd w:id="6"/>
    </w:p>
    <w:tbl>
      <w:tblPr>
        <w:tblStyle w:val="TableGrid"/>
        <w:tblW w:w="0" w:type="auto"/>
        <w:tblLook w:val="04A0" w:firstRow="1" w:lastRow="0" w:firstColumn="1" w:lastColumn="0" w:noHBand="0" w:noVBand="1"/>
      </w:tblPr>
      <w:tblGrid>
        <w:gridCol w:w="9360"/>
      </w:tblGrid>
      <w:tr w:rsidR="006470A9" w:rsidRPr="00850BE4" w14:paraId="77742097" w14:textId="77777777" w:rsidTr="00E56E5C">
        <w:tc>
          <w:tcPr>
            <w:tcW w:w="9360" w:type="dxa"/>
            <w:tcBorders>
              <w:left w:val="nil"/>
              <w:right w:val="nil"/>
            </w:tcBorders>
          </w:tcPr>
          <w:p w14:paraId="7CFC55CA" w14:textId="165EC303" w:rsidR="006470A9" w:rsidRPr="00850BE4" w:rsidRDefault="009A6DFF" w:rsidP="004321FC">
            <w:pPr>
              <w:pStyle w:val="CBDNormalNumber"/>
              <w:numPr>
                <w:ilvl w:val="0"/>
                <w:numId w:val="0"/>
              </w:numPr>
              <w:ind w:firstLine="596"/>
              <w:rPr>
                <w:i/>
                <w:iCs/>
              </w:rPr>
            </w:pPr>
            <w:r w:rsidRPr="00850BE4">
              <w:rPr>
                <w:i/>
                <w:iCs/>
              </w:rPr>
              <w:t xml:space="preserve">The following draft decision has been reproduced from recommendation </w:t>
            </w:r>
            <w:hyperlink r:id="rId27" w:history="1">
              <w:r w:rsidRPr="00850BE4">
                <w:rPr>
                  <w:rStyle w:val="Hyperlink"/>
                  <w:i/>
                  <w:iCs/>
                </w:rPr>
                <w:t>7/5</w:t>
              </w:r>
            </w:hyperlink>
            <w:r w:rsidRPr="00850BE4">
              <w:rPr>
                <w:i/>
                <w:iCs/>
              </w:rPr>
              <w:t xml:space="preserve"> of the Subsidiary Body on Implementation. Paragraphs 17, 23, 24, 25, 30, 52 and 53 of the draft decision contained in recommendation </w:t>
            </w:r>
            <w:hyperlink r:id="rId28" w:history="1">
              <w:r w:rsidRPr="00850BE4">
                <w:rPr>
                  <w:rStyle w:val="Hyperlink"/>
                  <w:i/>
                  <w:iCs/>
                </w:rPr>
                <w:t>7/5</w:t>
              </w:r>
            </w:hyperlink>
            <w:r w:rsidRPr="00850BE4">
              <w:rPr>
                <w:i/>
                <w:iCs/>
              </w:rPr>
              <w:t xml:space="preserve"> will be considered under item</w:t>
            </w:r>
            <w:r>
              <w:rPr>
                <w:i/>
                <w:iCs/>
              </w:rPr>
              <w:t> </w:t>
            </w:r>
            <w:r w:rsidRPr="00850BE4">
              <w:rPr>
                <w:i/>
                <w:iCs/>
              </w:rPr>
              <w:t xml:space="preserve">9 and have been </w:t>
            </w:r>
            <w:r>
              <w:rPr>
                <w:i/>
                <w:iCs/>
              </w:rPr>
              <w:t xml:space="preserve">included in </w:t>
            </w:r>
            <w:r w:rsidRPr="00850BE4">
              <w:rPr>
                <w:i/>
                <w:iCs/>
              </w:rPr>
              <w:t xml:space="preserve">the draft decision </w:t>
            </w:r>
            <w:r>
              <w:rPr>
                <w:i/>
                <w:iCs/>
              </w:rPr>
              <w:t>under that item.</w:t>
            </w:r>
            <w:r w:rsidR="004809B6" w:rsidRPr="00850BE4">
              <w:rPr>
                <w:i/>
                <w:iCs/>
              </w:rPr>
              <w:t xml:space="preserve"> </w:t>
            </w:r>
          </w:p>
        </w:tc>
      </w:tr>
    </w:tbl>
    <w:p w14:paraId="3DF90F96" w14:textId="7CF19225" w:rsidR="00A16083" w:rsidRPr="00850BE4" w:rsidRDefault="00CE4EC8" w:rsidP="00CE4EC8">
      <w:pPr>
        <w:pStyle w:val="CBDcompilationH2"/>
      </w:pPr>
      <w:r w:rsidRPr="00850BE4">
        <w:t>Fifth assessment and review of the effectiveness of the Cartagena Protocol on Biosafety and midterm evaluation of the implementation plan and the capacity-building action plan for the Protocol</w:t>
      </w:r>
    </w:p>
    <w:p w14:paraId="2AA5ED6C" w14:textId="720B7E4C" w:rsidR="0033665E" w:rsidRPr="00850BE4" w:rsidRDefault="0033665E" w:rsidP="00CE4EC8">
      <w:pPr>
        <w:pStyle w:val="CBDNormalNumber"/>
        <w:keepNext/>
        <w:numPr>
          <w:ilvl w:val="0"/>
          <w:numId w:val="0"/>
        </w:numPr>
        <w:tabs>
          <w:tab w:val="clear" w:pos="567"/>
        </w:tabs>
        <w:ind w:left="567" w:firstLine="567"/>
      </w:pPr>
      <w:r w:rsidRPr="00850BE4">
        <w:rPr>
          <w:i/>
          <w:iCs/>
        </w:rPr>
        <w:t>The Conference of the Parties serving as the meeting of the Parties to the Cartagena Protocol</w:t>
      </w:r>
      <w:r w:rsidRPr="00850BE4">
        <w:t>,</w:t>
      </w:r>
      <w:r w:rsidRPr="00850BE4">
        <w:rPr>
          <w:i/>
          <w:iCs/>
        </w:rPr>
        <w:t xml:space="preserve"> </w:t>
      </w:r>
    </w:p>
    <w:p w14:paraId="3A9223B9" w14:textId="77777777" w:rsidR="0033665E" w:rsidRPr="00850BE4" w:rsidRDefault="0033665E" w:rsidP="00A16083">
      <w:pPr>
        <w:pStyle w:val="CBDNormalNumber"/>
        <w:numPr>
          <w:ilvl w:val="0"/>
          <w:numId w:val="0"/>
        </w:numPr>
        <w:ind w:left="567"/>
        <w:rPr>
          <w:rFonts w:eastAsia="Times New Roman"/>
          <w:color w:val="000000" w:themeColor="text1"/>
        </w:rPr>
      </w:pPr>
      <w:r w:rsidRPr="00850BE4">
        <w:rPr>
          <w:rFonts w:eastAsia="Times New Roman"/>
          <w:i/>
          <w:color w:val="000000" w:themeColor="text1"/>
        </w:rPr>
        <w:tab/>
        <w:t xml:space="preserve">Recalling </w:t>
      </w:r>
      <w:r w:rsidRPr="00850BE4">
        <w:rPr>
          <w:rFonts w:eastAsia="Times New Roman"/>
          <w:iCs/>
          <w:color w:val="000000" w:themeColor="text1"/>
        </w:rPr>
        <w:t>its</w:t>
      </w:r>
      <w:r w:rsidRPr="00850BE4">
        <w:rPr>
          <w:rFonts w:eastAsia="Times New Roman"/>
          <w:i/>
          <w:color w:val="000000" w:themeColor="text1"/>
        </w:rPr>
        <w:t xml:space="preserve"> </w:t>
      </w:r>
      <w:r w:rsidRPr="00850BE4">
        <w:rPr>
          <w:rFonts w:eastAsia="Times New Roman"/>
          <w:color w:val="000000" w:themeColor="text1"/>
        </w:rPr>
        <w:t xml:space="preserve">decisions </w:t>
      </w:r>
      <w:hyperlink r:id="rId29" w:history="1">
        <w:r w:rsidRPr="00850BE4">
          <w:rPr>
            <w:rStyle w:val="Hyperlink"/>
            <w:rFonts w:eastAsia="Times New Roman"/>
          </w:rPr>
          <w:t>CP-10/3</w:t>
        </w:r>
      </w:hyperlink>
      <w:r w:rsidRPr="00850BE4">
        <w:rPr>
          <w:rFonts w:eastAsia="Times New Roman"/>
          <w:color w:val="000000" w:themeColor="text1"/>
        </w:rPr>
        <w:t xml:space="preserve"> and </w:t>
      </w:r>
      <w:hyperlink r:id="rId30" w:history="1">
        <w:r w:rsidRPr="00850BE4">
          <w:rPr>
            <w:rStyle w:val="Hyperlink"/>
            <w:rFonts w:eastAsia="Times New Roman"/>
          </w:rPr>
          <w:t>CP-10/4</w:t>
        </w:r>
      </w:hyperlink>
      <w:r w:rsidRPr="00850BE4">
        <w:rPr>
          <w:rFonts w:eastAsia="Times New Roman"/>
          <w:color w:val="000000" w:themeColor="text1"/>
        </w:rPr>
        <w:t xml:space="preserve"> of 19 December 2022 and </w:t>
      </w:r>
      <w:hyperlink r:id="rId31" w:history="1">
        <w:r w:rsidRPr="00850BE4">
          <w:rPr>
            <w:rStyle w:val="Hyperlink"/>
            <w:rFonts w:eastAsia="Times New Roman"/>
          </w:rPr>
          <w:t>CP-10/7</w:t>
        </w:r>
      </w:hyperlink>
      <w:r w:rsidRPr="00850BE4">
        <w:rPr>
          <w:rFonts w:eastAsia="Times New Roman"/>
          <w:color w:val="000000" w:themeColor="text1"/>
        </w:rPr>
        <w:t xml:space="preserve"> of 10 December 2022,</w:t>
      </w:r>
    </w:p>
    <w:p w14:paraId="137141BB" w14:textId="46456AA2" w:rsidR="0033665E" w:rsidRPr="00850BE4" w:rsidRDefault="0033665E" w:rsidP="00A16083">
      <w:pPr>
        <w:spacing w:before="120" w:after="120"/>
        <w:ind w:left="567"/>
        <w:rPr>
          <w:rFonts w:eastAsia="Times New Roman"/>
          <w:color w:val="000000" w:themeColor="text1"/>
        </w:rPr>
      </w:pPr>
      <w:r w:rsidRPr="00850BE4">
        <w:rPr>
          <w:rFonts w:eastAsia="Times New Roman"/>
          <w:i/>
          <w:color w:val="000000" w:themeColor="text1"/>
        </w:rPr>
        <w:tab/>
        <w:t>Acknowledging with appreciation</w:t>
      </w:r>
      <w:r w:rsidRPr="00850BE4">
        <w:rPr>
          <w:rFonts w:eastAsia="Times New Roman"/>
          <w:color w:val="000000" w:themeColor="text1"/>
        </w:rPr>
        <w:t xml:space="preserve"> the analysis of information for the fifth assessment and review of the effectiveness of the Cartagena Protocol on Biosafety</w:t>
      </w:r>
      <w:r w:rsidR="001362C2" w:rsidRPr="00850BE4">
        <w:rPr>
          <w:rStyle w:val="FootnoteReference"/>
          <w:rFonts w:eastAsia="Times New Roman"/>
          <w:color w:val="000000" w:themeColor="text1"/>
        </w:rPr>
        <w:footnoteReference w:id="16"/>
      </w:r>
      <w:r w:rsidRPr="00850BE4">
        <w:rPr>
          <w:rFonts w:eastAsia="Times New Roman"/>
          <w:color w:val="000000" w:themeColor="text1"/>
        </w:rPr>
        <w:t xml:space="preserve"> and midterm evaluation </w:t>
      </w:r>
      <w:r w:rsidRPr="00850BE4">
        <w:t>of the implementation plan</w:t>
      </w:r>
      <w:r w:rsidRPr="00850BE4">
        <w:rPr>
          <w:rStyle w:val="FootnoteReference"/>
        </w:rPr>
        <w:footnoteReference w:id="17"/>
      </w:r>
      <w:r w:rsidRPr="00850BE4">
        <w:t xml:space="preserve"> and the capacity-building action plan</w:t>
      </w:r>
      <w:r w:rsidRPr="00850BE4">
        <w:rPr>
          <w:rStyle w:val="FootnoteReference"/>
        </w:rPr>
        <w:footnoteReference w:id="18"/>
      </w:r>
      <w:r w:rsidRPr="00850BE4">
        <w:t xml:space="preserve"> for the Protocol</w:t>
      </w:r>
      <w:r w:rsidRPr="00850BE4">
        <w:rPr>
          <w:rFonts w:eastAsia="Times New Roman"/>
          <w:color w:val="000000" w:themeColor="text1"/>
        </w:rPr>
        <w:t>,</w:t>
      </w:r>
      <w:r w:rsidRPr="00850BE4">
        <w:rPr>
          <w:rStyle w:val="FootnoteReference"/>
          <w:rFonts w:eastAsia="Times New Roman"/>
          <w:color w:val="000000" w:themeColor="text1"/>
        </w:rPr>
        <w:footnoteReference w:id="19"/>
      </w:r>
    </w:p>
    <w:p w14:paraId="7AF36E62" w14:textId="77777777" w:rsidR="0033665E" w:rsidRPr="00850BE4" w:rsidRDefault="0033665E" w:rsidP="00CE4EC8">
      <w:pPr>
        <w:pStyle w:val="CBDDesicionText"/>
        <w:tabs>
          <w:tab w:val="clear" w:pos="567"/>
          <w:tab w:val="left" w:pos="1170"/>
        </w:tabs>
        <w:spacing w:before="120"/>
        <w:ind w:left="567" w:firstLine="540"/>
        <w:rPr>
          <w:strike/>
        </w:rPr>
      </w:pPr>
      <w:r w:rsidRPr="00850BE4">
        <w:t>1.</w:t>
      </w:r>
      <w:r w:rsidRPr="00850BE4">
        <w:tab/>
      </w:r>
      <w:r w:rsidRPr="00850BE4">
        <w:rPr>
          <w:i/>
        </w:rPr>
        <w:t>Welcomes</w:t>
      </w:r>
      <w:r w:rsidRPr="00850BE4">
        <w:t xml:space="preserve"> the progress made in the implementation of the Cartagena Protocol on Biosafety and towards the achievement of the goals of the implementation plan and the capacity-building action plan for the Protocol;</w:t>
      </w:r>
    </w:p>
    <w:p w14:paraId="67DEA26E" w14:textId="77777777" w:rsidR="0033665E" w:rsidRPr="00850BE4" w:rsidRDefault="0033665E" w:rsidP="00CE4EC8">
      <w:pPr>
        <w:pStyle w:val="CBDDesicionText"/>
        <w:tabs>
          <w:tab w:val="clear" w:pos="567"/>
          <w:tab w:val="left" w:pos="1170"/>
        </w:tabs>
        <w:spacing w:before="120"/>
        <w:ind w:left="567" w:firstLine="540"/>
      </w:pPr>
      <w:r w:rsidRPr="00850BE4">
        <w:t>2.</w:t>
      </w:r>
      <w:r w:rsidRPr="00850BE4">
        <w:tab/>
      </w:r>
      <w:r w:rsidRPr="00850BE4">
        <w:rPr>
          <w:i/>
          <w:iCs/>
        </w:rPr>
        <w:t>Notes with concern</w:t>
      </w:r>
      <w:r w:rsidRPr="00850BE4">
        <w:t xml:space="preserve"> that important gaps persist in areas critical for the implementation of the Cartagena Protocol and that biosafety capacity-building and development remain a priority, </w:t>
      </w:r>
      <w:proofErr w:type="gramStart"/>
      <w:r w:rsidRPr="00850BE4">
        <w:t>in particular in</w:t>
      </w:r>
      <w:proofErr w:type="gramEnd"/>
      <w:r w:rsidRPr="00850BE4">
        <w:t xml:space="preserve"> risk assessment and risk management and for the detection and identification of living modified organisms;</w:t>
      </w:r>
    </w:p>
    <w:p w14:paraId="630A477A" w14:textId="77777777" w:rsidR="0033665E" w:rsidRPr="007A59F7" w:rsidRDefault="0033665E" w:rsidP="00CE4EC8">
      <w:pPr>
        <w:pStyle w:val="CBDDesicionText"/>
        <w:tabs>
          <w:tab w:val="clear" w:pos="567"/>
          <w:tab w:val="left" w:pos="1170"/>
        </w:tabs>
        <w:ind w:left="567" w:firstLine="540"/>
      </w:pPr>
      <w:r w:rsidRPr="00850BE4">
        <w:t>3.</w:t>
      </w:r>
      <w:r w:rsidRPr="00850BE4">
        <w:tab/>
      </w:r>
      <w:r w:rsidRPr="00850BE4">
        <w:rPr>
          <w:i/>
          <w:iCs/>
        </w:rPr>
        <w:t>Recognizes</w:t>
      </w:r>
      <w:r w:rsidRPr="00850BE4">
        <w:t xml:space="preserve"> that capacity-building and development and dedicated and predictable resources remain priorities for the effective implementation of the Cartagena Protocol and the successful achievement of the goals of the implementation plan and the capacity-building action plan for the Protocol for developing country Parties, </w:t>
      </w:r>
      <w:r w:rsidRPr="007A59F7">
        <w:t>in particular the least developed and the small island developing States among them, and Parties with economies in transition</w:t>
      </w:r>
      <w:r w:rsidRPr="00850BE4">
        <w:t>;</w:t>
      </w:r>
    </w:p>
    <w:p w14:paraId="1C64F448" w14:textId="77777777" w:rsidR="0033665E" w:rsidRPr="00850BE4" w:rsidRDefault="0033665E" w:rsidP="00CE4EC8">
      <w:pPr>
        <w:pStyle w:val="CBDDesicionText"/>
        <w:tabs>
          <w:tab w:val="clear" w:pos="567"/>
          <w:tab w:val="left" w:pos="1170"/>
        </w:tabs>
        <w:ind w:left="567" w:firstLine="540"/>
        <w:rPr>
          <w:i/>
        </w:rPr>
      </w:pPr>
      <w:r w:rsidRPr="00850BE4">
        <w:t>4.</w:t>
      </w:r>
      <w:r w:rsidRPr="00850BE4">
        <w:tab/>
      </w:r>
      <w:r w:rsidRPr="00850BE4">
        <w:rPr>
          <w:i/>
          <w:iCs/>
        </w:rPr>
        <w:t>Calls upon</w:t>
      </w:r>
      <w:r w:rsidRPr="00850BE4">
        <w:t xml:space="preserve"> Parties to accelerate their efforts to implement the Cartagena Protocol and use as guidance the implementation plan and the capacity-building action plan, as well as the findings from the fifth assessment and review of the Protocol and the midterm evaluation of the implementation plan and capacity-building action plan for the Protocol, in accordance with national circumstances, priorities, capacities and institutional arrangements;</w:t>
      </w:r>
    </w:p>
    <w:p w14:paraId="67FC2347" w14:textId="77777777" w:rsidR="0033665E" w:rsidRPr="00850BE4" w:rsidRDefault="0033665E" w:rsidP="00CE4EC8">
      <w:pPr>
        <w:pStyle w:val="CBDDesicionText"/>
        <w:tabs>
          <w:tab w:val="clear" w:pos="567"/>
          <w:tab w:val="left" w:pos="1170"/>
        </w:tabs>
        <w:ind w:left="567" w:firstLine="540"/>
      </w:pPr>
      <w:r w:rsidRPr="00850BE4">
        <w:t>5.</w:t>
      </w:r>
      <w:r w:rsidRPr="00850BE4">
        <w:tab/>
      </w:r>
      <w:r w:rsidRPr="00850BE4">
        <w:rPr>
          <w:i/>
          <w:iCs/>
        </w:rPr>
        <w:t>Recognizes</w:t>
      </w:r>
      <w:r w:rsidRPr="00850BE4">
        <w:t xml:space="preserve"> the importance of Target 17 of the Kunming-Montreal Global Biodiversity Framework</w:t>
      </w:r>
      <w:r w:rsidRPr="00850BE4">
        <w:rPr>
          <w:rStyle w:val="FootnoteReference"/>
        </w:rPr>
        <w:footnoteReference w:id="20"/>
      </w:r>
      <w:r w:rsidRPr="00850BE4">
        <w:t xml:space="preserve"> for furthering the implementation of the Cartagena Protocol, and acknowledges the relevance of the Protocol, its implementation plan and its capacity-building action plan to the achievement of the three objectives of the Convention on Biological Diversity;</w:t>
      </w:r>
      <w:r w:rsidRPr="00850BE4">
        <w:rPr>
          <w:rStyle w:val="FootnoteReference"/>
        </w:rPr>
        <w:footnoteReference w:id="21"/>
      </w:r>
    </w:p>
    <w:p w14:paraId="4EE252AD" w14:textId="77777777" w:rsidR="0033665E" w:rsidRPr="00850BE4" w:rsidRDefault="0033665E" w:rsidP="00CE4EC8">
      <w:pPr>
        <w:pStyle w:val="CBDDesicionText"/>
        <w:tabs>
          <w:tab w:val="clear" w:pos="567"/>
          <w:tab w:val="left" w:pos="1170"/>
        </w:tabs>
        <w:ind w:left="567" w:firstLine="540"/>
      </w:pPr>
      <w:r w:rsidRPr="00850BE4">
        <w:lastRenderedPageBreak/>
        <w:t>6.</w:t>
      </w:r>
      <w:r w:rsidRPr="00850BE4">
        <w:rPr>
          <w:i/>
          <w:iCs/>
        </w:rPr>
        <w:tab/>
      </w:r>
      <w:r w:rsidRPr="00850BE4">
        <w:rPr>
          <w:i/>
        </w:rPr>
        <w:t xml:space="preserve">Welcomes </w:t>
      </w:r>
      <w:r w:rsidRPr="00850BE4">
        <w:rPr>
          <w:iCs/>
        </w:rPr>
        <w:t>[</w:t>
      </w:r>
      <w:r w:rsidRPr="00850BE4">
        <w:rPr>
          <w:i/>
        </w:rPr>
        <w:t>with appreciation</w:t>
      </w:r>
      <w:r w:rsidRPr="00850BE4">
        <w:rPr>
          <w:iCs/>
        </w:rPr>
        <w:t>]</w:t>
      </w:r>
      <w:r w:rsidRPr="00850BE4">
        <w:t xml:space="preserve"> the global report on collective progress in the implementation of the Framework, in particular the conclusions and key messages relating to the goals and targets of the Framework that are relevant to biosafety, and stresses that adequate support for the implementation of the Cartagena Protocol is essential for the achievement of Target 17 of the Framework; </w:t>
      </w:r>
    </w:p>
    <w:p w14:paraId="5B8AA8AA" w14:textId="77777777" w:rsidR="0033665E" w:rsidRPr="00850BE4" w:rsidRDefault="0033665E" w:rsidP="00A16083">
      <w:pPr>
        <w:pStyle w:val="CBDDesicionText"/>
        <w:tabs>
          <w:tab w:val="clear" w:pos="567"/>
          <w:tab w:val="clear" w:pos="1134"/>
        </w:tabs>
        <w:ind w:left="567" w:firstLine="540"/>
      </w:pPr>
      <w:r w:rsidRPr="00850BE4">
        <w:t>7.</w:t>
      </w:r>
      <w:r w:rsidRPr="00850BE4">
        <w:rPr>
          <w:i/>
          <w:iCs/>
        </w:rPr>
        <w:tab/>
        <w:t>R</w:t>
      </w:r>
      <w:r w:rsidRPr="00850BE4">
        <w:rPr>
          <w:i/>
        </w:rPr>
        <w:t>ecognizes</w:t>
      </w:r>
      <w:r w:rsidRPr="00850BE4">
        <w:t xml:space="preserve"> the need for complementary and non-duplicative efforts towards the fulfilment of the implementation plan for the Cartagena Protocol and the achievement of the goals and targets of the Framework that are relevant to biosafety; </w:t>
      </w:r>
    </w:p>
    <w:p w14:paraId="71755839" w14:textId="77777777" w:rsidR="0033665E" w:rsidRPr="00850BE4" w:rsidRDefault="0033665E" w:rsidP="00A16083">
      <w:pPr>
        <w:pStyle w:val="CBDDesicionText"/>
        <w:tabs>
          <w:tab w:val="clear" w:pos="567"/>
          <w:tab w:val="clear" w:pos="1134"/>
        </w:tabs>
        <w:ind w:left="567" w:firstLine="540"/>
      </w:pPr>
      <w:r w:rsidRPr="00850BE4">
        <w:t>8.</w:t>
      </w:r>
      <w:r w:rsidRPr="00850BE4">
        <w:rPr>
          <w:i/>
          <w:iCs/>
        </w:rPr>
        <w:tab/>
      </w:r>
      <w:r w:rsidRPr="00850BE4">
        <w:rPr>
          <w:i/>
        </w:rPr>
        <w:t>Urges</w:t>
      </w:r>
      <w:r w:rsidRPr="00850BE4">
        <w:t xml:space="preserve"> Parties to the Convention that are also Parties to the Cartagena Protocol to advance efforts to attain the goals and targets of the Framework that are relevant to biosafety, including through the integration of biosafety into national biodiversity strategies and action plans, as appropriate and in accordance with their national circumstances, priorities and existing institutional arrangements;</w:t>
      </w:r>
    </w:p>
    <w:p w14:paraId="3DC67413" w14:textId="77777777" w:rsidR="0033665E" w:rsidRPr="00850BE4" w:rsidRDefault="0033665E" w:rsidP="00A16083">
      <w:pPr>
        <w:pStyle w:val="CBDDesicionText"/>
        <w:tabs>
          <w:tab w:val="clear" w:pos="567"/>
          <w:tab w:val="clear" w:pos="1134"/>
        </w:tabs>
        <w:ind w:left="567" w:firstLine="540"/>
      </w:pPr>
      <w:r w:rsidRPr="00850BE4">
        <w:t>9.</w:t>
      </w:r>
      <w:r w:rsidRPr="00850BE4">
        <w:tab/>
      </w:r>
      <w:r w:rsidRPr="00850BE4">
        <w:rPr>
          <w:i/>
          <w:iCs/>
        </w:rPr>
        <w:t xml:space="preserve">Welcomes </w:t>
      </w:r>
      <w:r w:rsidRPr="00850BE4">
        <w:t>the contributions of the Compliance Committee under the Cartagena Protocol and the Liaison Group on the Cartagena Protocol to the fifth assessment and review of the effectiveness of the Protocol and the midterm evaluation of the implementation plan and the capacity-building action plan for the Protocol;</w:t>
      </w:r>
    </w:p>
    <w:p w14:paraId="015FD001" w14:textId="77777777" w:rsidR="0033665E" w:rsidRPr="00850BE4" w:rsidRDefault="0033665E" w:rsidP="00A16083">
      <w:pPr>
        <w:pStyle w:val="CBDDesicionText"/>
        <w:tabs>
          <w:tab w:val="clear" w:pos="567"/>
          <w:tab w:val="clear" w:pos="1134"/>
        </w:tabs>
        <w:ind w:left="567" w:firstLine="540"/>
      </w:pPr>
      <w:r w:rsidRPr="00850BE4">
        <w:t>10.</w:t>
      </w:r>
      <w:r w:rsidRPr="00850BE4">
        <w:tab/>
      </w:r>
      <w:r w:rsidRPr="00850BE4">
        <w:rPr>
          <w:i/>
          <w:iCs/>
        </w:rPr>
        <w:t xml:space="preserve">Requests </w:t>
      </w:r>
      <w:r w:rsidRPr="00850BE4">
        <w:t>the Compliance Committee and the Liaison Group to provide input to the sixth assessment and review of the effectiveness of the Cartagena Protocol and the final evaluation of the implementation plan and the capacity-building action plan for the Protocol;</w:t>
      </w:r>
    </w:p>
    <w:p w14:paraId="53BB5455" w14:textId="77777777" w:rsidR="0033665E" w:rsidRPr="007A59F7" w:rsidRDefault="0033665E" w:rsidP="00A16083">
      <w:pPr>
        <w:pStyle w:val="CBDDesicionText"/>
        <w:ind w:left="567" w:firstLine="540"/>
      </w:pPr>
      <w:r w:rsidRPr="007A59F7">
        <w:t>11.</w:t>
      </w:r>
      <w:r w:rsidRPr="007A59F7">
        <w:tab/>
      </w:r>
      <w:r w:rsidRPr="007A59F7">
        <w:rPr>
          <w:i/>
          <w:iCs/>
        </w:rPr>
        <w:t>Requests</w:t>
      </w:r>
      <w:r w:rsidRPr="007A59F7">
        <w:t xml:space="preserve"> the Liaison Group to consider ways and methodologies to collect and analyse qualitative data in addition to the primarily quantitative information from the national reports, with a view to providing a more complete data set for the sixth assessment and review of the effectiveness of the Cartagena Protocol and the final evaluation of its implementation plan and capacity-building action plan;</w:t>
      </w:r>
    </w:p>
    <w:p w14:paraId="549F33E5" w14:textId="77777777" w:rsidR="0033665E" w:rsidRPr="00850BE4" w:rsidRDefault="0033665E" w:rsidP="00A16083">
      <w:pPr>
        <w:pStyle w:val="CBDH3"/>
        <w:tabs>
          <w:tab w:val="clear" w:pos="567"/>
        </w:tabs>
        <w:ind w:firstLine="0"/>
        <w:rPr>
          <w:b w:val="0"/>
          <w:bCs/>
          <w:i/>
          <w:iCs/>
        </w:rPr>
      </w:pPr>
      <w:r w:rsidRPr="00850BE4">
        <w:rPr>
          <w:b w:val="0"/>
          <w:bCs/>
          <w:i/>
          <w:iCs/>
        </w:rPr>
        <w:t xml:space="preserve">Goal A.1: </w:t>
      </w:r>
      <w:r w:rsidRPr="00850BE4">
        <w:rPr>
          <w:b w:val="0"/>
          <w:bCs/>
          <w:i/>
          <w:iCs/>
          <w:snapToGrid w:val="0"/>
        </w:rPr>
        <w:t>Parties have in place functional national biosafety frameworks</w:t>
      </w:r>
      <w:r w:rsidRPr="00850BE4">
        <w:rPr>
          <w:rStyle w:val="FootnoteReference"/>
          <w:b w:val="0"/>
          <w:bCs/>
        </w:rPr>
        <w:footnoteReference w:id="22"/>
      </w:r>
    </w:p>
    <w:p w14:paraId="7A96B686" w14:textId="77777777" w:rsidR="0033665E" w:rsidRPr="00850BE4" w:rsidRDefault="0033665E" w:rsidP="00A16083">
      <w:pPr>
        <w:pStyle w:val="CBDDesicionText"/>
        <w:tabs>
          <w:tab w:val="clear" w:pos="567"/>
        </w:tabs>
        <w:ind w:left="567" w:firstLine="531"/>
      </w:pPr>
      <w:r w:rsidRPr="00850BE4">
        <w:t>12.</w:t>
      </w:r>
      <w:r w:rsidRPr="00850BE4">
        <w:rPr>
          <w:i/>
          <w:iCs/>
        </w:rPr>
        <w:tab/>
        <w:t>Notes with appreciation</w:t>
      </w:r>
      <w:r w:rsidRPr="00850BE4">
        <w:t xml:space="preserve"> the progress made by Parties in designating competent national authorities, but expresses concern that a small number of Parties have still not designated their competent national authorities, and urges them to do so as soon as possible; </w:t>
      </w:r>
    </w:p>
    <w:p w14:paraId="02E526D3" w14:textId="77777777" w:rsidR="0033665E" w:rsidRPr="00850BE4" w:rsidRDefault="0033665E" w:rsidP="00A16083">
      <w:pPr>
        <w:pStyle w:val="CBDDesicionText"/>
        <w:tabs>
          <w:tab w:val="clear" w:pos="567"/>
        </w:tabs>
        <w:ind w:left="567" w:firstLine="531"/>
      </w:pPr>
      <w:r w:rsidRPr="00850BE4">
        <w:t>13</w:t>
      </w:r>
      <w:r w:rsidRPr="00850BE4">
        <w:rPr>
          <w:i/>
        </w:rPr>
        <w:t>.</w:t>
      </w:r>
      <w:r w:rsidRPr="00850BE4">
        <w:rPr>
          <w:i/>
          <w:iCs/>
        </w:rPr>
        <w:tab/>
        <w:t>Expresses concern</w:t>
      </w:r>
      <w:r w:rsidRPr="00850BE4">
        <w:t xml:space="preserve"> that several Parties have not taken any measures or have only draft or temporary measures for the implementation of the Cartagena Protocol;</w:t>
      </w:r>
    </w:p>
    <w:p w14:paraId="2C0F0EBF" w14:textId="77777777" w:rsidR="0033665E" w:rsidRPr="00850BE4" w:rsidRDefault="0033665E" w:rsidP="00A16083">
      <w:pPr>
        <w:pStyle w:val="CBDDesicionText"/>
        <w:tabs>
          <w:tab w:val="clear" w:pos="567"/>
        </w:tabs>
        <w:ind w:left="567" w:firstLine="531"/>
      </w:pPr>
      <w:r w:rsidRPr="00850BE4">
        <w:t>14.</w:t>
      </w:r>
      <w:r w:rsidRPr="00850BE4">
        <w:tab/>
      </w:r>
      <w:r w:rsidRPr="00850BE4">
        <w:rPr>
          <w:i/>
          <w:iCs/>
        </w:rPr>
        <w:t xml:space="preserve">Requests </w:t>
      </w:r>
      <w:r w:rsidRPr="00850BE4">
        <w:t>Parties that have not yet fully done so to put in place[, as a matter of priority,] legal, administrative and other measures to implement their obligations under the Cartagena Protocol, while acknowledging that Parties face various challenges that prevent them from fully complying with the obligations under Article 2, paragraph 1, of the Protocol, and that institutional, technical, technological and financial support [that is adequate, predictable and sustainable needs to be made available to enable them to fully discharge their commitments under the Protocol][, as appropriate, is needed to support them in this regard];</w:t>
      </w:r>
    </w:p>
    <w:p w14:paraId="58B581AA" w14:textId="77777777" w:rsidR="0033665E" w:rsidRPr="00850BE4" w:rsidRDefault="0033665E" w:rsidP="00A16083">
      <w:pPr>
        <w:pStyle w:val="CBDDesicionText"/>
        <w:tabs>
          <w:tab w:val="clear" w:pos="567"/>
        </w:tabs>
        <w:ind w:left="567" w:firstLine="531"/>
      </w:pPr>
      <w:r w:rsidRPr="00850BE4">
        <w:t>15.</w:t>
      </w:r>
      <w:r w:rsidRPr="00850BE4">
        <w:tab/>
      </w:r>
      <w:r w:rsidRPr="00850BE4">
        <w:rPr>
          <w:i/>
          <w:iCs/>
        </w:rPr>
        <w:t xml:space="preserve">Urges </w:t>
      </w:r>
      <w:r w:rsidRPr="00850BE4">
        <w:t>Parties to</w:t>
      </w:r>
      <w:r w:rsidRPr="00850BE4">
        <w:rPr>
          <w:i/>
          <w:iCs/>
        </w:rPr>
        <w:t xml:space="preserve"> </w:t>
      </w:r>
      <w:r w:rsidRPr="00850BE4">
        <w:t>ensure</w:t>
      </w:r>
      <w:r w:rsidRPr="00850BE4">
        <w:rPr>
          <w:i/>
          <w:iCs/>
        </w:rPr>
        <w:t xml:space="preserve"> </w:t>
      </w:r>
      <w:r w:rsidRPr="00850BE4">
        <w:t>sufficient biosafety staffing levels for functional national biosafety frameworks;</w:t>
      </w:r>
    </w:p>
    <w:p w14:paraId="463C4427" w14:textId="77777777" w:rsidR="0033665E" w:rsidRPr="00850BE4" w:rsidRDefault="0033665E" w:rsidP="00A16083">
      <w:pPr>
        <w:pStyle w:val="CBDDesicionText"/>
        <w:tabs>
          <w:tab w:val="clear" w:pos="567"/>
        </w:tabs>
        <w:ind w:left="567" w:firstLine="531"/>
      </w:pPr>
      <w:r w:rsidRPr="00850BE4">
        <w:t>16.</w:t>
      </w:r>
      <w:r w:rsidRPr="00850BE4">
        <w:rPr>
          <w:i/>
          <w:iCs/>
        </w:rPr>
        <w:tab/>
        <w:t xml:space="preserve">Encourages </w:t>
      </w:r>
      <w:r w:rsidRPr="00850BE4">
        <w:t>Parties and other stakeholders to focus capacity-building and development in the context of Goal A.1 of the implementation plan and the capacity-building action plan on the elaboration of national measures, in particular legislative measures, for the implementation of the Cartagena Protocol and on strengthening the capacity of national staff to carry out their functions in the field of biosafety, in accordance with national needs and priorities;</w:t>
      </w:r>
    </w:p>
    <w:p w14:paraId="17E89F78" w14:textId="77777777" w:rsidR="0033665E" w:rsidRPr="00850BE4" w:rsidRDefault="0033665E" w:rsidP="00A16083">
      <w:pPr>
        <w:pStyle w:val="CBDH3"/>
        <w:tabs>
          <w:tab w:val="clear" w:pos="567"/>
          <w:tab w:val="clear" w:pos="1134"/>
          <w:tab w:val="left" w:pos="810"/>
          <w:tab w:val="left" w:pos="1260"/>
        </w:tabs>
        <w:ind w:firstLine="0"/>
        <w:rPr>
          <w:b w:val="0"/>
          <w:i/>
          <w:kern w:val="22"/>
        </w:rPr>
      </w:pPr>
      <w:r w:rsidRPr="00850BE4">
        <w:rPr>
          <w:b w:val="0"/>
          <w:bCs/>
          <w:i/>
          <w:iCs/>
        </w:rPr>
        <w:lastRenderedPageBreak/>
        <w:t xml:space="preserve">Goal A.2: </w:t>
      </w:r>
      <w:r w:rsidRPr="00850BE4">
        <w:rPr>
          <w:b w:val="0"/>
          <w:bCs/>
          <w:i/>
          <w:iCs/>
          <w:snapToGrid w:val="0"/>
          <w:kern w:val="22"/>
        </w:rPr>
        <w:t xml:space="preserve">Parties have improved the availability and exchange of relevant information through the Biosafety </w:t>
      </w:r>
      <w:proofErr w:type="gramStart"/>
      <w:r w:rsidRPr="00850BE4">
        <w:rPr>
          <w:b w:val="0"/>
          <w:bCs/>
          <w:i/>
          <w:iCs/>
          <w:snapToGrid w:val="0"/>
          <w:kern w:val="22"/>
        </w:rPr>
        <w:t>Clearing-House</w:t>
      </w:r>
      <w:proofErr w:type="gramEnd"/>
    </w:p>
    <w:p w14:paraId="523A7B82" w14:textId="3039A8C4" w:rsidR="0033665E" w:rsidRPr="007A59F7" w:rsidRDefault="00C14CD3" w:rsidP="00A16083">
      <w:pPr>
        <w:pStyle w:val="CBDDesicionText"/>
        <w:ind w:left="567" w:firstLine="531"/>
        <w:rPr>
          <w:b/>
          <w:bCs/>
          <w:i/>
          <w:iCs/>
          <w:snapToGrid w:val="0"/>
          <w:kern w:val="22"/>
        </w:rPr>
      </w:pPr>
      <w:r w:rsidRPr="00850BE4">
        <w:t>17</w:t>
      </w:r>
      <w:r w:rsidR="0033665E" w:rsidRPr="00850BE4">
        <w:t>.</w:t>
      </w:r>
      <w:r w:rsidR="0033665E" w:rsidRPr="00850BE4">
        <w:tab/>
      </w:r>
      <w:r w:rsidR="0033665E" w:rsidRPr="00850BE4">
        <w:rPr>
          <w:i/>
          <w:iCs/>
        </w:rPr>
        <w:t>Welcomes</w:t>
      </w:r>
      <w:r w:rsidR="0033665E" w:rsidRPr="00850BE4">
        <w:t xml:space="preserve"> progress towards Goal A.2 of the implementation plan and the capacity-building action plan, </w:t>
      </w:r>
      <w:proofErr w:type="gramStart"/>
      <w:r w:rsidR="0033665E" w:rsidRPr="00850BE4">
        <w:t>in particular</w:t>
      </w:r>
      <w:proofErr w:type="gramEnd"/>
      <w:r w:rsidR="0033665E" w:rsidRPr="00850BE4">
        <w:t xml:space="preserve"> the increase in the number of Parties publishing mandatory information, as well as the increase in the number of active users of and visits to the Biosafety </w:t>
      </w:r>
      <w:proofErr w:type="gramStart"/>
      <w:r w:rsidR="0033665E" w:rsidRPr="00850BE4">
        <w:t>Clearing-House</w:t>
      </w:r>
      <w:proofErr w:type="gramEnd"/>
      <w:r w:rsidR="0033665E" w:rsidRPr="00850BE4">
        <w:t>;</w:t>
      </w:r>
    </w:p>
    <w:p w14:paraId="28A11DEB" w14:textId="2F0C2758" w:rsidR="0033665E" w:rsidRPr="007A59F7" w:rsidRDefault="00C14CD3" w:rsidP="00A16083">
      <w:pPr>
        <w:pStyle w:val="CBDDesicionText"/>
        <w:ind w:left="567" w:firstLine="531"/>
        <w:rPr>
          <w:i/>
          <w:snapToGrid w:val="0"/>
          <w:kern w:val="22"/>
        </w:rPr>
      </w:pPr>
      <w:r w:rsidRPr="00850BE4">
        <w:t>18</w:t>
      </w:r>
      <w:r w:rsidR="0033665E" w:rsidRPr="00850BE4">
        <w:t>.</w:t>
      </w:r>
      <w:r w:rsidR="0033665E" w:rsidRPr="00850BE4">
        <w:rPr>
          <w:i/>
          <w:iCs/>
        </w:rPr>
        <w:tab/>
        <w:t>Recognizes</w:t>
      </w:r>
      <w:r w:rsidR="0033665E" w:rsidRPr="00850BE4">
        <w:t xml:space="preserve"> that the launch of the new platform of the Biosafety </w:t>
      </w:r>
      <w:proofErr w:type="gramStart"/>
      <w:r w:rsidR="0033665E" w:rsidRPr="00850BE4">
        <w:t>Clearing-House</w:t>
      </w:r>
      <w:proofErr w:type="gramEnd"/>
      <w:r w:rsidR="0033665E" w:rsidRPr="00850BE4">
        <w:t xml:space="preserve"> and the help materials developed and capacity-building activities undertaken by the Secretariat have contributed positively to the increase in the use of the Biosafety </w:t>
      </w:r>
      <w:proofErr w:type="gramStart"/>
      <w:r w:rsidR="0033665E" w:rsidRPr="00850BE4">
        <w:t>Clearing-House</w:t>
      </w:r>
      <w:proofErr w:type="gramEnd"/>
      <w:r w:rsidR="0033665E" w:rsidRPr="00850BE4">
        <w:t>;</w:t>
      </w:r>
      <w:r w:rsidR="0033665E" w:rsidRPr="007A59F7">
        <w:rPr>
          <w:iCs/>
          <w:snapToGrid w:val="0"/>
          <w:kern w:val="22"/>
        </w:rPr>
        <w:t xml:space="preserve"> </w:t>
      </w:r>
    </w:p>
    <w:p w14:paraId="4805853B" w14:textId="004E2108" w:rsidR="0033665E" w:rsidRPr="00850BE4" w:rsidRDefault="00C14CD3" w:rsidP="00A16083">
      <w:pPr>
        <w:pStyle w:val="CBDDesicionText"/>
        <w:ind w:left="567" w:firstLine="531"/>
      </w:pPr>
      <w:r w:rsidRPr="00850BE4">
        <w:t>19</w:t>
      </w:r>
      <w:r w:rsidR="0033665E" w:rsidRPr="00850BE4">
        <w:t>.</w:t>
      </w:r>
      <w:r w:rsidR="0033665E" w:rsidRPr="00850BE4">
        <w:tab/>
      </w:r>
      <w:r w:rsidR="0033665E" w:rsidRPr="00850BE4">
        <w:rPr>
          <w:i/>
          <w:iCs/>
        </w:rPr>
        <w:t>Urges</w:t>
      </w:r>
      <w:r w:rsidR="0033665E" w:rsidRPr="00850BE4">
        <w:t xml:space="preserve"> Parties that have not yet fully done so to make all required information available through the Biosafety </w:t>
      </w:r>
      <w:proofErr w:type="gramStart"/>
      <w:r w:rsidR="0033665E" w:rsidRPr="00850BE4">
        <w:t>Clearing-House</w:t>
      </w:r>
      <w:proofErr w:type="gramEnd"/>
      <w:r w:rsidR="0033665E" w:rsidRPr="00850BE4">
        <w:t xml:space="preserve"> and keep their records up to date;</w:t>
      </w:r>
    </w:p>
    <w:p w14:paraId="16D4FF81" w14:textId="5055DD03" w:rsidR="0033665E" w:rsidRPr="00850BE4" w:rsidRDefault="00C14CD3" w:rsidP="00A16083">
      <w:pPr>
        <w:pStyle w:val="CBDDesicionText"/>
        <w:tabs>
          <w:tab w:val="clear" w:pos="2835"/>
          <w:tab w:val="clear" w:pos="3402"/>
          <w:tab w:val="left" w:pos="2340"/>
        </w:tabs>
        <w:ind w:left="567" w:firstLine="531"/>
      </w:pPr>
      <w:r w:rsidRPr="00850BE4">
        <w:t>20</w:t>
      </w:r>
      <w:r w:rsidR="0033665E" w:rsidRPr="00850BE4">
        <w:t>.</w:t>
      </w:r>
      <w:r w:rsidR="0033665E" w:rsidRPr="00850BE4">
        <w:tab/>
      </w:r>
      <w:r w:rsidR="0033665E" w:rsidRPr="00850BE4">
        <w:rPr>
          <w:i/>
        </w:rPr>
        <w:t xml:space="preserve">Requests </w:t>
      </w:r>
      <w:r w:rsidR="0033665E" w:rsidRPr="00850BE4">
        <w:t xml:space="preserve">the Executive Secretary to continue to provide support for maintaining the Biosafety Clearing-House as the principal mechanism for sharing information under the Cartagena Protocol, in particular by continuing to provide capacity-building and development activities and training to Parties, developing user-friendly and accessible digital tools and promoting the interoperability of existing databases and information systems; </w:t>
      </w:r>
    </w:p>
    <w:p w14:paraId="045AADE4" w14:textId="090CA345" w:rsidR="0033665E" w:rsidRPr="00850BE4" w:rsidRDefault="00C14CD3" w:rsidP="00A16083">
      <w:pPr>
        <w:pStyle w:val="CBDDesicionText"/>
        <w:tabs>
          <w:tab w:val="clear" w:pos="2835"/>
          <w:tab w:val="clear" w:pos="3402"/>
          <w:tab w:val="left" w:pos="2340"/>
        </w:tabs>
        <w:ind w:left="567" w:firstLine="531"/>
      </w:pPr>
      <w:r w:rsidRPr="00850BE4">
        <w:t>21</w:t>
      </w:r>
      <w:r w:rsidR="0033665E" w:rsidRPr="00850BE4">
        <w:t>.</w:t>
      </w:r>
      <w:r w:rsidR="0033665E" w:rsidRPr="00850BE4">
        <w:tab/>
      </w:r>
      <w:r w:rsidR="0033665E" w:rsidRPr="00850BE4">
        <w:rPr>
          <w:i/>
          <w:iCs/>
        </w:rPr>
        <w:t>Encourages</w:t>
      </w:r>
      <w:r w:rsidR="0033665E" w:rsidRPr="00850BE4">
        <w:t xml:space="preserve"> Parties, and invites relevant organizations, to provide support for the implementation by Parties of the provisions of the Cartagena Protocol related to information-sharing and for the effective use of the Biosafety </w:t>
      </w:r>
      <w:proofErr w:type="gramStart"/>
      <w:r w:rsidR="0033665E" w:rsidRPr="00850BE4">
        <w:t>Clearing-House</w:t>
      </w:r>
      <w:proofErr w:type="gramEnd"/>
      <w:r w:rsidR="0033665E" w:rsidRPr="00850BE4">
        <w:t xml:space="preserve"> by strengthening national capacities for biosafety information management, improving the quality, completeness, accuracy and timeliness of information submitted by Parties and promoting technical cooperation and knowledge exchange;</w:t>
      </w:r>
    </w:p>
    <w:p w14:paraId="5FC75F77" w14:textId="77777777" w:rsidR="0033665E" w:rsidRPr="00850BE4" w:rsidRDefault="0033665E" w:rsidP="00A16083">
      <w:pPr>
        <w:pStyle w:val="CBDH3"/>
        <w:tabs>
          <w:tab w:val="clear" w:pos="567"/>
          <w:tab w:val="left" w:pos="810"/>
        </w:tabs>
        <w:ind w:firstLine="0"/>
        <w:rPr>
          <w:b w:val="0"/>
          <w:bCs/>
          <w:i/>
          <w:iCs/>
        </w:rPr>
      </w:pPr>
      <w:r w:rsidRPr="00850BE4">
        <w:rPr>
          <w:b w:val="0"/>
          <w:bCs/>
          <w:i/>
          <w:iCs/>
        </w:rPr>
        <w:t xml:space="preserve">Goal A.3: full information on the implementation of the Cartagena Protocol </w:t>
      </w:r>
      <w:r w:rsidRPr="00850BE4">
        <w:rPr>
          <w:b w:val="0"/>
          <w:bCs/>
          <w:i/>
          <w:iCs/>
        </w:rPr>
        <w:br/>
        <w:t>is made available by Parties in a timely manner</w:t>
      </w:r>
    </w:p>
    <w:p w14:paraId="24D75B72" w14:textId="77777777" w:rsidR="0033665E" w:rsidRPr="00850BE4" w:rsidRDefault="0033665E" w:rsidP="00A16083">
      <w:pPr>
        <w:pStyle w:val="CBDH3"/>
        <w:tabs>
          <w:tab w:val="clear" w:pos="567"/>
          <w:tab w:val="left" w:pos="720"/>
        </w:tabs>
        <w:ind w:firstLine="0"/>
        <w:rPr>
          <w:b w:val="0"/>
          <w:bCs/>
          <w:i/>
          <w:iCs/>
        </w:rPr>
      </w:pPr>
      <w:r w:rsidRPr="00850BE4">
        <w:rPr>
          <w:b w:val="0"/>
          <w:bCs/>
          <w:i/>
          <w:iCs/>
        </w:rPr>
        <w:t xml:space="preserve">Goal A.4: Parties </w:t>
      </w:r>
      <w:proofErr w:type="gramStart"/>
      <w:r w:rsidRPr="00850BE4">
        <w:rPr>
          <w:b w:val="0"/>
          <w:bCs/>
          <w:i/>
          <w:iCs/>
        </w:rPr>
        <w:t>are in compliance with</w:t>
      </w:r>
      <w:proofErr w:type="gramEnd"/>
      <w:r w:rsidRPr="00850BE4">
        <w:rPr>
          <w:b w:val="0"/>
          <w:bCs/>
          <w:i/>
          <w:iCs/>
        </w:rPr>
        <w:t xml:space="preserve"> the requirements of the Cartagena Protocol</w:t>
      </w:r>
    </w:p>
    <w:p w14:paraId="74DBD8DC" w14:textId="5C07810F" w:rsidR="0033665E" w:rsidRPr="00850BE4" w:rsidRDefault="00C14CD3" w:rsidP="00A16083">
      <w:pPr>
        <w:pStyle w:val="CBDDesicionText"/>
        <w:ind w:left="567" w:firstLine="531"/>
      </w:pPr>
      <w:r w:rsidRPr="00850BE4">
        <w:t>22</w:t>
      </w:r>
      <w:r w:rsidR="0033665E" w:rsidRPr="00850BE4">
        <w:t>.</w:t>
      </w:r>
      <w:r w:rsidR="0033665E" w:rsidRPr="00850BE4">
        <w:tab/>
      </w:r>
      <w:r w:rsidR="0033665E" w:rsidRPr="00850BE4">
        <w:rPr>
          <w:i/>
        </w:rPr>
        <w:t>Welcomes</w:t>
      </w:r>
      <w:r w:rsidR="0033665E" w:rsidRPr="00850BE4">
        <w:rPr>
          <w:iCs/>
        </w:rPr>
        <w:t xml:space="preserve"> progress made by Parties in complying with their obligations under the Cartagena Protocol, notably those concerning the submission of national reports and the publishing of information through the Biosafety </w:t>
      </w:r>
      <w:proofErr w:type="gramStart"/>
      <w:r w:rsidR="0033665E" w:rsidRPr="00850BE4">
        <w:rPr>
          <w:iCs/>
        </w:rPr>
        <w:t>Clearing-House</w:t>
      </w:r>
      <w:proofErr w:type="gramEnd"/>
      <w:r w:rsidR="0033665E" w:rsidRPr="00850BE4">
        <w:rPr>
          <w:iCs/>
        </w:rPr>
        <w:t>;</w:t>
      </w:r>
    </w:p>
    <w:p w14:paraId="311B75D2" w14:textId="26EEF4F1" w:rsidR="0033665E" w:rsidRPr="00850BE4" w:rsidRDefault="00C14CD3" w:rsidP="00A16083">
      <w:pPr>
        <w:pStyle w:val="CBDDesicionText"/>
        <w:ind w:left="567" w:firstLine="531"/>
      </w:pPr>
      <w:r w:rsidRPr="00850BE4">
        <w:t>23</w:t>
      </w:r>
      <w:r w:rsidR="0033665E" w:rsidRPr="00850BE4">
        <w:t>.</w:t>
      </w:r>
      <w:r w:rsidR="0033665E" w:rsidRPr="00850BE4">
        <w:rPr>
          <w:i/>
          <w:iCs/>
        </w:rPr>
        <w:tab/>
        <w:t>Also welcomes</w:t>
      </w:r>
      <w:r w:rsidR="0033665E" w:rsidRPr="00850BE4">
        <w:t xml:space="preserve"> the high rate of compliance with the obligation to designate national focal points; </w:t>
      </w:r>
    </w:p>
    <w:p w14:paraId="0583C38C" w14:textId="383788E2" w:rsidR="0033665E" w:rsidRPr="00850BE4" w:rsidRDefault="00C14CD3" w:rsidP="00A16083">
      <w:pPr>
        <w:pStyle w:val="CBDDesicionText"/>
        <w:ind w:left="567" w:firstLine="531"/>
      </w:pPr>
      <w:r w:rsidRPr="00850BE4">
        <w:t>24</w:t>
      </w:r>
      <w:r w:rsidR="0033665E" w:rsidRPr="00850BE4">
        <w:t>.</w:t>
      </w:r>
      <w:r w:rsidR="0033665E" w:rsidRPr="00850BE4">
        <w:tab/>
      </w:r>
      <w:r w:rsidR="0033665E" w:rsidRPr="00850BE4">
        <w:rPr>
          <w:i/>
          <w:iCs/>
        </w:rPr>
        <w:t>Further w</w:t>
      </w:r>
      <w:r w:rsidR="0033665E" w:rsidRPr="00850BE4">
        <w:rPr>
          <w:i/>
        </w:rPr>
        <w:t>elcomes</w:t>
      </w:r>
      <w:r w:rsidR="0033665E" w:rsidRPr="00850BE4">
        <w:t xml:space="preserve"> the supportive role of the Compliance Committee, and acknowledges the importance of its regular follow-up with Parties on compliance matters and the formal compliance measures and informal efforts of the Compliance Committee in support of compliance and the achievement of Goal A.4 of the implementation plan for the Cartagena Protocol; </w:t>
      </w:r>
    </w:p>
    <w:p w14:paraId="2AF18590" w14:textId="458B1CF2" w:rsidR="0033665E" w:rsidRPr="00850BE4" w:rsidRDefault="00C14CD3" w:rsidP="00A16083">
      <w:pPr>
        <w:pStyle w:val="CBDDesicionText"/>
        <w:ind w:left="567" w:firstLine="531"/>
      </w:pPr>
      <w:r w:rsidRPr="00850BE4">
        <w:t>25</w:t>
      </w:r>
      <w:r w:rsidR="0033665E" w:rsidRPr="00850BE4">
        <w:t>.</w:t>
      </w:r>
      <w:r w:rsidR="0033665E" w:rsidRPr="00850BE4">
        <w:tab/>
      </w:r>
      <w:r w:rsidR="0033665E" w:rsidRPr="00850BE4">
        <w:rPr>
          <w:i/>
        </w:rPr>
        <w:t>Request</w:t>
      </w:r>
      <w:r w:rsidR="0033665E" w:rsidRPr="00850BE4">
        <w:rPr>
          <w:i/>
          <w:iCs/>
        </w:rPr>
        <w:t>s</w:t>
      </w:r>
      <w:r w:rsidR="0033665E" w:rsidRPr="00850BE4">
        <w:t xml:space="preserve"> Parties to cooperate fully when receiving communications from the Compliance Committee;</w:t>
      </w:r>
    </w:p>
    <w:p w14:paraId="50E3F912" w14:textId="77777777" w:rsidR="0033665E" w:rsidRPr="00850BE4" w:rsidRDefault="0033665E" w:rsidP="00A16083">
      <w:pPr>
        <w:pStyle w:val="CBDH3"/>
        <w:tabs>
          <w:tab w:val="clear" w:pos="567"/>
          <w:tab w:val="left" w:pos="810"/>
        </w:tabs>
        <w:ind w:firstLine="0"/>
        <w:rPr>
          <w:b w:val="0"/>
          <w:bCs/>
          <w:i/>
          <w:iCs/>
        </w:rPr>
      </w:pPr>
      <w:r w:rsidRPr="00850BE4">
        <w:rPr>
          <w:b w:val="0"/>
          <w:bCs/>
          <w:i/>
          <w:iCs/>
        </w:rPr>
        <w:t>Goal A.5: Parties carry out scientifically sound risk assessments of living modified organisms and manage and control identified risks to prevent adverse effects of living modified organisms</w:t>
      </w:r>
      <w:r w:rsidRPr="00850BE4" w:rsidDel="0031567E">
        <w:rPr>
          <w:b w:val="0"/>
          <w:bCs/>
          <w:i/>
          <w:iCs/>
        </w:rPr>
        <w:t xml:space="preserve"> </w:t>
      </w:r>
      <w:r w:rsidRPr="00850BE4">
        <w:rPr>
          <w:b w:val="0"/>
          <w:bCs/>
          <w:i/>
          <w:iCs/>
        </w:rPr>
        <w:t xml:space="preserve">on the conservation and sustainable use of biological diversity, taking also into account risks to human health </w:t>
      </w:r>
    </w:p>
    <w:p w14:paraId="54D6F6E3" w14:textId="291FB5EB" w:rsidR="0033665E" w:rsidRPr="00850BE4" w:rsidRDefault="00C14CD3" w:rsidP="00A16083">
      <w:pPr>
        <w:pStyle w:val="CBDDesicionText"/>
        <w:ind w:left="567" w:firstLine="531"/>
      </w:pPr>
      <w:r w:rsidRPr="00850BE4">
        <w:t>26</w:t>
      </w:r>
      <w:r w:rsidR="0033665E" w:rsidRPr="00850BE4">
        <w:t>.</w:t>
      </w:r>
      <w:r w:rsidR="0033665E" w:rsidRPr="00850BE4">
        <w:tab/>
      </w:r>
      <w:r w:rsidR="0033665E" w:rsidRPr="00850BE4">
        <w:rPr>
          <w:i/>
        </w:rPr>
        <w:t>Recognizes</w:t>
      </w:r>
      <w:r w:rsidR="0033665E" w:rsidRPr="00850BE4">
        <w:t xml:space="preserve"> that conducting risk assessment and risk management continues to pose challenges for some Parties and that those challenges are made more difficult by the rapidity of developments in modern biotechnology, including the application of synthetic biology and other new genetic modification techniques for the development of living modified organisms, in particular when evaluating potential adverse effects in complex receiving environments;</w:t>
      </w:r>
    </w:p>
    <w:p w14:paraId="55CA4A04" w14:textId="4092CB9E" w:rsidR="0033665E" w:rsidRPr="00850BE4" w:rsidRDefault="00C14CD3" w:rsidP="00A16083">
      <w:pPr>
        <w:pStyle w:val="CBDDesicionText"/>
        <w:ind w:left="567" w:firstLine="531"/>
      </w:pPr>
      <w:r w:rsidRPr="00850BE4">
        <w:rPr>
          <w:iCs/>
        </w:rPr>
        <w:t>27</w:t>
      </w:r>
      <w:r w:rsidR="0033665E" w:rsidRPr="00850BE4">
        <w:rPr>
          <w:iCs/>
        </w:rPr>
        <w:t>.</w:t>
      </w:r>
      <w:r w:rsidR="0033665E" w:rsidRPr="00850BE4">
        <w:rPr>
          <w:i/>
        </w:rPr>
        <w:tab/>
        <w:t>Also recognizes</w:t>
      </w:r>
      <w:r w:rsidR="0033665E" w:rsidRPr="00850BE4">
        <w:t xml:space="preserve"> that rapid developments in modern biotechnology require the continuous updating of relevant scientific, technical and institutional </w:t>
      </w:r>
      <w:proofErr w:type="gramStart"/>
      <w:r w:rsidR="0033665E" w:rsidRPr="00850BE4">
        <w:t>capacities[</w:t>
      </w:r>
      <w:proofErr w:type="gramEnd"/>
      <w:r w:rsidR="0033665E" w:rsidRPr="00850BE4">
        <w:t xml:space="preserve">, including, as </w:t>
      </w:r>
      <w:r w:rsidR="0033665E" w:rsidRPr="00850BE4">
        <w:lastRenderedPageBreak/>
        <w:t>appropriate, through forward-looking and precautionary approaches, horizon scanning and technology monitoring to support national preparedness and informed decision-making];</w:t>
      </w:r>
    </w:p>
    <w:p w14:paraId="4C865657" w14:textId="5A9A3EAB" w:rsidR="0033665E" w:rsidRPr="00850BE4" w:rsidRDefault="00C14CD3" w:rsidP="00A16083">
      <w:pPr>
        <w:pStyle w:val="CBDDesicionText"/>
        <w:ind w:left="567" w:firstLine="531"/>
      </w:pPr>
      <w:r w:rsidRPr="00850BE4">
        <w:t>28</w:t>
      </w:r>
      <w:r w:rsidR="0033665E" w:rsidRPr="00850BE4">
        <w:t>.</w:t>
      </w:r>
      <w:r w:rsidR="0033665E" w:rsidRPr="00850BE4">
        <w:tab/>
      </w:r>
      <w:r w:rsidR="0033665E" w:rsidRPr="00850BE4">
        <w:rPr>
          <w:i/>
          <w:iCs/>
        </w:rPr>
        <w:t>Encourages</w:t>
      </w:r>
      <w:r w:rsidR="0033665E" w:rsidRPr="00850BE4">
        <w:t xml:space="preserve"> Parties and other stakeholders to continue to address human resource, financing and infrastructure needs concerning the key areas for capacity-building related to risk assessment and risk management in the capacity-building action plan;</w:t>
      </w:r>
    </w:p>
    <w:p w14:paraId="58AB2E1B" w14:textId="6A6310E4" w:rsidR="0033665E" w:rsidRPr="00850BE4" w:rsidRDefault="00C14CD3" w:rsidP="00A16083">
      <w:pPr>
        <w:pStyle w:val="CBDDesicionText"/>
        <w:ind w:left="567" w:firstLine="531"/>
      </w:pPr>
      <w:r w:rsidRPr="00850BE4">
        <w:t>29</w:t>
      </w:r>
      <w:r w:rsidR="0033665E" w:rsidRPr="00850BE4">
        <w:t>.</w:t>
      </w:r>
      <w:r w:rsidR="0033665E" w:rsidRPr="00850BE4">
        <w:tab/>
      </w:r>
      <w:r w:rsidR="0033665E" w:rsidRPr="00850BE4">
        <w:rPr>
          <w:i/>
          <w:iCs/>
        </w:rPr>
        <w:t>Encourages</w:t>
      </w:r>
      <w:r w:rsidR="0033665E" w:rsidRPr="00850BE4">
        <w:t xml:space="preserve"> Parties and relevant organizations to establish regional networks of risk assessment and risk management experts to facilitate peer review, technical support and knowledge exchange among Parties, including with the support of the regional and subregional technical and scientific cooperation support centres;</w:t>
      </w:r>
    </w:p>
    <w:p w14:paraId="3A14AE3B" w14:textId="77777777" w:rsidR="0033665E" w:rsidRPr="00850BE4" w:rsidRDefault="0033665E" w:rsidP="00A16083">
      <w:pPr>
        <w:pStyle w:val="CBDH3"/>
        <w:tabs>
          <w:tab w:val="clear" w:pos="567"/>
          <w:tab w:val="left" w:pos="900"/>
        </w:tabs>
        <w:ind w:firstLine="0"/>
        <w:rPr>
          <w:b w:val="0"/>
          <w:bCs/>
          <w:i/>
          <w:iCs/>
        </w:rPr>
      </w:pPr>
      <w:r w:rsidRPr="00850BE4">
        <w:rPr>
          <w:b w:val="0"/>
          <w:bCs/>
          <w:i/>
          <w:iCs/>
        </w:rPr>
        <w:t>Goal A.6: Parties prevent and address illegal and unintentional transboundary movements of living modified organisms</w:t>
      </w:r>
    </w:p>
    <w:p w14:paraId="466CE0E7" w14:textId="758BF4CF" w:rsidR="0033665E" w:rsidRPr="00850BE4" w:rsidRDefault="00C14CD3" w:rsidP="00A16083">
      <w:pPr>
        <w:pStyle w:val="CBDDesicionText"/>
        <w:ind w:left="567" w:firstLine="531"/>
      </w:pPr>
      <w:r w:rsidRPr="00850BE4">
        <w:t>30</w:t>
      </w:r>
      <w:r w:rsidR="0033665E" w:rsidRPr="00850BE4">
        <w:t>.</w:t>
      </w:r>
      <w:r w:rsidR="0033665E" w:rsidRPr="00850BE4">
        <w:tab/>
      </w:r>
      <w:r w:rsidR="0033665E" w:rsidRPr="00850BE4">
        <w:rPr>
          <w:i/>
          <w:iCs/>
        </w:rPr>
        <w:t xml:space="preserve">Reminds </w:t>
      </w:r>
      <w:r w:rsidR="0033665E" w:rsidRPr="00850BE4">
        <w:t xml:space="preserve">Parties to report cases of illegal and unintentional transboundary movements through the Biosafety </w:t>
      </w:r>
      <w:proofErr w:type="gramStart"/>
      <w:r w:rsidR="0033665E" w:rsidRPr="00850BE4">
        <w:t>Clearing-House</w:t>
      </w:r>
      <w:proofErr w:type="gramEnd"/>
      <w:r w:rsidR="0033665E" w:rsidRPr="00850BE4">
        <w:t xml:space="preserve">; </w:t>
      </w:r>
    </w:p>
    <w:p w14:paraId="59FCE518" w14:textId="153B9E51" w:rsidR="0033665E" w:rsidRPr="00850BE4" w:rsidRDefault="00C14CD3" w:rsidP="00A16083">
      <w:pPr>
        <w:pStyle w:val="CBDDesicionText"/>
        <w:ind w:left="567" w:firstLine="531"/>
      </w:pPr>
      <w:r w:rsidRPr="00850BE4">
        <w:t>31</w:t>
      </w:r>
      <w:r w:rsidR="0033665E" w:rsidRPr="00850BE4">
        <w:t>.</w:t>
      </w:r>
      <w:r w:rsidR="0033665E" w:rsidRPr="00850BE4">
        <w:tab/>
      </w:r>
      <w:r w:rsidR="0033665E" w:rsidRPr="00850BE4">
        <w:rPr>
          <w:i/>
          <w:iCs/>
        </w:rPr>
        <w:t xml:space="preserve">Invites </w:t>
      </w:r>
      <w:r w:rsidR="0033665E" w:rsidRPr="00850BE4">
        <w:t>Parties, other Governments and relevant organizations to provide</w:t>
      </w:r>
      <w:r w:rsidR="0033665E" w:rsidRPr="00850BE4">
        <w:rPr>
          <w:i/>
          <w:iCs/>
        </w:rPr>
        <w:t xml:space="preserve"> </w:t>
      </w:r>
      <w:r w:rsidR="0033665E" w:rsidRPr="00850BE4">
        <w:t xml:space="preserve">support for capacity-building and development on preventing and addressing illegal and unintentional transboundary movements of living modified organisms, with a particular focus on addressing challenges related to limited laboratory detection capacities, insufficient laboratory equipment and infrastructure, insufficiently trained personnel, porous borders and institutional and regulatory gaps; </w:t>
      </w:r>
    </w:p>
    <w:p w14:paraId="55EDA821" w14:textId="77777777" w:rsidR="0033665E" w:rsidRPr="00850BE4" w:rsidRDefault="0033665E" w:rsidP="00A16083">
      <w:pPr>
        <w:pStyle w:val="CBDH3"/>
        <w:ind w:firstLine="0"/>
        <w:rPr>
          <w:b w:val="0"/>
          <w:bCs/>
          <w:i/>
          <w:iCs/>
        </w:rPr>
      </w:pPr>
      <w:r w:rsidRPr="00850BE4">
        <w:rPr>
          <w:b w:val="0"/>
          <w:bCs/>
          <w:i/>
          <w:iCs/>
        </w:rPr>
        <w:t>Goal A.7: Parties have measures in place to fulfil the handling, transport, packaging and identification requirements of living modified organisms under Article 18 of the Cartagena Protocol</w:t>
      </w:r>
    </w:p>
    <w:p w14:paraId="1957CEBC" w14:textId="2B35394E" w:rsidR="0033665E" w:rsidRPr="00850BE4" w:rsidRDefault="00C14CD3" w:rsidP="00A16083">
      <w:pPr>
        <w:pStyle w:val="CBDDesicionText"/>
        <w:ind w:left="567" w:firstLine="531"/>
        <w:rPr>
          <w:snapToGrid w:val="0"/>
          <w:kern w:val="22"/>
        </w:rPr>
      </w:pPr>
      <w:r w:rsidRPr="00850BE4">
        <w:rPr>
          <w:snapToGrid w:val="0"/>
          <w:kern w:val="22"/>
        </w:rPr>
        <w:t>32</w:t>
      </w:r>
      <w:r w:rsidR="0033665E" w:rsidRPr="00850BE4">
        <w:rPr>
          <w:snapToGrid w:val="0"/>
          <w:kern w:val="22"/>
        </w:rPr>
        <w:t>.</w:t>
      </w:r>
      <w:r w:rsidR="0033665E" w:rsidRPr="00850BE4">
        <w:rPr>
          <w:snapToGrid w:val="0"/>
          <w:kern w:val="22"/>
        </w:rPr>
        <w:tab/>
      </w:r>
      <w:r w:rsidR="0033665E" w:rsidRPr="00850BE4">
        <w:rPr>
          <w:i/>
          <w:iCs/>
        </w:rPr>
        <w:t xml:space="preserve">Encourages </w:t>
      </w:r>
      <w:r w:rsidR="0033665E" w:rsidRPr="00850BE4">
        <w:t>Parties to facilitate cross-sectoral cooperation and coordination among competent national biosafety authorities, customs authorities and other relevant government bodies to strengthen capacity for the handling, transport, packaging and identification of living modified organisms;</w:t>
      </w:r>
    </w:p>
    <w:p w14:paraId="58A2C67B" w14:textId="33E441CC" w:rsidR="0033665E" w:rsidRPr="00850BE4" w:rsidRDefault="00C14CD3" w:rsidP="00A16083">
      <w:pPr>
        <w:pStyle w:val="CBDDesicionText"/>
        <w:ind w:left="567" w:firstLine="531"/>
        <w:rPr>
          <w:snapToGrid w:val="0"/>
          <w:kern w:val="22"/>
        </w:rPr>
      </w:pPr>
      <w:r w:rsidRPr="00850BE4">
        <w:rPr>
          <w:snapToGrid w:val="0"/>
          <w:kern w:val="22"/>
        </w:rPr>
        <w:t>33</w:t>
      </w:r>
      <w:r w:rsidR="0033665E" w:rsidRPr="00850BE4">
        <w:rPr>
          <w:snapToGrid w:val="0"/>
          <w:kern w:val="22"/>
        </w:rPr>
        <w:t>.</w:t>
      </w:r>
      <w:r w:rsidR="0033665E" w:rsidRPr="00850BE4">
        <w:rPr>
          <w:snapToGrid w:val="0"/>
          <w:kern w:val="22"/>
        </w:rPr>
        <w:tab/>
      </w:r>
      <w:r w:rsidR="0033665E" w:rsidRPr="00850BE4">
        <w:rPr>
          <w:i/>
          <w:iCs/>
          <w:snapToGrid w:val="0"/>
          <w:kern w:val="22"/>
        </w:rPr>
        <w:t>Invites</w:t>
      </w:r>
      <w:r w:rsidR="0033665E" w:rsidRPr="00850BE4">
        <w:rPr>
          <w:snapToGrid w:val="0"/>
          <w:kern w:val="22"/>
        </w:rPr>
        <w:t xml:space="preserve"> Parties, other Governments and relevant organizations to provide</w:t>
      </w:r>
      <w:r w:rsidR="0033665E" w:rsidRPr="00850BE4">
        <w:rPr>
          <w:kern w:val="22"/>
        </w:rPr>
        <w:t xml:space="preserve"> </w:t>
      </w:r>
      <w:r w:rsidR="0033665E" w:rsidRPr="00850BE4">
        <w:t>support for capacity-building and development</w:t>
      </w:r>
      <w:r w:rsidR="0033665E" w:rsidRPr="00850BE4" w:rsidDel="00B73CD2">
        <w:t xml:space="preserve"> </w:t>
      </w:r>
      <w:r w:rsidR="0033665E" w:rsidRPr="00850BE4">
        <w:t>on fulfilling the handling, packaging and identification requirements for living modified organisms, with a particular focus on addressing challenges related to: the operationalization of legal frameworks; the training of customs officers; and access to adequate facilities, equipment and resources for the detection and identification of living modified organisms, including through technology transfer and the strengthening of technical support at the national level;</w:t>
      </w:r>
    </w:p>
    <w:p w14:paraId="77A541C2" w14:textId="77777777" w:rsidR="0033665E" w:rsidRPr="00850BE4" w:rsidRDefault="0033665E" w:rsidP="00A16083">
      <w:pPr>
        <w:pStyle w:val="CBDH3"/>
        <w:tabs>
          <w:tab w:val="clear" w:pos="567"/>
        </w:tabs>
        <w:ind w:firstLine="0"/>
        <w:rPr>
          <w:b w:val="0"/>
          <w:bCs/>
          <w:i/>
          <w:iCs/>
          <w:snapToGrid w:val="0"/>
        </w:rPr>
      </w:pPr>
      <w:r w:rsidRPr="00850BE4">
        <w:rPr>
          <w:b w:val="0"/>
          <w:bCs/>
          <w:i/>
          <w:iCs/>
          <w:snapToGrid w:val="0"/>
        </w:rPr>
        <w:t xml:space="preserve">Goal A.8: Parties </w:t>
      </w:r>
      <w:proofErr w:type="gramStart"/>
      <w:r w:rsidRPr="00850BE4">
        <w:rPr>
          <w:b w:val="0"/>
          <w:bCs/>
          <w:i/>
          <w:iCs/>
          <w:snapToGrid w:val="0"/>
        </w:rPr>
        <w:t>are able to</w:t>
      </w:r>
      <w:proofErr w:type="gramEnd"/>
      <w:r w:rsidRPr="00850BE4">
        <w:rPr>
          <w:b w:val="0"/>
          <w:bCs/>
          <w:i/>
          <w:iCs/>
          <w:snapToGrid w:val="0"/>
        </w:rPr>
        <w:t xml:space="preserve"> detect and identify living modified organisms</w:t>
      </w:r>
    </w:p>
    <w:p w14:paraId="19D8B0F5" w14:textId="56BD0E7E" w:rsidR="0033665E" w:rsidRPr="00850BE4" w:rsidRDefault="00C14CD3" w:rsidP="00A16083">
      <w:pPr>
        <w:pStyle w:val="CBDDesicionText"/>
        <w:ind w:left="567" w:firstLine="531"/>
      </w:pPr>
      <w:r w:rsidRPr="00850BE4">
        <w:t>34</w:t>
      </w:r>
      <w:r w:rsidR="0033665E" w:rsidRPr="00850BE4">
        <w:t>.</w:t>
      </w:r>
      <w:r w:rsidR="0033665E" w:rsidRPr="00850BE4">
        <w:tab/>
      </w:r>
      <w:r w:rsidR="0033665E" w:rsidRPr="00850BE4">
        <w:rPr>
          <w:i/>
          <w:iCs/>
        </w:rPr>
        <w:t>Invites</w:t>
      </w:r>
      <w:r w:rsidR="0033665E" w:rsidRPr="00850BE4">
        <w:t xml:space="preserve"> Parties, other Governments and relevant organizations to provide support for capacity-building and development in the areas of detection and identification of living modified organisms, with a particular focus on addressing challenges related to limited access to accredited laboratories, certified reference materials, especially for newly commercialized living modified organisms, validated detection methods, adequate equipment, sustainable financial resources and sufficient trained personnel;</w:t>
      </w:r>
    </w:p>
    <w:p w14:paraId="290955B0" w14:textId="2DE1DA61" w:rsidR="0033665E" w:rsidRPr="00850BE4" w:rsidRDefault="00C14CD3" w:rsidP="00A16083">
      <w:pPr>
        <w:pStyle w:val="CBDDesicionText"/>
        <w:ind w:left="567" w:firstLine="531"/>
      </w:pPr>
      <w:r w:rsidRPr="00850BE4">
        <w:t>35</w:t>
      </w:r>
      <w:r w:rsidR="0033665E" w:rsidRPr="00850BE4">
        <w:t>.</w:t>
      </w:r>
      <w:r w:rsidR="0033665E" w:rsidRPr="00850BE4">
        <w:tab/>
      </w:r>
      <w:r w:rsidR="0033665E" w:rsidRPr="00850BE4">
        <w:rPr>
          <w:i/>
        </w:rPr>
        <w:t>Calls for</w:t>
      </w:r>
      <w:r w:rsidR="0033665E" w:rsidRPr="00850BE4">
        <w:t xml:space="preserve"> enhanced technology transfer and technical cooperation to strengthen national and regional capacities for the detection, identification and monitoring of living modified organisms;</w:t>
      </w:r>
    </w:p>
    <w:p w14:paraId="6628FAA1" w14:textId="77777777" w:rsidR="0033665E" w:rsidRPr="00850BE4" w:rsidRDefault="0033665E" w:rsidP="00A16083">
      <w:pPr>
        <w:pStyle w:val="CBDH3"/>
        <w:tabs>
          <w:tab w:val="clear" w:pos="567"/>
          <w:tab w:val="left" w:pos="630"/>
        </w:tabs>
        <w:ind w:firstLine="0"/>
        <w:rPr>
          <w:b w:val="0"/>
          <w:bCs/>
          <w:i/>
          <w:iCs/>
        </w:rPr>
      </w:pPr>
      <w:r w:rsidRPr="00850BE4">
        <w:rPr>
          <w:b w:val="0"/>
          <w:bCs/>
          <w:i/>
          <w:iCs/>
        </w:rPr>
        <w:t xml:space="preserve">Goal A.9: Parties that choose to do so </w:t>
      </w:r>
      <w:proofErr w:type="gramStart"/>
      <w:r w:rsidRPr="00850BE4">
        <w:rPr>
          <w:b w:val="0"/>
          <w:bCs/>
          <w:i/>
          <w:iCs/>
        </w:rPr>
        <w:t>take into account</w:t>
      </w:r>
      <w:proofErr w:type="gramEnd"/>
      <w:r w:rsidRPr="00850BE4">
        <w:rPr>
          <w:b w:val="0"/>
          <w:bCs/>
          <w:i/>
          <w:iCs/>
        </w:rPr>
        <w:t xml:space="preserve"> socioeconomic considerations when making decisions on the import of living modified organisms and cooperate on research and information exchange, in accordance with Article 26 of the Cartagena Protocol</w:t>
      </w:r>
    </w:p>
    <w:p w14:paraId="4D23ED72" w14:textId="4C839693" w:rsidR="0033665E" w:rsidRPr="007A59F7" w:rsidRDefault="00C14CD3" w:rsidP="00A16083">
      <w:pPr>
        <w:pStyle w:val="CBDDesicionText"/>
        <w:ind w:left="567"/>
      </w:pPr>
      <w:r w:rsidRPr="007A59F7">
        <w:t>36</w:t>
      </w:r>
      <w:r w:rsidR="0033665E" w:rsidRPr="007A59F7">
        <w:rPr>
          <w:i/>
          <w:iCs/>
        </w:rPr>
        <w:t>.</w:t>
      </w:r>
      <w:r w:rsidR="0033665E" w:rsidRPr="007A59F7">
        <w:rPr>
          <w:i/>
          <w:iCs/>
        </w:rPr>
        <w:tab/>
        <w:t>Acknowledges</w:t>
      </w:r>
      <w:r w:rsidR="0033665E" w:rsidRPr="007A59F7">
        <w:t xml:space="preserve"> that regulatory frameworks for enabling the consideration of socioeconomic aspects, as well as the assessment of socioeconomic impacts, remain challenges for Parties that choose to </w:t>
      </w:r>
      <w:proofErr w:type="gramStart"/>
      <w:r w:rsidR="0033665E" w:rsidRPr="007A59F7">
        <w:t>take into account</w:t>
      </w:r>
      <w:proofErr w:type="gramEnd"/>
      <w:r w:rsidR="0033665E" w:rsidRPr="007A59F7">
        <w:t xml:space="preserve"> socioeconomic considerations when making decisions on the </w:t>
      </w:r>
      <w:r w:rsidR="0033665E" w:rsidRPr="007A59F7">
        <w:lastRenderedPageBreak/>
        <w:t>import of living modified organisms, in accordance with Article 26, paragraph 1, of the Cartagena Protocol;</w:t>
      </w:r>
    </w:p>
    <w:p w14:paraId="76590B06" w14:textId="6F346F59" w:rsidR="0033665E" w:rsidRPr="00850BE4" w:rsidRDefault="00C14CD3" w:rsidP="00A16083">
      <w:pPr>
        <w:pStyle w:val="CBDDesicionText"/>
        <w:ind w:left="567"/>
      </w:pPr>
      <w:r w:rsidRPr="00850BE4">
        <w:t>37</w:t>
      </w:r>
      <w:r w:rsidR="0033665E" w:rsidRPr="00850BE4">
        <w:t>.</w:t>
      </w:r>
      <w:r w:rsidR="0033665E" w:rsidRPr="00850BE4">
        <w:tab/>
      </w:r>
      <w:r w:rsidR="0033665E" w:rsidRPr="00850BE4">
        <w:rPr>
          <w:i/>
          <w:iCs/>
        </w:rPr>
        <w:t xml:space="preserve">Encourages </w:t>
      </w:r>
      <w:r w:rsidR="0033665E" w:rsidRPr="00850BE4">
        <w:t xml:space="preserve">Parties, in accordance with Article 26, paragraph 2, of the Cartagena Protocol, to cooperate on research and information exchange on any socioeconomic impacts of living modified organisms, especially on indigenous peoples and local communities and, among other things, their livelihoods, food systems, traditional agricultural practices and biocultural richness; </w:t>
      </w:r>
    </w:p>
    <w:p w14:paraId="5108D280" w14:textId="77777777" w:rsidR="0033665E" w:rsidRPr="00850BE4" w:rsidRDefault="0033665E" w:rsidP="00A16083">
      <w:pPr>
        <w:pStyle w:val="CBDH3"/>
        <w:tabs>
          <w:tab w:val="clear" w:pos="567"/>
        </w:tabs>
        <w:ind w:firstLine="0"/>
        <w:rPr>
          <w:b w:val="0"/>
          <w:bCs/>
          <w:i/>
          <w:iCs/>
        </w:rPr>
      </w:pPr>
      <w:r w:rsidRPr="00850BE4">
        <w:rPr>
          <w:b w:val="0"/>
          <w:bCs/>
          <w:i/>
          <w:iCs/>
        </w:rPr>
        <w:t>Goal A.10: Parties to the Cartagena Protocol become Parties to the Nagoya-Kuala Lumpur Supplementary Protocol on Liability and Redress and have in place measures to fulfil their obligations under the Supplementary Protocol</w:t>
      </w:r>
    </w:p>
    <w:p w14:paraId="5A8052F0" w14:textId="49A0A364" w:rsidR="0033665E" w:rsidRPr="00850BE4" w:rsidRDefault="00C14CD3" w:rsidP="00A16083">
      <w:pPr>
        <w:pStyle w:val="CBDDesicionText"/>
        <w:ind w:left="567" w:firstLine="531"/>
      </w:pPr>
      <w:r w:rsidRPr="00850BE4">
        <w:t>38</w:t>
      </w:r>
      <w:r w:rsidR="0033665E" w:rsidRPr="00850BE4">
        <w:t>.</w:t>
      </w:r>
      <w:r w:rsidR="0033665E" w:rsidRPr="00850BE4">
        <w:tab/>
      </w:r>
      <w:r w:rsidR="0033665E" w:rsidRPr="00850BE4">
        <w:rPr>
          <w:i/>
          <w:iCs/>
        </w:rPr>
        <w:t>Encourages</w:t>
      </w:r>
      <w:r w:rsidR="0033665E" w:rsidRPr="00850BE4">
        <w:t xml:space="preserve"> Parties to the Cartagena Protocol to accede, ratify, accept or approve, as appropriate, the Nagoya-Kuala Lumpur Supplementary Protocol on Liability and Redress to the Cartagena Protocol;</w:t>
      </w:r>
      <w:r w:rsidR="0033665E" w:rsidRPr="00850BE4">
        <w:rPr>
          <w:rStyle w:val="FootnoteReference"/>
        </w:rPr>
        <w:footnoteReference w:id="23"/>
      </w:r>
      <w:r w:rsidR="0033665E" w:rsidRPr="00850BE4">
        <w:t xml:space="preserve"> </w:t>
      </w:r>
    </w:p>
    <w:p w14:paraId="07FAA43F" w14:textId="32A9091F" w:rsidR="0033665E" w:rsidRPr="00850BE4" w:rsidRDefault="00C14CD3" w:rsidP="00A16083">
      <w:pPr>
        <w:pStyle w:val="CBDDesicionText"/>
        <w:ind w:left="567" w:firstLine="531"/>
      </w:pPr>
      <w:r w:rsidRPr="00850BE4">
        <w:t>39</w:t>
      </w:r>
      <w:r w:rsidR="0033665E" w:rsidRPr="00850BE4">
        <w:t>.</w:t>
      </w:r>
      <w:r w:rsidR="0033665E" w:rsidRPr="00850BE4">
        <w:tab/>
      </w:r>
      <w:r w:rsidR="0033665E" w:rsidRPr="00850BE4">
        <w:rPr>
          <w:i/>
        </w:rPr>
        <w:t xml:space="preserve">Requests </w:t>
      </w:r>
      <w:r w:rsidR="0033665E" w:rsidRPr="00850BE4">
        <w:rPr>
          <w:iCs/>
        </w:rPr>
        <w:t xml:space="preserve">the Executive Secretary, </w:t>
      </w:r>
      <w:r w:rsidR="0033665E" w:rsidRPr="00850BE4">
        <w:t>subject to the availability of resources,</w:t>
      </w:r>
      <w:r w:rsidR="0033665E" w:rsidRPr="00850BE4">
        <w:rPr>
          <w:iCs/>
        </w:rPr>
        <w:t xml:space="preserve"> to disseminate information on, and promote</w:t>
      </w:r>
      <w:r w:rsidR="0033665E" w:rsidRPr="00850BE4">
        <w:rPr>
          <w:i/>
        </w:rPr>
        <w:t xml:space="preserve"> </w:t>
      </w:r>
      <w:r w:rsidR="0033665E" w:rsidRPr="00850BE4">
        <w:t>outreach and awareness-raising about, the Supplementary Protocol on Liability and Redress among Parties, indigenous peoples and local communities and relevant stakeholders using, where feasible, the languages of indigenous peoples and local communities;</w:t>
      </w:r>
    </w:p>
    <w:p w14:paraId="357BBD4F" w14:textId="77777777" w:rsidR="0033665E" w:rsidRPr="00850BE4" w:rsidRDefault="0033665E" w:rsidP="0033665E">
      <w:pPr>
        <w:pStyle w:val="CBDH3"/>
        <w:tabs>
          <w:tab w:val="clear" w:pos="567"/>
        </w:tabs>
        <w:ind w:firstLine="0"/>
        <w:rPr>
          <w:b w:val="0"/>
          <w:bCs/>
          <w:i/>
          <w:iCs/>
        </w:rPr>
      </w:pPr>
      <w:r w:rsidRPr="00850BE4">
        <w:rPr>
          <w:b w:val="0"/>
          <w:bCs/>
          <w:i/>
          <w:iCs/>
        </w:rPr>
        <w:t>Goal B.1: Parties engage in capacity-building activities</w:t>
      </w:r>
    </w:p>
    <w:p w14:paraId="671A50EB" w14:textId="19CFC347" w:rsidR="0033665E" w:rsidRPr="00850BE4" w:rsidRDefault="00C14CD3" w:rsidP="0033665E">
      <w:pPr>
        <w:pStyle w:val="CBDDesicionText"/>
        <w:ind w:left="567" w:firstLine="531"/>
      </w:pPr>
      <w:r w:rsidRPr="00850BE4">
        <w:t>40</w:t>
      </w:r>
      <w:r w:rsidR="0033665E" w:rsidRPr="00850BE4">
        <w:t>.</w:t>
      </w:r>
      <w:r w:rsidR="0033665E" w:rsidRPr="00850BE4">
        <w:tab/>
      </w:r>
      <w:r w:rsidR="0033665E" w:rsidRPr="00850BE4">
        <w:rPr>
          <w:i/>
          <w:iCs/>
        </w:rPr>
        <w:t>Calls</w:t>
      </w:r>
      <w:r w:rsidR="0033665E" w:rsidRPr="00850BE4">
        <w:t xml:space="preserve"> </w:t>
      </w:r>
      <w:r w:rsidR="0033665E" w:rsidRPr="00850BE4">
        <w:rPr>
          <w:i/>
          <w:iCs/>
        </w:rPr>
        <w:t>upon</w:t>
      </w:r>
      <w:r w:rsidR="0033665E" w:rsidRPr="00850BE4">
        <w:t xml:space="preserve"> Parties and relevant organizations to facilitate capacity-building and development, taking into account nationally identified needs and priorities and the findings of the fifth assessment and review of the effectiveness of the Cartagena Protocol and the midterm evaluation of the implementation plan and the capacity-building action plan, in the areas in which capacity needs remain most prevalent, namely:</w:t>
      </w:r>
    </w:p>
    <w:p w14:paraId="779F43AD" w14:textId="77777777" w:rsidR="0033665E" w:rsidRPr="00850BE4" w:rsidRDefault="0033665E" w:rsidP="0033665E">
      <w:pPr>
        <w:pStyle w:val="CBDDesicionText"/>
        <w:tabs>
          <w:tab w:val="clear" w:pos="567"/>
        </w:tabs>
        <w:ind w:left="567"/>
      </w:pPr>
      <w:r w:rsidRPr="00850BE4">
        <w:t>(a)</w:t>
      </w:r>
      <w:r w:rsidRPr="00850BE4">
        <w:tab/>
        <w:t xml:space="preserve">Risk assessment, risk management and other scientific and technical expertise; </w:t>
      </w:r>
    </w:p>
    <w:p w14:paraId="33F42ACD" w14:textId="77777777" w:rsidR="0033665E" w:rsidRPr="00850BE4" w:rsidRDefault="0033665E" w:rsidP="0033665E">
      <w:pPr>
        <w:pStyle w:val="CBDDesicionText"/>
        <w:tabs>
          <w:tab w:val="clear" w:pos="567"/>
        </w:tabs>
        <w:ind w:left="567"/>
      </w:pPr>
      <w:r w:rsidRPr="00850BE4">
        <w:t>(b)</w:t>
      </w:r>
      <w:r w:rsidRPr="00850BE4">
        <w:tab/>
        <w:t xml:space="preserve">Sampling, detection and identification; </w:t>
      </w:r>
    </w:p>
    <w:p w14:paraId="391AC421" w14:textId="77777777" w:rsidR="0033665E" w:rsidRPr="00850BE4" w:rsidRDefault="0033665E" w:rsidP="0033665E">
      <w:pPr>
        <w:pStyle w:val="CBDDesicionText"/>
        <w:tabs>
          <w:tab w:val="clear" w:pos="567"/>
        </w:tabs>
        <w:ind w:left="567"/>
      </w:pPr>
      <w:r w:rsidRPr="00850BE4">
        <w:t>(c)</w:t>
      </w:r>
      <w:r w:rsidRPr="00850BE4">
        <w:tab/>
        <w:t>Institutional capacity and human resources;</w:t>
      </w:r>
    </w:p>
    <w:p w14:paraId="52E2EEAB" w14:textId="77777777" w:rsidR="0033665E" w:rsidRPr="00850BE4" w:rsidRDefault="0033665E" w:rsidP="0033665E">
      <w:pPr>
        <w:pStyle w:val="CBDDesicionText"/>
        <w:tabs>
          <w:tab w:val="clear" w:pos="567"/>
        </w:tabs>
        <w:ind w:left="567"/>
      </w:pPr>
      <w:r w:rsidRPr="00850BE4">
        <w:t>(d)</w:t>
      </w:r>
      <w:r w:rsidRPr="00850BE4">
        <w:tab/>
        <w:t>Public awareness, education and participation;</w:t>
      </w:r>
    </w:p>
    <w:p w14:paraId="66EAF74D" w14:textId="77777777" w:rsidR="0033665E" w:rsidRPr="00850BE4" w:rsidRDefault="0033665E" w:rsidP="0033665E">
      <w:pPr>
        <w:pStyle w:val="CBDDesicionText"/>
        <w:tabs>
          <w:tab w:val="clear" w:pos="567"/>
        </w:tabs>
        <w:ind w:left="567"/>
      </w:pPr>
      <w:r w:rsidRPr="00850BE4">
        <w:t>(e)</w:t>
      </w:r>
      <w:r w:rsidRPr="00850BE4">
        <w:tab/>
        <w:t>Monitoring and reporting;</w:t>
      </w:r>
    </w:p>
    <w:p w14:paraId="5F1E355D" w14:textId="52834C8A" w:rsidR="0033665E" w:rsidRPr="00850BE4" w:rsidRDefault="00C14CD3" w:rsidP="0033665E">
      <w:pPr>
        <w:pStyle w:val="CBDDesicionText"/>
        <w:ind w:left="567" w:firstLine="531"/>
      </w:pPr>
      <w:r w:rsidRPr="00850BE4">
        <w:t>41</w:t>
      </w:r>
      <w:r w:rsidR="0033665E" w:rsidRPr="00850BE4">
        <w:t>.</w:t>
      </w:r>
      <w:r w:rsidR="0033665E" w:rsidRPr="00850BE4">
        <w:tab/>
      </w:r>
      <w:r w:rsidR="0033665E" w:rsidRPr="00850BE4">
        <w:rPr>
          <w:i/>
          <w:iCs/>
        </w:rPr>
        <w:t>Encourages</w:t>
      </w:r>
      <w:r w:rsidR="0033665E" w:rsidRPr="00850BE4">
        <w:t xml:space="preserve"> Parties to cooperate with one another in strengthening capacities for the implementation of the </w:t>
      </w:r>
      <w:r w:rsidR="0033665E" w:rsidRPr="00850BE4">
        <w:rPr>
          <w:bCs/>
        </w:rPr>
        <w:t>Cartagena</w:t>
      </w:r>
      <w:r w:rsidR="0033665E" w:rsidRPr="00850BE4">
        <w:rPr>
          <w:bCs/>
          <w:i/>
          <w:iCs/>
        </w:rPr>
        <w:t xml:space="preserve"> </w:t>
      </w:r>
      <w:r w:rsidR="0033665E" w:rsidRPr="00850BE4">
        <w:t>Protocol, including by involving indigenous peoples and local communities, women, youth and relevant stakeholders, with emphasis on the needs of developing country Parties, in particular the least developed and the small island developing States among them, and Parties with economies in transition;</w:t>
      </w:r>
    </w:p>
    <w:p w14:paraId="24F21C4F" w14:textId="121C2A7E" w:rsidR="0033665E" w:rsidRPr="00850BE4" w:rsidDel="00C95266" w:rsidRDefault="00C14CD3" w:rsidP="0033665E">
      <w:pPr>
        <w:pStyle w:val="CBDDesicionText"/>
        <w:ind w:left="567" w:firstLine="531"/>
      </w:pPr>
      <w:r w:rsidRPr="00850BE4">
        <w:t>42</w:t>
      </w:r>
      <w:r w:rsidR="0033665E" w:rsidRPr="00850BE4">
        <w:t>.</w:t>
      </w:r>
      <w:r w:rsidR="0033665E" w:rsidRPr="00850BE4">
        <w:tab/>
      </w:r>
      <w:r w:rsidR="0033665E" w:rsidRPr="00850BE4">
        <w:rPr>
          <w:i/>
          <w:iCs/>
        </w:rPr>
        <w:t>Invites</w:t>
      </w:r>
      <w:r w:rsidR="0033665E" w:rsidRPr="00850BE4">
        <w:t xml:space="preserve"> the technical and scientific cooperation support centres to incorporate biosafety into their biennial workplans and to serve as hubs for biosafety capacity-building and development, information-sharing and North-South, South-South and triangular cooperation;</w:t>
      </w:r>
    </w:p>
    <w:p w14:paraId="7734CF46" w14:textId="5D96EDE0" w:rsidR="0033665E" w:rsidRPr="00850BE4" w:rsidRDefault="00C14CD3" w:rsidP="0033665E">
      <w:pPr>
        <w:pStyle w:val="CBDDesicionText"/>
        <w:ind w:left="567" w:firstLine="531"/>
      </w:pPr>
      <w:r w:rsidRPr="00850BE4">
        <w:t>43</w:t>
      </w:r>
      <w:r w:rsidR="0033665E" w:rsidRPr="00850BE4">
        <w:t>.</w:t>
      </w:r>
      <w:r w:rsidR="0033665E" w:rsidRPr="00850BE4">
        <w:tab/>
      </w:r>
      <w:r w:rsidR="0033665E" w:rsidRPr="00850BE4">
        <w:rPr>
          <w:i/>
          <w:iCs/>
        </w:rPr>
        <w:t xml:space="preserve">Calls upon </w:t>
      </w:r>
      <w:r w:rsidR="0033665E" w:rsidRPr="00850BE4">
        <w:t xml:space="preserve">relevant organizations, and invites the technical and scientific cooperation support centres, to assist Parties in the development of biosafety project proposals; </w:t>
      </w:r>
    </w:p>
    <w:p w14:paraId="4000A2B2" w14:textId="02309CDF" w:rsidR="0033665E" w:rsidRPr="00850BE4" w:rsidRDefault="00C14CD3" w:rsidP="005803D4">
      <w:pPr>
        <w:pStyle w:val="CBDDesicionText"/>
        <w:keepNext/>
        <w:ind w:left="567"/>
      </w:pPr>
      <w:r w:rsidRPr="00850BE4">
        <w:t>44</w:t>
      </w:r>
      <w:r w:rsidR="0033665E" w:rsidRPr="00850BE4">
        <w:t>.</w:t>
      </w:r>
      <w:r w:rsidR="0033665E" w:rsidRPr="00850BE4">
        <w:tab/>
      </w:r>
      <w:r w:rsidR="0033665E" w:rsidRPr="00850BE4">
        <w:rPr>
          <w:i/>
          <w:iCs/>
        </w:rPr>
        <w:t>Requests</w:t>
      </w:r>
      <w:r w:rsidR="0033665E" w:rsidRPr="00850BE4">
        <w:t xml:space="preserve"> the Executive Secretary, subject to the availability of resources: </w:t>
      </w:r>
    </w:p>
    <w:p w14:paraId="736E60A6" w14:textId="77777777" w:rsidR="0033665E" w:rsidRPr="00850BE4" w:rsidRDefault="0033665E" w:rsidP="0033665E">
      <w:pPr>
        <w:pStyle w:val="CBDDesicionText"/>
        <w:ind w:left="567"/>
      </w:pPr>
      <w:r w:rsidRPr="00850BE4">
        <w:t>(a)</w:t>
      </w:r>
      <w:r w:rsidRPr="00850BE4">
        <w:tab/>
        <w:t xml:space="preserve">To continue to undertake capacity-building and development activities to assist Parties in implementing the </w:t>
      </w:r>
      <w:r w:rsidRPr="00850BE4">
        <w:rPr>
          <w:bCs/>
        </w:rPr>
        <w:t>Cartagena</w:t>
      </w:r>
      <w:r w:rsidRPr="00850BE4">
        <w:rPr>
          <w:bCs/>
          <w:i/>
          <w:iCs/>
        </w:rPr>
        <w:t xml:space="preserve"> </w:t>
      </w:r>
      <w:r w:rsidRPr="00850BE4">
        <w:t>Protocol, and to draw attention periodically to the extensive capacity-building materials available on the Secretariat website;</w:t>
      </w:r>
      <w:r w:rsidRPr="00850BE4">
        <w:rPr>
          <w:rStyle w:val="FootnoteReference"/>
        </w:rPr>
        <w:footnoteReference w:id="24"/>
      </w:r>
      <w:r w:rsidRPr="00850BE4">
        <w:t xml:space="preserve"> </w:t>
      </w:r>
    </w:p>
    <w:p w14:paraId="6C7EC646" w14:textId="77777777" w:rsidR="0033665E" w:rsidRPr="00850BE4" w:rsidRDefault="0033665E" w:rsidP="0033665E">
      <w:pPr>
        <w:pStyle w:val="CBDDesicionText"/>
        <w:ind w:left="567"/>
      </w:pPr>
      <w:r w:rsidRPr="00850BE4">
        <w:lastRenderedPageBreak/>
        <w:t>(b)</w:t>
      </w:r>
      <w:r w:rsidRPr="00850BE4">
        <w:tab/>
        <w:t xml:space="preserve">To facilitate capacity-building and development activities on designing biosafety projects; </w:t>
      </w:r>
    </w:p>
    <w:p w14:paraId="568962F0" w14:textId="77777777" w:rsidR="0033665E" w:rsidRPr="00850BE4" w:rsidRDefault="0033665E" w:rsidP="0033665E">
      <w:pPr>
        <w:pStyle w:val="CBDDesicionText"/>
        <w:ind w:left="567"/>
      </w:pPr>
      <w:r w:rsidRPr="00850BE4">
        <w:t>(c)</w:t>
      </w:r>
      <w:r w:rsidRPr="00850BE4">
        <w:tab/>
        <w:t xml:space="preserve">To raise awareness of funding mechanisms and processes for the submission of biosafety proposals; </w:t>
      </w:r>
    </w:p>
    <w:p w14:paraId="6FA58699" w14:textId="77777777" w:rsidR="0033665E" w:rsidRPr="00850BE4" w:rsidRDefault="0033665E" w:rsidP="0033665E">
      <w:pPr>
        <w:pStyle w:val="CBDH3"/>
        <w:tabs>
          <w:tab w:val="clear" w:pos="567"/>
          <w:tab w:val="left" w:pos="1170"/>
        </w:tabs>
        <w:ind w:firstLine="0"/>
        <w:rPr>
          <w:b w:val="0"/>
          <w:bCs/>
          <w:i/>
          <w:iCs/>
        </w:rPr>
      </w:pPr>
      <w:r w:rsidRPr="00850BE4">
        <w:rPr>
          <w:b w:val="0"/>
          <w:bCs/>
          <w:i/>
          <w:iCs/>
        </w:rPr>
        <w:t xml:space="preserve">Goal B.2: Parties mobilize adequate resources from all sources to support implementation of the </w:t>
      </w:r>
      <w:r w:rsidRPr="00850BE4">
        <w:rPr>
          <w:b w:val="0"/>
          <w:i/>
          <w:iCs/>
        </w:rPr>
        <w:t xml:space="preserve">Cartagena </w:t>
      </w:r>
      <w:r w:rsidRPr="00850BE4">
        <w:rPr>
          <w:b w:val="0"/>
          <w:bCs/>
          <w:i/>
          <w:iCs/>
        </w:rPr>
        <w:t>Protocol, in accordance with Article 28 of the Protocol</w:t>
      </w:r>
    </w:p>
    <w:p w14:paraId="3C298DA0" w14:textId="1DFEB91B" w:rsidR="0033665E" w:rsidRPr="00850BE4" w:rsidRDefault="00C14CD3" w:rsidP="0033665E">
      <w:pPr>
        <w:pStyle w:val="CBDDesicionText"/>
        <w:ind w:left="567" w:firstLine="531"/>
      </w:pPr>
      <w:r w:rsidRPr="00850BE4">
        <w:t>45</w:t>
      </w:r>
      <w:r w:rsidR="0033665E" w:rsidRPr="00850BE4">
        <w:t>.</w:t>
      </w:r>
      <w:r w:rsidR="0033665E" w:rsidRPr="00850BE4">
        <w:tab/>
      </w:r>
      <w:r w:rsidR="0033665E" w:rsidRPr="00850BE4">
        <w:rPr>
          <w:i/>
          <w:iCs/>
        </w:rPr>
        <w:t>Urges</w:t>
      </w:r>
      <w:r w:rsidR="0033665E" w:rsidRPr="00850BE4">
        <w:t xml:space="preserve"> Parties to allocate adequate resources to biosafety in their national budgets, in accordance with their national circumstances, priorities and capabilities;</w:t>
      </w:r>
    </w:p>
    <w:p w14:paraId="212AF849" w14:textId="50100D16" w:rsidR="0033665E" w:rsidRPr="00850BE4" w:rsidRDefault="00C14CD3" w:rsidP="0033665E">
      <w:pPr>
        <w:pStyle w:val="CBDDesicionText"/>
        <w:ind w:left="567" w:firstLine="531"/>
      </w:pPr>
      <w:r w:rsidRPr="00850BE4">
        <w:t>46</w:t>
      </w:r>
      <w:r w:rsidR="0033665E" w:rsidRPr="00850BE4">
        <w:t>.</w:t>
      </w:r>
      <w:r w:rsidR="0033665E" w:rsidRPr="00850BE4">
        <w:tab/>
      </w:r>
      <w:r w:rsidR="0033665E" w:rsidRPr="00850BE4">
        <w:rPr>
          <w:i/>
          <w:iCs/>
        </w:rPr>
        <w:t>Calls upon</w:t>
      </w:r>
      <w:r w:rsidR="0033665E" w:rsidRPr="00850BE4">
        <w:t xml:space="preserve"> developed country Parties, in accordance with Article 28 of the Cartagena Protocol, and invites other Governments, international organizations, bilateral and multilateral funding agencies, regional development banks and other programmes and initiatives, to provide adequate, predictable and accessible financial resources and in-kind contributions, as appropriate, to support the implementation of the </w:t>
      </w:r>
      <w:r w:rsidR="0033665E" w:rsidRPr="00850BE4">
        <w:rPr>
          <w:bCs/>
        </w:rPr>
        <w:t>Cartagena</w:t>
      </w:r>
      <w:r w:rsidR="0033665E" w:rsidRPr="00850BE4">
        <w:rPr>
          <w:bCs/>
          <w:i/>
          <w:iCs/>
        </w:rPr>
        <w:t xml:space="preserve"> </w:t>
      </w:r>
      <w:r w:rsidR="0033665E" w:rsidRPr="00850BE4">
        <w:t xml:space="preserve">Protocol; </w:t>
      </w:r>
    </w:p>
    <w:p w14:paraId="5373FC76" w14:textId="77777777" w:rsidR="0033665E" w:rsidRPr="00850BE4" w:rsidRDefault="0033665E" w:rsidP="0033665E">
      <w:pPr>
        <w:pStyle w:val="CBDH3"/>
        <w:tabs>
          <w:tab w:val="clear" w:pos="567"/>
          <w:tab w:val="clear" w:pos="1134"/>
        </w:tabs>
        <w:ind w:firstLine="0"/>
        <w:rPr>
          <w:b w:val="0"/>
          <w:bCs/>
          <w:i/>
          <w:iCs/>
        </w:rPr>
      </w:pPr>
      <w:r w:rsidRPr="00850BE4">
        <w:rPr>
          <w:b w:val="0"/>
          <w:bCs/>
          <w:i/>
          <w:iCs/>
        </w:rPr>
        <w:t>Goal B.3: Parties promote and facilitate public awareness, education and participation on the safe transfer, handling and use of living modified organisms, in accordance with Article 23 of the Cartagena Protocol</w:t>
      </w:r>
    </w:p>
    <w:p w14:paraId="23A91382" w14:textId="16A0281C" w:rsidR="0033665E" w:rsidRPr="00850BE4" w:rsidRDefault="00684112" w:rsidP="0033665E">
      <w:pPr>
        <w:pStyle w:val="CBDDesicionText"/>
        <w:tabs>
          <w:tab w:val="clear" w:pos="1134"/>
        </w:tabs>
        <w:ind w:left="567" w:firstLine="531"/>
      </w:pPr>
      <w:r w:rsidRPr="00850BE4">
        <w:t>47</w:t>
      </w:r>
      <w:r w:rsidR="0033665E" w:rsidRPr="00850BE4">
        <w:t>.</w:t>
      </w:r>
      <w:r w:rsidR="0033665E" w:rsidRPr="00850BE4">
        <w:tab/>
      </w:r>
      <w:r w:rsidR="0033665E" w:rsidRPr="00850BE4">
        <w:rPr>
          <w:i/>
          <w:iCs/>
        </w:rPr>
        <w:t>Encourages</w:t>
      </w:r>
      <w:r w:rsidR="0033665E" w:rsidRPr="00850BE4">
        <w:t xml:space="preserve"> Parties to </w:t>
      </w:r>
      <w:r w:rsidR="0033665E" w:rsidRPr="00850BE4">
        <w:rPr>
          <w:iCs/>
        </w:rPr>
        <w:t>consult the public in the decision-making process regarding living modified organisms and make the results of such decisions available to the public</w:t>
      </w:r>
      <w:r w:rsidR="0033665E" w:rsidRPr="00850BE4">
        <w:t>, w</w:t>
      </w:r>
      <w:r w:rsidR="0033665E" w:rsidRPr="00850BE4">
        <w:rPr>
          <w:iCs/>
        </w:rPr>
        <w:t xml:space="preserve">hile respecting confidential information, in accordance with Article 21 of the Cartagena Protocol </w:t>
      </w:r>
      <w:r w:rsidR="0033665E" w:rsidRPr="00850BE4">
        <w:t>and their respective laws and regulations, with a view to increasing transparency;</w:t>
      </w:r>
    </w:p>
    <w:p w14:paraId="285E377F" w14:textId="192F79B7" w:rsidR="0033665E" w:rsidRPr="00850BE4" w:rsidRDefault="00684112" w:rsidP="0033665E">
      <w:pPr>
        <w:pStyle w:val="CBDDesicionText"/>
        <w:tabs>
          <w:tab w:val="clear" w:pos="1134"/>
        </w:tabs>
        <w:ind w:left="567" w:firstLine="531"/>
      </w:pPr>
      <w:r w:rsidRPr="00850BE4">
        <w:t>48</w:t>
      </w:r>
      <w:r w:rsidR="0033665E" w:rsidRPr="00850BE4">
        <w:t>.</w:t>
      </w:r>
      <w:r w:rsidR="0033665E" w:rsidRPr="00850BE4">
        <w:tab/>
      </w:r>
      <w:r w:rsidR="0033665E" w:rsidRPr="00850BE4">
        <w:rPr>
          <w:i/>
          <w:iCs/>
        </w:rPr>
        <w:t>Invites</w:t>
      </w:r>
      <w:r w:rsidR="0033665E" w:rsidRPr="00850BE4">
        <w:t xml:space="preserve"> Parties, other Governments and relevant organizations to provide support for capacity-building and development on fulfilling the provisions of the </w:t>
      </w:r>
      <w:r w:rsidR="0033665E" w:rsidRPr="00850BE4">
        <w:rPr>
          <w:bCs/>
        </w:rPr>
        <w:t>Cartagena</w:t>
      </w:r>
      <w:r w:rsidR="0033665E" w:rsidRPr="00850BE4">
        <w:rPr>
          <w:bCs/>
          <w:i/>
          <w:iCs/>
        </w:rPr>
        <w:t xml:space="preserve"> </w:t>
      </w:r>
      <w:r w:rsidR="0033665E" w:rsidRPr="00850BE4">
        <w:t>Protocol related to public awareness, education and participation concerning the safe transfer, handling and use of living modified organisms;</w:t>
      </w:r>
    </w:p>
    <w:p w14:paraId="4183D1BD" w14:textId="77777777" w:rsidR="0033665E" w:rsidRPr="00850BE4" w:rsidRDefault="0033665E" w:rsidP="0033665E">
      <w:pPr>
        <w:pStyle w:val="CBDNormalNumber"/>
        <w:keepNext/>
        <w:numPr>
          <w:ilvl w:val="0"/>
          <w:numId w:val="0"/>
        </w:numPr>
        <w:tabs>
          <w:tab w:val="clear" w:pos="567"/>
          <w:tab w:val="clear" w:pos="1134"/>
        </w:tabs>
        <w:ind w:left="567"/>
        <w:rPr>
          <w:i/>
          <w:iCs/>
          <w:snapToGrid w:val="0"/>
        </w:rPr>
      </w:pPr>
      <w:r w:rsidRPr="00850BE4">
        <w:rPr>
          <w:i/>
          <w:iCs/>
        </w:rPr>
        <w:t xml:space="preserve">Goal B.4: </w:t>
      </w:r>
      <w:r w:rsidRPr="00850BE4">
        <w:rPr>
          <w:i/>
          <w:iCs/>
          <w:snapToGrid w:val="0"/>
        </w:rPr>
        <w:t>Parties enhance cooperation and coordination on biosafety issues at the national, regional and international levels</w:t>
      </w:r>
    </w:p>
    <w:p w14:paraId="791207E3" w14:textId="4D5D1628" w:rsidR="0033665E" w:rsidRPr="00850BE4" w:rsidRDefault="00684112" w:rsidP="0033665E">
      <w:pPr>
        <w:pStyle w:val="CBDDesicionText"/>
        <w:tabs>
          <w:tab w:val="clear" w:pos="1134"/>
        </w:tabs>
        <w:ind w:left="567" w:firstLine="531"/>
      </w:pPr>
      <w:r w:rsidRPr="00850BE4">
        <w:t>49</w:t>
      </w:r>
      <w:r w:rsidR="0033665E" w:rsidRPr="00850BE4">
        <w:t>.</w:t>
      </w:r>
      <w:r w:rsidR="0033665E" w:rsidRPr="00850BE4">
        <w:tab/>
      </w:r>
      <w:r w:rsidR="0033665E" w:rsidRPr="00850BE4">
        <w:rPr>
          <w:i/>
          <w:iCs/>
        </w:rPr>
        <w:t xml:space="preserve">Encourages </w:t>
      </w:r>
      <w:r w:rsidR="0033665E" w:rsidRPr="00850BE4">
        <w:t>Parties, as appropriate and in accordance with their national circumstances, priorities and existing institutional arrangements, to facilitate the integration of biosafety into cross-sectoral and sectoral legislation, regulations, policies, strategies, action plans, programmes and institutions;</w:t>
      </w:r>
    </w:p>
    <w:p w14:paraId="43C59390" w14:textId="1C94807D" w:rsidR="0033665E" w:rsidRPr="00850BE4" w:rsidRDefault="007E7B3A" w:rsidP="0033665E">
      <w:pPr>
        <w:pStyle w:val="CBDDesicionText"/>
        <w:tabs>
          <w:tab w:val="clear" w:pos="1134"/>
        </w:tabs>
        <w:ind w:left="567" w:firstLine="531"/>
      </w:pPr>
      <w:r w:rsidRPr="00850BE4">
        <w:t>50</w:t>
      </w:r>
      <w:r w:rsidR="0033665E" w:rsidRPr="00850BE4">
        <w:t>.</w:t>
      </w:r>
      <w:r w:rsidR="0033665E" w:rsidRPr="00850BE4">
        <w:tab/>
      </w:r>
      <w:r w:rsidR="0033665E" w:rsidRPr="00850BE4">
        <w:rPr>
          <w:i/>
          <w:iCs/>
        </w:rPr>
        <w:t>Invites</w:t>
      </w:r>
      <w:r w:rsidR="0033665E" w:rsidRPr="00850BE4">
        <w:t xml:space="preserve"> donor countries and relevant organizations to support Parties with the integration referred to in paragraph </w:t>
      </w:r>
      <w:r w:rsidR="00AF2375" w:rsidRPr="00850BE4">
        <w:t>49</w:t>
      </w:r>
      <w:r w:rsidR="0033665E" w:rsidRPr="00850BE4">
        <w:t xml:space="preserve"> above;</w:t>
      </w:r>
    </w:p>
    <w:p w14:paraId="0DBADE25" w14:textId="08120FA2" w:rsidR="0033665E" w:rsidRPr="00850BE4" w:rsidRDefault="007E7B3A" w:rsidP="0033665E">
      <w:pPr>
        <w:pStyle w:val="CBDDesicionText"/>
        <w:tabs>
          <w:tab w:val="clear" w:pos="1134"/>
        </w:tabs>
        <w:ind w:left="567" w:firstLine="531"/>
      </w:pPr>
      <w:r w:rsidRPr="00850BE4">
        <w:t>51</w:t>
      </w:r>
      <w:r w:rsidR="0033665E" w:rsidRPr="00850BE4">
        <w:t>.</w:t>
      </w:r>
      <w:r w:rsidR="0033665E" w:rsidRPr="00850BE4">
        <w:tab/>
      </w:r>
      <w:r w:rsidR="0033665E" w:rsidRPr="00850BE4">
        <w:rPr>
          <w:i/>
          <w:iCs/>
        </w:rPr>
        <w:t>Encourages</w:t>
      </w:r>
      <w:r w:rsidR="0033665E" w:rsidRPr="00850BE4">
        <w:t xml:space="preserve"> Parties to cooperate with the technical and scientific cooperation support centres and relevant organizations in the exchange of scientific, technical and institutional knowledge on biosafety, including at the regional and international levels[, while reaffirming that risk assessment and risk management are a matter of national determination, undertaken by Parties in accordance with the Cartagena Protocol and national legislation, priorities and circumstances, and encouraging transparency and scientific integrity, including through the identification, disclosure and appropriate management of conflict of interest in relevant processes];</w:t>
      </w:r>
    </w:p>
    <w:p w14:paraId="54E8FB52" w14:textId="37EE739F" w:rsidR="0033665E" w:rsidRPr="00850BE4" w:rsidRDefault="007E7B3A" w:rsidP="0033665E">
      <w:pPr>
        <w:pStyle w:val="CBDDesicionText"/>
        <w:tabs>
          <w:tab w:val="clear" w:pos="1134"/>
        </w:tabs>
        <w:ind w:left="567" w:firstLine="531"/>
      </w:pPr>
      <w:r w:rsidRPr="00850BE4">
        <w:t>52</w:t>
      </w:r>
      <w:r w:rsidR="0033665E" w:rsidRPr="00850BE4">
        <w:t>.</w:t>
      </w:r>
      <w:r w:rsidR="0033665E" w:rsidRPr="00850BE4">
        <w:tab/>
      </w:r>
      <w:r w:rsidR="0033665E" w:rsidRPr="00850BE4">
        <w:rPr>
          <w:i/>
          <w:iCs/>
        </w:rPr>
        <w:t>Encourages</w:t>
      </w:r>
      <w:r w:rsidR="0033665E" w:rsidRPr="00850BE4">
        <w:t xml:space="preserve"> Parties that have not yet done so to develop mechanisms for involving indigenous peoples and local communities in the implementation of the Cartagena Protocol.</w:t>
      </w:r>
    </w:p>
    <w:p w14:paraId="74433D33" w14:textId="3134B01A" w:rsidR="00561066" w:rsidRPr="00850BE4" w:rsidRDefault="00561066" w:rsidP="0033665E">
      <w:pPr>
        <w:pStyle w:val="CBDNormalNumber"/>
        <w:numPr>
          <w:ilvl w:val="0"/>
          <w:numId w:val="0"/>
        </w:numPr>
      </w:pPr>
    </w:p>
    <w:p w14:paraId="7DC9AA04" w14:textId="77777777" w:rsidR="00561066" w:rsidRPr="00850BE4" w:rsidRDefault="00561066" w:rsidP="00E612A5">
      <w:pPr>
        <w:pStyle w:val="CBDAgendaItem"/>
        <w:rPr>
          <w:rFonts w:hint="eastAsia"/>
        </w:rPr>
        <w:sectPr w:rsidR="00561066" w:rsidRPr="00850BE4" w:rsidSect="00361D55">
          <w:pgSz w:w="12240" w:h="15840"/>
          <w:pgMar w:top="567" w:right="1440" w:bottom="1134" w:left="1440" w:header="709" w:footer="709" w:gutter="0"/>
          <w:cols w:space="708"/>
          <w:docGrid w:linePitch="360"/>
        </w:sectPr>
      </w:pPr>
    </w:p>
    <w:p w14:paraId="4E288C98" w14:textId="35C5235C" w:rsidR="00E612A5" w:rsidRPr="00850BE4" w:rsidRDefault="00E612A5" w:rsidP="00E612A5">
      <w:pPr>
        <w:pStyle w:val="CBDAgendaItem"/>
        <w:rPr>
          <w:rFonts w:hint="eastAsia"/>
          <w:sz w:val="26"/>
          <w:szCs w:val="26"/>
        </w:rPr>
      </w:pPr>
      <w:bookmarkStart w:id="7" w:name="_Toc241483690"/>
      <w:r w:rsidRPr="00850BE4">
        <w:rPr>
          <w:sz w:val="26"/>
          <w:szCs w:val="26"/>
        </w:rPr>
        <w:lastRenderedPageBreak/>
        <w:t xml:space="preserve">Item 9 </w:t>
      </w:r>
      <w:r w:rsidRPr="00850BE4">
        <w:rPr>
          <w:sz w:val="26"/>
          <w:szCs w:val="26"/>
        </w:rPr>
        <w:br/>
        <w:t>Matters related to the financial mechanism and resources</w:t>
      </w:r>
      <w:bookmarkEnd w:id="7"/>
    </w:p>
    <w:tbl>
      <w:tblPr>
        <w:tblStyle w:val="TableGrid"/>
        <w:tblW w:w="0" w:type="auto"/>
        <w:tblLook w:val="04A0" w:firstRow="1" w:lastRow="0" w:firstColumn="1" w:lastColumn="0" w:noHBand="0" w:noVBand="1"/>
      </w:tblPr>
      <w:tblGrid>
        <w:gridCol w:w="9360"/>
      </w:tblGrid>
      <w:tr w:rsidR="006470A9" w:rsidRPr="00850BE4" w14:paraId="0B420006" w14:textId="77777777" w:rsidTr="00E56E5C">
        <w:tc>
          <w:tcPr>
            <w:tcW w:w="9360" w:type="dxa"/>
            <w:tcBorders>
              <w:left w:val="nil"/>
              <w:right w:val="nil"/>
            </w:tcBorders>
          </w:tcPr>
          <w:p w14:paraId="0679D737" w14:textId="4AAC1452" w:rsidR="006470A9" w:rsidRPr="00850BE4" w:rsidRDefault="00BA5B1D" w:rsidP="007A644B">
            <w:pPr>
              <w:pStyle w:val="CBDNormalNumber"/>
              <w:numPr>
                <w:ilvl w:val="0"/>
                <w:numId w:val="0"/>
              </w:numPr>
              <w:ind w:firstLine="596"/>
              <w:rPr>
                <w:i/>
                <w:iCs/>
              </w:rPr>
            </w:pPr>
            <w:r w:rsidRPr="00850BE4">
              <w:rPr>
                <w:i/>
                <w:iCs/>
              </w:rPr>
              <w:t xml:space="preserve">The following draft decision has been reproduced from document </w:t>
            </w:r>
            <w:hyperlink r:id="rId32" w:history="1">
              <w:r w:rsidRPr="00850BE4">
                <w:rPr>
                  <w:rStyle w:val="Hyperlink"/>
                  <w:i/>
                  <w:iCs/>
                </w:rPr>
                <w:t>CBD/CP/MOP/12/7</w:t>
              </w:r>
            </w:hyperlink>
            <w:r w:rsidR="00850A15" w:rsidRPr="00850BE4">
              <w:rPr>
                <w:i/>
                <w:iCs/>
              </w:rPr>
              <w:t xml:space="preserve">. </w:t>
            </w:r>
          </w:p>
        </w:tc>
      </w:tr>
    </w:tbl>
    <w:p w14:paraId="242A0B6D" w14:textId="15FBA384" w:rsidR="006470A9" w:rsidRPr="00850BE4" w:rsidRDefault="00CF2308" w:rsidP="00CF2308">
      <w:pPr>
        <w:pStyle w:val="CBDcompilationH2"/>
      </w:pPr>
      <w:r w:rsidRPr="00850BE4">
        <w:t>Matters related to the financial mechanism and resources</w:t>
      </w:r>
    </w:p>
    <w:p w14:paraId="05A09CCB" w14:textId="77777777" w:rsidR="002E6E04" w:rsidRPr="00850BE4" w:rsidRDefault="002E6E04" w:rsidP="002E6E04">
      <w:pPr>
        <w:pStyle w:val="CBDNormalNumber"/>
        <w:keepNext/>
        <w:numPr>
          <w:ilvl w:val="0"/>
          <w:numId w:val="0"/>
        </w:numPr>
        <w:ind w:left="567" w:firstLine="567"/>
        <w:rPr>
          <w:i/>
          <w:iCs/>
        </w:rPr>
      </w:pPr>
      <w:r w:rsidRPr="00850BE4">
        <w:rPr>
          <w:i/>
          <w:iCs/>
        </w:rPr>
        <w:t>The Conference of the Parties serving as the meeting of the Parties to the Cartagena Protocol</w:t>
      </w:r>
      <w:r w:rsidRPr="00850BE4">
        <w:t>,</w:t>
      </w:r>
    </w:p>
    <w:p w14:paraId="7DABC825" w14:textId="77777777" w:rsidR="002E6E04" w:rsidRPr="00850BE4" w:rsidRDefault="002E6E04" w:rsidP="002E6E04">
      <w:pPr>
        <w:pStyle w:val="CBDNormalNumber"/>
        <w:numPr>
          <w:ilvl w:val="0"/>
          <w:numId w:val="0"/>
        </w:numPr>
        <w:ind w:left="567" w:firstLine="567"/>
      </w:pPr>
      <w:r w:rsidRPr="00850BE4">
        <w:rPr>
          <w:i/>
          <w:iCs/>
        </w:rPr>
        <w:t xml:space="preserve">Recalling </w:t>
      </w:r>
      <w:r w:rsidRPr="00850BE4">
        <w:t>Article 28 of the Cartagena Protocol on Biosafety,</w:t>
      </w:r>
      <w:r w:rsidRPr="00850BE4">
        <w:rPr>
          <w:rStyle w:val="FootnoteReference"/>
        </w:rPr>
        <w:footnoteReference w:id="25"/>
      </w:r>
    </w:p>
    <w:p w14:paraId="422A40AE" w14:textId="77777777" w:rsidR="002E6E04" w:rsidRPr="00850BE4" w:rsidRDefault="002E6E04" w:rsidP="002E6E04">
      <w:pPr>
        <w:pStyle w:val="CBDNormalNumber"/>
        <w:numPr>
          <w:ilvl w:val="0"/>
          <w:numId w:val="0"/>
        </w:numPr>
        <w:ind w:left="567" w:firstLine="567"/>
        <w:rPr>
          <w:i/>
          <w:iCs/>
        </w:rPr>
      </w:pPr>
      <w:r w:rsidRPr="00850BE4">
        <w:rPr>
          <w:i/>
          <w:iCs/>
        </w:rPr>
        <w:t>Having considered</w:t>
      </w:r>
      <w:r w:rsidRPr="00850BE4">
        <w:t xml:space="preserve"> the information on biosafety in the report of the Council of the Global Environment Facility for the seventeenth meeting of the Conference of the Parties to the Convention on Biological Diversity,</w:t>
      </w:r>
      <w:r w:rsidRPr="00850BE4">
        <w:rPr>
          <w:rStyle w:val="FootnoteReference"/>
        </w:rPr>
        <w:footnoteReference w:id="26"/>
      </w:r>
      <w:r w:rsidRPr="00850BE4">
        <w:rPr>
          <w:vertAlign w:val="superscript"/>
        </w:rPr>
        <w:t>,</w:t>
      </w:r>
      <w:r w:rsidRPr="00850BE4">
        <w:rPr>
          <w:rStyle w:val="FootnoteReference"/>
        </w:rPr>
        <w:footnoteReference w:id="27"/>
      </w:r>
    </w:p>
    <w:p w14:paraId="6A003C2F" w14:textId="77777777" w:rsidR="002E6E04" w:rsidRPr="007A59F7" w:rsidRDefault="002E6E04" w:rsidP="002E6E04">
      <w:pPr>
        <w:pStyle w:val="CBDNormalNoNumber"/>
        <w:ind w:firstLine="567"/>
        <w:rPr>
          <w:lang w:eastAsia="en-GB"/>
        </w:rPr>
      </w:pPr>
      <w:r w:rsidRPr="007A59F7">
        <w:rPr>
          <w:lang w:eastAsia="en-GB"/>
        </w:rPr>
        <w:t>1.</w:t>
      </w:r>
      <w:r w:rsidRPr="007A59F7">
        <w:rPr>
          <w:i/>
          <w:iCs/>
          <w:lang w:eastAsia="en-GB"/>
        </w:rPr>
        <w:tab/>
        <w:t>Welcomes</w:t>
      </w:r>
      <w:r w:rsidRPr="007A59F7">
        <w:rPr>
          <w:lang w:eastAsia="en-GB"/>
        </w:rPr>
        <w:t xml:space="preserve"> the </w:t>
      </w:r>
      <w:r w:rsidRPr="007A59F7">
        <w:rPr>
          <w:rFonts w:eastAsia="MS Mincho"/>
          <w:iCs/>
        </w:rPr>
        <w:t>ninth</w:t>
      </w:r>
      <w:r w:rsidRPr="007A59F7">
        <w:rPr>
          <w:lang w:eastAsia="en-GB"/>
        </w:rPr>
        <w:t xml:space="preserve"> replenishment of the Global Environment Facility Trust Fund and its programming directions and the support thereby made available to Parties for the implementation of the Cartagena Protocol on Biosafety,</w:t>
      </w:r>
      <w:r w:rsidRPr="00850BE4">
        <w:t xml:space="preserve"> </w:t>
      </w:r>
      <w:r w:rsidRPr="007A59F7">
        <w:rPr>
          <w:lang w:eastAsia="en-GB"/>
        </w:rPr>
        <w:t>and expresses its appreciation to the countries that contributed to the replenishment;</w:t>
      </w:r>
    </w:p>
    <w:p w14:paraId="2611C346" w14:textId="77777777" w:rsidR="002E6E04" w:rsidRPr="007A59F7" w:rsidRDefault="002E6E04" w:rsidP="002E6E04">
      <w:pPr>
        <w:pStyle w:val="CBDNormalNoNumber"/>
        <w:ind w:firstLine="567"/>
        <w:rPr>
          <w:lang w:eastAsia="en-GB"/>
        </w:rPr>
      </w:pPr>
      <w:r w:rsidRPr="007A59F7">
        <w:rPr>
          <w:lang w:eastAsia="en-GB"/>
        </w:rPr>
        <w:t>2.</w:t>
      </w:r>
      <w:r w:rsidRPr="007A59F7">
        <w:rPr>
          <w:i/>
          <w:iCs/>
          <w:lang w:eastAsia="en-GB"/>
        </w:rPr>
        <w:tab/>
        <w:t>Welcomes with appreciation</w:t>
      </w:r>
      <w:r w:rsidRPr="007A59F7">
        <w:rPr>
          <w:lang w:eastAsia="en-GB"/>
        </w:rPr>
        <w:t xml:space="preserve"> </w:t>
      </w:r>
      <w:r w:rsidRPr="00850BE4">
        <w:t xml:space="preserve">the measures taken by the Global Environment Facility to enhance </w:t>
      </w:r>
      <w:r w:rsidRPr="007A59F7">
        <w:rPr>
          <w:lang w:eastAsia="en-GB"/>
        </w:rPr>
        <w:t>the financial mechanism with respect to biosafety;</w:t>
      </w:r>
    </w:p>
    <w:p w14:paraId="127D12FF" w14:textId="77777777" w:rsidR="002E6E04" w:rsidRPr="007A59F7" w:rsidRDefault="002E6E04" w:rsidP="002E6E04">
      <w:pPr>
        <w:pStyle w:val="CBDNormalNoNumber"/>
        <w:ind w:firstLine="567"/>
        <w:rPr>
          <w:lang w:eastAsia="en-GB"/>
        </w:rPr>
      </w:pPr>
      <w:r w:rsidRPr="007A59F7">
        <w:rPr>
          <w:lang w:eastAsia="en-GB"/>
        </w:rPr>
        <w:t>3.</w:t>
      </w:r>
      <w:r w:rsidRPr="007A59F7">
        <w:rPr>
          <w:i/>
          <w:iCs/>
          <w:lang w:eastAsia="en-GB"/>
        </w:rPr>
        <w:tab/>
        <w:t>Recommends</w:t>
      </w:r>
      <w:r w:rsidRPr="007A59F7">
        <w:rPr>
          <w:lang w:eastAsia="en-GB"/>
        </w:rPr>
        <w:t xml:space="preserve"> that the Conference of the Parties to the Convention on Biological Diversity </w:t>
      </w:r>
      <w:proofErr w:type="gramStart"/>
      <w:r w:rsidRPr="007A59F7">
        <w:rPr>
          <w:lang w:eastAsia="en-GB"/>
        </w:rPr>
        <w:t>give full consideration to</w:t>
      </w:r>
      <w:proofErr w:type="gramEnd"/>
      <w:r w:rsidRPr="007A59F7">
        <w:rPr>
          <w:lang w:eastAsia="en-GB"/>
        </w:rPr>
        <w:t xml:space="preserve"> the Cartagena Protocol in the terms of reference to be adopted for the seventh quadrennial review of the effectiveness of the financial mechanism under the Convention;</w:t>
      </w:r>
    </w:p>
    <w:p w14:paraId="634E8DD0" w14:textId="77777777" w:rsidR="002E6E04" w:rsidRPr="007A59F7" w:rsidRDefault="002E6E04" w:rsidP="002E6E04">
      <w:pPr>
        <w:pStyle w:val="CBDNormalNoNumber"/>
        <w:ind w:firstLine="567"/>
        <w:rPr>
          <w:lang w:eastAsia="en-GB"/>
        </w:rPr>
      </w:pPr>
      <w:r w:rsidRPr="00850BE4">
        <w:t>4.</w:t>
      </w:r>
      <w:r w:rsidRPr="00850BE4">
        <w:tab/>
      </w:r>
      <w:r w:rsidRPr="007A59F7">
        <w:rPr>
          <w:i/>
          <w:iCs/>
          <w:lang w:eastAsia="en-GB"/>
        </w:rPr>
        <w:t>Invites</w:t>
      </w:r>
      <w:r w:rsidRPr="007A59F7">
        <w:rPr>
          <w:lang w:eastAsia="en-GB"/>
        </w:rPr>
        <w:t xml:space="preserve"> Parties to the Cartagena Protocol to contribute to and participate in the seventh quadrennial review of the effectiveness of the financial mechanism;</w:t>
      </w:r>
    </w:p>
    <w:p w14:paraId="57A341D9" w14:textId="77777777" w:rsidR="002E6E04" w:rsidRPr="007A59F7" w:rsidRDefault="002E6E04" w:rsidP="002E6E04">
      <w:pPr>
        <w:pStyle w:val="CBDNormalNoNumber"/>
        <w:ind w:firstLine="567"/>
        <w:rPr>
          <w:i/>
          <w:iCs/>
          <w:lang w:eastAsia="en-GB"/>
        </w:rPr>
      </w:pPr>
      <w:r w:rsidRPr="00850BE4">
        <w:rPr>
          <w:iCs/>
        </w:rPr>
        <w:t>5.</w:t>
      </w:r>
      <w:r w:rsidRPr="00850BE4">
        <w:rPr>
          <w:i/>
        </w:rPr>
        <w:tab/>
        <w:t xml:space="preserve">Urges </w:t>
      </w:r>
      <w:r w:rsidRPr="00850BE4" w:rsidDel="00211339">
        <w:t>eligible</w:t>
      </w:r>
      <w:r w:rsidRPr="00850BE4">
        <w:t xml:space="preserve"> Parties to use the resources allocated to biosafety activities by the Global Environment Facility through its System for Transparent Allocation of Resources and to integrate biosafety into their biodiversity projects, in accordance with nationally identified needs and priorities;</w:t>
      </w:r>
    </w:p>
    <w:p w14:paraId="2D220124" w14:textId="77777777" w:rsidR="002E6E04" w:rsidRPr="007A59F7" w:rsidRDefault="002E6E04" w:rsidP="002E6E04">
      <w:pPr>
        <w:pStyle w:val="CBDNormalNoNumber"/>
        <w:keepNext/>
        <w:ind w:firstLine="567"/>
        <w:rPr>
          <w:lang w:eastAsia="en-GB"/>
        </w:rPr>
      </w:pPr>
      <w:r w:rsidRPr="007A59F7">
        <w:rPr>
          <w:lang w:eastAsia="en-GB"/>
        </w:rPr>
        <w:t>6.</w:t>
      </w:r>
      <w:r w:rsidRPr="007A59F7">
        <w:rPr>
          <w:lang w:eastAsia="en-GB"/>
        </w:rPr>
        <w:tab/>
      </w:r>
      <w:r w:rsidRPr="007A59F7">
        <w:rPr>
          <w:i/>
          <w:iCs/>
          <w:lang w:eastAsia="en-GB"/>
        </w:rPr>
        <w:t>Encourages</w:t>
      </w:r>
      <w:r w:rsidRPr="007A59F7">
        <w:rPr>
          <w:lang w:eastAsia="en-GB"/>
        </w:rPr>
        <w:t xml:space="preserve"> eligible Parties:</w:t>
      </w:r>
    </w:p>
    <w:p w14:paraId="0C929DB8" w14:textId="77777777" w:rsidR="002E6E04" w:rsidRPr="00850BE4" w:rsidRDefault="002E6E04" w:rsidP="002E6E04">
      <w:pPr>
        <w:pStyle w:val="CBDsubpara-item"/>
        <w:ind w:left="567" w:firstLine="567"/>
        <w:jc w:val="both"/>
      </w:pPr>
      <w:r w:rsidRPr="00850BE4">
        <w:t>(a)</w:t>
      </w:r>
      <w:r w:rsidRPr="00850BE4">
        <w:tab/>
        <w:t>To include needs and provisions for the implementation of the Cartagena Protocol in their national biodiversity finance plans;</w:t>
      </w:r>
    </w:p>
    <w:p w14:paraId="6FB954F0" w14:textId="77777777" w:rsidR="002E6E04" w:rsidRPr="00850BE4" w:rsidRDefault="002E6E04" w:rsidP="002E6E04">
      <w:pPr>
        <w:pStyle w:val="CBDsubpara-item"/>
        <w:ind w:left="567" w:firstLine="567"/>
        <w:jc w:val="both"/>
      </w:pPr>
      <w:r w:rsidRPr="00850BE4">
        <w:t>(b)</w:t>
      </w:r>
      <w:r w:rsidRPr="00850BE4">
        <w:tab/>
        <w:t xml:space="preserve">To cooperate at the regional and subregional levels, as appropriate, </w:t>
      </w:r>
      <w:proofErr w:type="gramStart"/>
      <w:r w:rsidRPr="00850BE4">
        <w:t>in order to</w:t>
      </w:r>
      <w:proofErr w:type="gramEnd"/>
      <w:r w:rsidRPr="00850BE4">
        <w:t xml:space="preserve"> prepare requests for support from the Global Environment Facility for joint projects contributing to the cost-effective sharing of resources, information, experiences and expertise and to maximize complementarities and opportunities in that regard;</w:t>
      </w:r>
    </w:p>
    <w:p w14:paraId="33FC64C3" w14:textId="77777777" w:rsidR="002E6E04" w:rsidRPr="007A59F7" w:rsidRDefault="002E6E04" w:rsidP="002E6E04">
      <w:pPr>
        <w:pStyle w:val="CBDsubpara-item"/>
        <w:ind w:left="567" w:firstLine="567"/>
        <w:jc w:val="both"/>
        <w:rPr>
          <w:lang w:eastAsia="en-GB"/>
        </w:rPr>
      </w:pPr>
      <w:r w:rsidRPr="00850BE4">
        <w:t>(c)</w:t>
      </w:r>
      <w:r w:rsidRPr="00850BE4">
        <w:tab/>
        <w:t>To contribute biosafety elements to the four-year outcome-oriented framework of programme priorities related to the use of Global Environment Facility resources for biodiversity for the period from July 2030 to June 2034;</w:t>
      </w:r>
    </w:p>
    <w:p w14:paraId="74B26421" w14:textId="77777777" w:rsidR="002E6E04" w:rsidRPr="007A59F7" w:rsidRDefault="002E6E04" w:rsidP="002E6E04">
      <w:pPr>
        <w:pStyle w:val="CBDNormalNoNumber"/>
        <w:keepNext/>
        <w:ind w:firstLine="567"/>
      </w:pPr>
      <w:r w:rsidRPr="00850BE4">
        <w:rPr>
          <w:iCs/>
        </w:rPr>
        <w:lastRenderedPageBreak/>
        <w:t>7.</w:t>
      </w:r>
      <w:r w:rsidRPr="00850BE4">
        <w:rPr>
          <w:i/>
        </w:rPr>
        <w:tab/>
        <w:t>R</w:t>
      </w:r>
      <w:r w:rsidRPr="007A59F7">
        <w:rPr>
          <w:i/>
        </w:rPr>
        <w:t>ecommends</w:t>
      </w:r>
      <w:r w:rsidRPr="007A59F7">
        <w:t xml:space="preserve"> that, in adopting its guidance to the </w:t>
      </w:r>
      <w:r w:rsidRPr="00850BE4">
        <w:t>Global Environment Facility</w:t>
      </w:r>
      <w:r w:rsidRPr="007A59F7">
        <w:t xml:space="preserve"> with respect to support for the implementation of the Cartagena Protocol, the Conference of the Parties to the Convention </w:t>
      </w:r>
      <w:r w:rsidRPr="00850BE4">
        <w:t>request</w:t>
      </w:r>
      <w:r w:rsidRPr="007A59F7">
        <w:t xml:space="preserve"> the Facility:</w:t>
      </w:r>
    </w:p>
    <w:p w14:paraId="7AB83747" w14:textId="77777777" w:rsidR="002E6E04" w:rsidRPr="007A59F7" w:rsidRDefault="002E6E04" w:rsidP="002E6E04">
      <w:pPr>
        <w:pStyle w:val="CBDRecommendText"/>
        <w:ind w:firstLine="567"/>
      </w:pPr>
      <w:r w:rsidRPr="007A59F7">
        <w:t>(a)</w:t>
      </w:r>
      <w:r w:rsidRPr="007A59F7">
        <w:tab/>
        <w:t>To make specific, adequate and timely funding available to eligible Parties for putting in place legal, administrative and other measures for implementing the Cartagena Protocol;</w:t>
      </w:r>
    </w:p>
    <w:p w14:paraId="082D9136" w14:textId="77777777" w:rsidR="002E6E04" w:rsidRPr="00850BE4" w:rsidRDefault="002E6E04" w:rsidP="002E6E04">
      <w:pPr>
        <w:pStyle w:val="CBDRecommendText"/>
        <w:ind w:firstLine="567"/>
      </w:pPr>
      <w:r w:rsidRPr="00850BE4">
        <w:t>(b)</w:t>
      </w:r>
      <w:r w:rsidRPr="00850BE4">
        <w:tab/>
        <w:t xml:space="preserve">To continue to provide support for the effective use of the Biosafety </w:t>
      </w:r>
      <w:proofErr w:type="gramStart"/>
      <w:r w:rsidRPr="00850BE4">
        <w:t>Clearing-House</w:t>
      </w:r>
      <w:proofErr w:type="gramEnd"/>
      <w:r w:rsidRPr="00850BE4">
        <w:t>;</w:t>
      </w:r>
    </w:p>
    <w:p w14:paraId="5728862E" w14:textId="77777777" w:rsidR="002E6E04" w:rsidRPr="00850BE4" w:rsidRDefault="002E6E04" w:rsidP="002E6E04">
      <w:pPr>
        <w:pStyle w:val="CBDRecommendText"/>
        <w:ind w:firstLine="567"/>
      </w:pPr>
      <w:r w:rsidRPr="00850BE4">
        <w:t>(c)</w:t>
      </w:r>
      <w:r w:rsidRPr="00850BE4">
        <w:tab/>
        <w:t>To assist eligible Parties by providing them,</w:t>
      </w:r>
      <w:r w:rsidRPr="00850BE4">
        <w:rPr>
          <w:i/>
          <w:iCs/>
        </w:rPr>
        <w:t xml:space="preserve"> </w:t>
      </w:r>
      <w:r w:rsidRPr="00850BE4">
        <w:t xml:space="preserve">sufficiently in advance of the reporting deadline, with financial support to hold adequate national consultations, thus giving them enough time to prepare </w:t>
      </w:r>
      <w:r w:rsidRPr="00850BE4">
        <w:rPr>
          <w:lang w:eastAsia="en-GB"/>
        </w:rPr>
        <w:t>their sixth</w:t>
      </w:r>
      <w:r w:rsidRPr="00850BE4">
        <w:t xml:space="preserve"> national reports and submit them in a timely manner;</w:t>
      </w:r>
    </w:p>
    <w:p w14:paraId="48B06A14" w14:textId="77777777" w:rsidR="002E6E04" w:rsidRPr="007A59F7" w:rsidRDefault="002E6E04" w:rsidP="002E6E04">
      <w:pPr>
        <w:pStyle w:val="CBDRecommendText"/>
        <w:ind w:firstLine="567"/>
      </w:pPr>
      <w:r w:rsidRPr="00850BE4">
        <w:t>(d)</w:t>
      </w:r>
      <w:r w:rsidRPr="00850BE4">
        <w:tab/>
        <w:t xml:space="preserve">To </w:t>
      </w:r>
      <w:r w:rsidRPr="007A59F7">
        <w:t>make specific, adequate and timely funding available to eligible Parties to implement compliance action plans developed at the request of the Compliance Committee under the Cartagena Protocol;</w:t>
      </w:r>
    </w:p>
    <w:p w14:paraId="32E2532A" w14:textId="51D67653" w:rsidR="002E6E04" w:rsidRPr="00850BE4" w:rsidRDefault="002E6E04" w:rsidP="002E6E04">
      <w:pPr>
        <w:pStyle w:val="CBDRecommendText"/>
        <w:ind w:firstLine="567"/>
      </w:pPr>
      <w:r w:rsidRPr="007A59F7">
        <w:t>(e)</w:t>
      </w:r>
      <w:r w:rsidRPr="007A59F7">
        <w:tab/>
        <w:t xml:space="preserve">To </w:t>
      </w:r>
      <w:r w:rsidRPr="00850BE4">
        <w:t>continue to support capacity-building and development on biosafety, [as part of country-driven projects,] including during the ninth replenishment period of its Trust Fund (July</w:t>
      </w:r>
      <w:r w:rsidR="0070640A" w:rsidRPr="00850BE4">
        <w:t> </w:t>
      </w:r>
      <w:r w:rsidRPr="00850BE4">
        <w:t xml:space="preserve">2026−June 2030) and through the Global Biodiversity Framework Fund, according to the mandates of the respective </w:t>
      </w:r>
      <w:proofErr w:type="gramStart"/>
      <w:r w:rsidRPr="00850BE4">
        <w:t>Funds[</w:t>
      </w:r>
      <w:proofErr w:type="gramEnd"/>
      <w:r w:rsidRPr="00850BE4">
        <w:t>, and to establish [direct,] adequate, predictable and dedicated funding channels for biosafety to ensure that implementation needs are fully met];</w:t>
      </w:r>
    </w:p>
    <w:p w14:paraId="2F9D3A31" w14:textId="77777777" w:rsidR="002E6E04" w:rsidRPr="007A59F7" w:rsidRDefault="002E6E04" w:rsidP="002E6E04">
      <w:pPr>
        <w:pStyle w:val="CBDNormalNoNumber"/>
        <w:ind w:firstLine="567"/>
        <w:rPr>
          <w:lang w:eastAsia="en-GB"/>
        </w:rPr>
      </w:pPr>
      <w:r w:rsidRPr="00850BE4">
        <w:rPr>
          <w:lang w:eastAsia="en-GB"/>
        </w:rPr>
        <w:t>8.</w:t>
      </w:r>
      <w:r w:rsidRPr="00850BE4">
        <w:rPr>
          <w:lang w:eastAsia="en-GB"/>
        </w:rPr>
        <w:tab/>
      </w:r>
      <w:r w:rsidRPr="007A59F7">
        <w:rPr>
          <w:i/>
          <w:iCs/>
          <w:lang w:eastAsia="en-GB"/>
        </w:rPr>
        <w:t>Requests</w:t>
      </w:r>
      <w:r w:rsidRPr="007A59F7">
        <w:rPr>
          <w:lang w:eastAsia="en-GB"/>
        </w:rPr>
        <w:t xml:space="preserve"> the Executive Secretary to continue to explore other means for mobilizing additional </w:t>
      </w:r>
      <w:r w:rsidRPr="00850BE4">
        <w:t>financial</w:t>
      </w:r>
      <w:r w:rsidRPr="007A59F7">
        <w:rPr>
          <w:lang w:eastAsia="en-GB"/>
        </w:rPr>
        <w:t xml:space="preserve"> resources for the implementation of the Cartagena Protocol and report on that work at the thirteenth meeting of the Conference of the Parties serving as the meeting of the Parties to the Protocol.</w:t>
      </w:r>
    </w:p>
    <w:p w14:paraId="6FAABA34" w14:textId="77777777" w:rsidR="00C21886" w:rsidRPr="007A59F7" w:rsidRDefault="00C21886" w:rsidP="00642A24">
      <w:pPr>
        <w:pStyle w:val="CBDNormalNumber"/>
        <w:numPr>
          <w:ilvl w:val="0"/>
          <w:numId w:val="0"/>
        </w:numPr>
        <w:ind w:left="567"/>
      </w:pPr>
    </w:p>
    <w:p w14:paraId="76E8C332" w14:textId="77777777" w:rsidR="00483532" w:rsidRPr="00850BE4" w:rsidRDefault="00483532" w:rsidP="00E612A5">
      <w:pPr>
        <w:pStyle w:val="CBDAgendaItem"/>
        <w:rPr>
          <w:rFonts w:hint="eastAsia"/>
        </w:rPr>
        <w:sectPr w:rsidR="00483532" w:rsidRPr="00850BE4" w:rsidSect="00361D55">
          <w:pgSz w:w="12240" w:h="15840"/>
          <w:pgMar w:top="567" w:right="1440" w:bottom="1134" w:left="1440" w:header="709" w:footer="709" w:gutter="0"/>
          <w:cols w:space="708"/>
          <w:docGrid w:linePitch="360"/>
        </w:sectPr>
      </w:pPr>
    </w:p>
    <w:p w14:paraId="6B608CE2" w14:textId="7F9C6F39" w:rsidR="00E612A5" w:rsidRPr="00850BE4" w:rsidRDefault="00E612A5" w:rsidP="007244E6">
      <w:pPr>
        <w:pStyle w:val="CBDAgendaItem"/>
        <w:spacing w:before="120"/>
        <w:rPr>
          <w:rFonts w:hint="eastAsia"/>
          <w:sz w:val="26"/>
          <w:szCs w:val="26"/>
        </w:rPr>
      </w:pPr>
      <w:bookmarkStart w:id="8" w:name="_Toc241483691"/>
      <w:r w:rsidRPr="00850BE4">
        <w:rPr>
          <w:sz w:val="26"/>
          <w:szCs w:val="26"/>
        </w:rPr>
        <w:lastRenderedPageBreak/>
        <w:t xml:space="preserve">Item 10 </w:t>
      </w:r>
      <w:r w:rsidRPr="00850BE4">
        <w:rPr>
          <w:sz w:val="26"/>
          <w:szCs w:val="26"/>
        </w:rPr>
        <w:br/>
        <w:t xml:space="preserve">Operation and activities of the Biosafety </w:t>
      </w:r>
      <w:proofErr w:type="gramStart"/>
      <w:r w:rsidRPr="00850BE4">
        <w:rPr>
          <w:sz w:val="26"/>
          <w:szCs w:val="26"/>
        </w:rPr>
        <w:t>Clearing-House</w:t>
      </w:r>
      <w:bookmarkEnd w:id="8"/>
      <w:proofErr w:type="gramEnd"/>
    </w:p>
    <w:tbl>
      <w:tblPr>
        <w:tblStyle w:val="TableGrid"/>
        <w:tblW w:w="0" w:type="auto"/>
        <w:tblLook w:val="04A0" w:firstRow="1" w:lastRow="0" w:firstColumn="1" w:lastColumn="0" w:noHBand="0" w:noVBand="1"/>
      </w:tblPr>
      <w:tblGrid>
        <w:gridCol w:w="9360"/>
      </w:tblGrid>
      <w:tr w:rsidR="006470A9" w:rsidRPr="00850BE4" w14:paraId="6536F9DD" w14:textId="77777777" w:rsidTr="00E56E5C">
        <w:tc>
          <w:tcPr>
            <w:tcW w:w="9360" w:type="dxa"/>
            <w:tcBorders>
              <w:left w:val="nil"/>
              <w:right w:val="nil"/>
            </w:tcBorders>
          </w:tcPr>
          <w:p w14:paraId="1A590C3B" w14:textId="53CE3BEC" w:rsidR="006470A9" w:rsidRPr="00850BE4" w:rsidRDefault="00A918D6" w:rsidP="00E57094">
            <w:pPr>
              <w:pStyle w:val="CBDNormalNumber"/>
              <w:numPr>
                <w:ilvl w:val="0"/>
                <w:numId w:val="0"/>
              </w:numPr>
              <w:ind w:firstLine="596"/>
              <w:rPr>
                <w:i/>
                <w:iCs/>
              </w:rPr>
            </w:pPr>
            <w:r w:rsidRPr="00850BE4">
              <w:rPr>
                <w:i/>
                <w:iCs/>
              </w:rPr>
              <w:t xml:space="preserve">The following draft decision has been reproduced from document </w:t>
            </w:r>
            <w:hyperlink r:id="rId33" w:history="1">
              <w:r w:rsidRPr="00850BE4">
                <w:rPr>
                  <w:rStyle w:val="Hyperlink"/>
                  <w:i/>
                  <w:iCs/>
                </w:rPr>
                <w:t>CBD/CP/MOP/12/8</w:t>
              </w:r>
            </w:hyperlink>
            <w:r w:rsidR="00BA7FD7" w:rsidRPr="00850BE4">
              <w:rPr>
                <w:i/>
                <w:iCs/>
              </w:rPr>
              <w:t>.</w:t>
            </w:r>
          </w:p>
        </w:tc>
      </w:tr>
    </w:tbl>
    <w:p w14:paraId="02850BE4" w14:textId="64E5C267" w:rsidR="006470A9" w:rsidRPr="00850BE4" w:rsidRDefault="00D15838" w:rsidP="00D15838">
      <w:pPr>
        <w:pStyle w:val="CBDcompilationH2"/>
      </w:pPr>
      <w:r w:rsidRPr="00850BE4">
        <w:t xml:space="preserve">Operation and activities of the Biosafety </w:t>
      </w:r>
      <w:proofErr w:type="gramStart"/>
      <w:r w:rsidRPr="00850BE4">
        <w:t>Clearing-House</w:t>
      </w:r>
      <w:proofErr w:type="gramEnd"/>
    </w:p>
    <w:p w14:paraId="59051A10" w14:textId="77777777" w:rsidR="00D14E9E" w:rsidRPr="00850BE4" w:rsidRDefault="00D14E9E" w:rsidP="00D14E9E">
      <w:pPr>
        <w:pStyle w:val="CBDNormalNumber"/>
        <w:numPr>
          <w:ilvl w:val="0"/>
          <w:numId w:val="0"/>
        </w:numPr>
        <w:ind w:left="567" w:firstLine="567"/>
        <w:rPr>
          <w:i/>
          <w:iCs/>
        </w:rPr>
      </w:pPr>
      <w:r w:rsidRPr="00850BE4">
        <w:rPr>
          <w:i/>
          <w:iCs/>
        </w:rPr>
        <w:t>The Conference of the Parties serving as the meeting of the Parties to the Cartagena Protocol</w:t>
      </w:r>
    </w:p>
    <w:p w14:paraId="33C5AA76" w14:textId="77777777" w:rsidR="00D14E9E" w:rsidRPr="00850BE4" w:rsidRDefault="00D14E9E" w:rsidP="00D14E9E">
      <w:pPr>
        <w:pStyle w:val="CBDNormalNumber"/>
        <w:numPr>
          <w:ilvl w:val="0"/>
          <w:numId w:val="0"/>
        </w:numPr>
        <w:ind w:left="567" w:firstLine="567"/>
      </w:pPr>
      <w:r w:rsidRPr="00850BE4">
        <w:t>1.</w:t>
      </w:r>
      <w:r w:rsidRPr="00850BE4">
        <w:tab/>
      </w:r>
      <w:r w:rsidRPr="00850BE4">
        <w:rPr>
          <w:i/>
          <w:iCs/>
        </w:rPr>
        <w:t>Welcomes with appreciation</w:t>
      </w:r>
      <w:r w:rsidRPr="00850BE4">
        <w:t xml:space="preserve"> the work of the Informal Advisory Committee on the Biosafety </w:t>
      </w:r>
      <w:proofErr w:type="gramStart"/>
      <w:r w:rsidRPr="00850BE4">
        <w:t>Clearing-House</w:t>
      </w:r>
      <w:proofErr w:type="gramEnd"/>
      <w:r w:rsidRPr="00850BE4">
        <w:t>, including the recommendations made at its thirteenth meeting</w:t>
      </w:r>
      <w:r w:rsidRPr="00850BE4">
        <w:rPr>
          <w:rStyle w:val="FootnoteReference"/>
        </w:rPr>
        <w:footnoteReference w:id="28"/>
      </w:r>
      <w:r w:rsidRPr="00850BE4">
        <w:t xml:space="preserve"> and the support provided by the Committee for the development of the customized biosafety national website template using the </w:t>
      </w:r>
      <w:proofErr w:type="spellStart"/>
      <w:r w:rsidRPr="00850BE4">
        <w:t>Bioland</w:t>
      </w:r>
      <w:proofErr w:type="spellEnd"/>
      <w:r w:rsidRPr="00850BE4">
        <w:t xml:space="preserve"> tool;</w:t>
      </w:r>
    </w:p>
    <w:p w14:paraId="412931C1" w14:textId="77777777" w:rsidR="00D14E9E" w:rsidRPr="00850BE4" w:rsidRDefault="00D14E9E" w:rsidP="00D14E9E">
      <w:pPr>
        <w:pStyle w:val="CBDNormalNumber"/>
        <w:numPr>
          <w:ilvl w:val="0"/>
          <w:numId w:val="0"/>
        </w:numPr>
        <w:ind w:left="567" w:firstLine="567"/>
      </w:pPr>
      <w:r w:rsidRPr="00850BE4">
        <w:t>2.</w:t>
      </w:r>
      <w:r w:rsidRPr="00850BE4">
        <w:tab/>
      </w:r>
      <w:r w:rsidRPr="00850BE4">
        <w:rPr>
          <w:i/>
          <w:iCs/>
        </w:rPr>
        <w:t>Welcomes</w:t>
      </w:r>
      <w:r w:rsidRPr="00850BE4">
        <w:t xml:space="preserve"> progress towards Goal A.2 of the implementation plan for the Cartagena Protocol on Biosafety,</w:t>
      </w:r>
      <w:r w:rsidRPr="00850BE4">
        <w:rPr>
          <w:rStyle w:val="FootnoteReference"/>
        </w:rPr>
        <w:footnoteReference w:id="29"/>
      </w:r>
      <w:r w:rsidRPr="00850BE4">
        <w:rPr>
          <w:vertAlign w:val="superscript"/>
        </w:rPr>
        <w:t>,</w:t>
      </w:r>
      <w:r w:rsidRPr="00850BE4">
        <w:rPr>
          <w:rStyle w:val="FootnoteReference"/>
        </w:rPr>
        <w:footnoteReference w:id="30"/>
      </w:r>
      <w:r w:rsidRPr="00850BE4">
        <w:t xml:space="preserve"> </w:t>
      </w:r>
      <w:proofErr w:type="gramStart"/>
      <w:r w:rsidRPr="00850BE4">
        <w:t>in particular the</w:t>
      </w:r>
      <w:proofErr w:type="gramEnd"/>
      <w:r w:rsidRPr="00850BE4">
        <w:t xml:space="preserve"> increase in Parties publishing mandatory information through the Biosafety </w:t>
      </w:r>
      <w:proofErr w:type="gramStart"/>
      <w:r w:rsidRPr="00850BE4">
        <w:t>Clearing-House</w:t>
      </w:r>
      <w:proofErr w:type="gramEnd"/>
      <w:r w:rsidRPr="00850BE4">
        <w:t xml:space="preserve">, and the ongoing efforts made by Parties to maintain accurate and complete information in the </w:t>
      </w:r>
      <w:proofErr w:type="gramStart"/>
      <w:r w:rsidRPr="00850BE4">
        <w:t>Clearing-House</w:t>
      </w:r>
      <w:proofErr w:type="gramEnd"/>
      <w:r w:rsidRPr="00850BE4">
        <w:t xml:space="preserve">; </w:t>
      </w:r>
    </w:p>
    <w:p w14:paraId="64669E7D" w14:textId="77777777" w:rsidR="00D14E9E" w:rsidRPr="00850BE4" w:rsidRDefault="00D14E9E" w:rsidP="00D14E9E">
      <w:pPr>
        <w:pStyle w:val="CBDNormalNumber"/>
        <w:numPr>
          <w:ilvl w:val="0"/>
          <w:numId w:val="0"/>
        </w:numPr>
        <w:ind w:left="567" w:firstLine="567"/>
      </w:pPr>
      <w:r w:rsidRPr="00850BE4">
        <w:t>3.</w:t>
      </w:r>
      <w:r w:rsidRPr="00850BE4">
        <w:tab/>
      </w:r>
      <w:r w:rsidRPr="00850BE4">
        <w:rPr>
          <w:i/>
          <w:iCs/>
        </w:rPr>
        <w:t xml:space="preserve">Encourages </w:t>
      </w:r>
      <w:r w:rsidRPr="00850BE4">
        <w:t xml:space="preserve">Parties to continue to review their national records systematically, with a view to ensuring that the information made available through the Biosafety </w:t>
      </w:r>
      <w:proofErr w:type="gramStart"/>
      <w:r w:rsidRPr="00850BE4">
        <w:t>Clearing-House</w:t>
      </w:r>
      <w:proofErr w:type="gramEnd"/>
      <w:r w:rsidRPr="00850BE4">
        <w:t xml:space="preserve"> is up to date and complete;</w:t>
      </w:r>
    </w:p>
    <w:p w14:paraId="4FDB1865" w14:textId="77777777" w:rsidR="00D14E9E" w:rsidRPr="00850BE4" w:rsidRDefault="00D14E9E" w:rsidP="00D14E9E">
      <w:pPr>
        <w:pStyle w:val="CBDNormalNumber"/>
        <w:numPr>
          <w:ilvl w:val="0"/>
          <w:numId w:val="0"/>
        </w:numPr>
        <w:ind w:left="567" w:firstLine="567"/>
        <w:rPr>
          <w:i/>
          <w:iCs/>
        </w:rPr>
      </w:pPr>
      <w:r w:rsidRPr="00850BE4">
        <w:t>4.</w:t>
      </w:r>
      <w:r w:rsidRPr="00850BE4">
        <w:rPr>
          <w:i/>
          <w:iCs/>
        </w:rPr>
        <w:tab/>
        <w:t>Reminds</w:t>
      </w:r>
      <w:r w:rsidRPr="00850BE4">
        <w:t xml:space="preserve"> Parties of their obligation to publish the final decisions taken regarding the import or release of living modified organisms and corresponding summaries of risk assessments through the Biosafety </w:t>
      </w:r>
      <w:proofErr w:type="gramStart"/>
      <w:r w:rsidRPr="00850BE4">
        <w:t>Clearing-House</w:t>
      </w:r>
      <w:proofErr w:type="gramEnd"/>
      <w:r w:rsidRPr="00850BE4">
        <w:t>, in compliance with Article 20 of the Cartagena Protocol;</w:t>
      </w:r>
    </w:p>
    <w:p w14:paraId="2343C59E" w14:textId="77777777" w:rsidR="00D14E9E" w:rsidRPr="00850BE4" w:rsidRDefault="00D14E9E" w:rsidP="00D14E9E">
      <w:pPr>
        <w:pStyle w:val="CBDNormalNumber"/>
        <w:numPr>
          <w:ilvl w:val="0"/>
          <w:numId w:val="0"/>
        </w:numPr>
        <w:ind w:left="567" w:firstLine="567"/>
      </w:pPr>
      <w:r w:rsidRPr="00850BE4">
        <w:t>5.</w:t>
      </w:r>
      <w:r w:rsidRPr="00850BE4">
        <w:tab/>
      </w:r>
      <w:r w:rsidRPr="00850BE4">
        <w:rPr>
          <w:i/>
          <w:iCs/>
        </w:rPr>
        <w:t xml:space="preserve">Requests </w:t>
      </w:r>
      <w:r w:rsidRPr="00850BE4">
        <w:t xml:space="preserve">Parties to review the biosafety </w:t>
      </w:r>
      <w:proofErr w:type="gramStart"/>
      <w:r w:rsidRPr="00850BE4">
        <w:t>experts</w:t>
      </w:r>
      <w:proofErr w:type="gramEnd"/>
      <w:r w:rsidRPr="00850BE4">
        <w:t xml:space="preserve"> national records published through the Biosafety </w:t>
      </w:r>
      <w:proofErr w:type="gramStart"/>
      <w:r w:rsidRPr="00850BE4">
        <w:t>Clearing-House</w:t>
      </w:r>
      <w:proofErr w:type="gramEnd"/>
      <w:r w:rsidRPr="00850BE4">
        <w:t xml:space="preserve"> and associated with each Party, with a view to ensuring that the list of experts is up to date, outdated records are removed and all relevant experts are included;</w:t>
      </w:r>
    </w:p>
    <w:p w14:paraId="7A00F997" w14:textId="77777777" w:rsidR="00D14E9E" w:rsidRPr="00850BE4" w:rsidRDefault="00D14E9E" w:rsidP="00D14E9E">
      <w:pPr>
        <w:pStyle w:val="CBDNormalNumber"/>
        <w:numPr>
          <w:ilvl w:val="0"/>
          <w:numId w:val="0"/>
        </w:numPr>
        <w:ind w:left="567" w:firstLine="567"/>
      </w:pPr>
      <w:r w:rsidRPr="00850BE4">
        <w:t>6.</w:t>
      </w:r>
      <w:r w:rsidRPr="00850BE4">
        <w:rPr>
          <w:i/>
          <w:iCs/>
        </w:rPr>
        <w:tab/>
        <w:t>Invites</w:t>
      </w:r>
      <w:r w:rsidRPr="00850BE4">
        <w:t xml:space="preserve"> Parties, other Governments and relevant organizations to make available and submit scientific information through the Biosafety </w:t>
      </w:r>
      <w:proofErr w:type="gramStart"/>
      <w:r w:rsidRPr="00850BE4">
        <w:t>Clearing-House</w:t>
      </w:r>
      <w:proofErr w:type="gramEnd"/>
      <w:r w:rsidRPr="00850BE4">
        <w:t>, ensuring that sufficient technical detail is readily provided to support the timely review, validation and publication of records;</w:t>
      </w:r>
    </w:p>
    <w:p w14:paraId="127402BB" w14:textId="77777777" w:rsidR="00D14E9E" w:rsidRPr="00850BE4" w:rsidRDefault="00D14E9E" w:rsidP="00D14E9E">
      <w:pPr>
        <w:pStyle w:val="CBDNormalNumber"/>
        <w:numPr>
          <w:ilvl w:val="0"/>
          <w:numId w:val="0"/>
        </w:numPr>
        <w:ind w:left="567" w:firstLine="567"/>
      </w:pPr>
      <w:r w:rsidRPr="00850BE4">
        <w:t>7.</w:t>
      </w:r>
      <w:r w:rsidRPr="00850BE4">
        <w:rPr>
          <w:i/>
          <w:iCs/>
        </w:rPr>
        <w:tab/>
        <w:t>Requests</w:t>
      </w:r>
      <w:r w:rsidRPr="00850BE4">
        <w:t xml:space="preserve"> the Executive Secretary:</w:t>
      </w:r>
    </w:p>
    <w:p w14:paraId="07997091" w14:textId="77777777" w:rsidR="00D14E9E" w:rsidRPr="00850BE4" w:rsidRDefault="00D14E9E" w:rsidP="00D14E9E">
      <w:pPr>
        <w:pStyle w:val="CBDNormalNumber"/>
        <w:numPr>
          <w:ilvl w:val="1"/>
          <w:numId w:val="6"/>
        </w:numPr>
      </w:pPr>
      <w:r w:rsidRPr="00850BE4">
        <w:t xml:space="preserve">To continue to maintain the Biosafety </w:t>
      </w:r>
      <w:proofErr w:type="gramStart"/>
      <w:r w:rsidRPr="00850BE4">
        <w:t>Clearing-House</w:t>
      </w:r>
      <w:proofErr w:type="gramEnd"/>
      <w:r w:rsidRPr="00850BE4">
        <w:t xml:space="preserve"> and to make any necessary improvements to it, including those recommended by the Informal Advisory Committee on the Biosafety </w:t>
      </w:r>
      <w:proofErr w:type="gramStart"/>
      <w:r w:rsidRPr="00850BE4">
        <w:t>Clearing-House</w:t>
      </w:r>
      <w:proofErr w:type="gramEnd"/>
      <w:r w:rsidRPr="00850BE4">
        <w:t>;</w:t>
      </w:r>
    </w:p>
    <w:p w14:paraId="248019BC" w14:textId="2B8626A5" w:rsidR="00D14E9E" w:rsidRPr="00850BE4" w:rsidRDefault="00D14E9E" w:rsidP="00D14E9E">
      <w:pPr>
        <w:pStyle w:val="CBDNormalNumber"/>
        <w:numPr>
          <w:ilvl w:val="1"/>
          <w:numId w:val="6"/>
        </w:numPr>
      </w:pPr>
      <w:r w:rsidRPr="00850BE4">
        <w:t xml:space="preserve">To continue to update and publish reference records in the Biosafety </w:t>
      </w:r>
      <w:proofErr w:type="gramStart"/>
      <w:r w:rsidRPr="00850BE4">
        <w:t>Clearing-House</w:t>
      </w:r>
      <w:proofErr w:type="gramEnd"/>
      <w:r w:rsidRPr="00850BE4">
        <w:t xml:space="preserve"> and to support Parties in updating the biosafety </w:t>
      </w:r>
      <w:proofErr w:type="gramStart"/>
      <w:r w:rsidRPr="00850BE4">
        <w:t>experts</w:t>
      </w:r>
      <w:proofErr w:type="gramEnd"/>
      <w:r w:rsidRPr="00850BE4">
        <w:t xml:space="preserve"> national records referred to in paragraph</w:t>
      </w:r>
      <w:r w:rsidR="0065331C" w:rsidRPr="00850BE4">
        <w:t> </w:t>
      </w:r>
      <w:r w:rsidRPr="00850BE4">
        <w:t>5 above;</w:t>
      </w:r>
    </w:p>
    <w:p w14:paraId="6167F778" w14:textId="77777777" w:rsidR="00D14E9E" w:rsidRPr="00850BE4" w:rsidRDefault="00D14E9E" w:rsidP="00D14E9E">
      <w:pPr>
        <w:pStyle w:val="CBDNormalNumber"/>
        <w:numPr>
          <w:ilvl w:val="1"/>
          <w:numId w:val="6"/>
        </w:numPr>
      </w:pPr>
      <w:r w:rsidRPr="00850BE4">
        <w:t>To make the new customized biosafety national website template available to all Parties wishing to develop a national biosafety website, support Parties using the Hermes national website tool in transitioning to the new template and provide capacity-building materials and training on the new template;</w:t>
      </w:r>
    </w:p>
    <w:p w14:paraId="78309EB2" w14:textId="78E9D1C9" w:rsidR="00D14E9E" w:rsidRPr="00850BE4" w:rsidRDefault="00D14E9E" w:rsidP="00D14E9E">
      <w:pPr>
        <w:pStyle w:val="CBDNormalNumber"/>
        <w:numPr>
          <w:ilvl w:val="1"/>
          <w:numId w:val="6"/>
        </w:numPr>
      </w:pPr>
      <w:r w:rsidRPr="00850BE4">
        <w:t>To continue to collaborate with other biosafety-related databases and organizations.</w:t>
      </w:r>
    </w:p>
    <w:p w14:paraId="78F8FA20" w14:textId="77777777" w:rsidR="005A4503" w:rsidRPr="00850BE4" w:rsidRDefault="005A4503" w:rsidP="00D14E9E">
      <w:pPr>
        <w:pStyle w:val="CBDNormalNumber"/>
        <w:numPr>
          <w:ilvl w:val="0"/>
          <w:numId w:val="0"/>
        </w:numPr>
      </w:pPr>
    </w:p>
    <w:p w14:paraId="2CE5C220" w14:textId="77777777" w:rsidR="00C6498C" w:rsidRPr="00850BE4" w:rsidRDefault="00C6498C" w:rsidP="00E612A5">
      <w:pPr>
        <w:pStyle w:val="CBDAgendaItem"/>
        <w:rPr>
          <w:rFonts w:hint="eastAsia"/>
        </w:rPr>
        <w:sectPr w:rsidR="00C6498C" w:rsidRPr="00850BE4" w:rsidSect="00361D55">
          <w:pgSz w:w="12240" w:h="15840"/>
          <w:pgMar w:top="567" w:right="1440" w:bottom="1134" w:left="1440" w:header="709" w:footer="709" w:gutter="0"/>
          <w:cols w:space="708"/>
          <w:docGrid w:linePitch="360"/>
        </w:sectPr>
      </w:pPr>
    </w:p>
    <w:p w14:paraId="5DC1DB13" w14:textId="4A6436CD" w:rsidR="00E612A5" w:rsidRPr="00850BE4" w:rsidRDefault="00E612A5" w:rsidP="007244E6">
      <w:pPr>
        <w:pStyle w:val="CBDAgendaItem"/>
        <w:spacing w:before="120"/>
        <w:rPr>
          <w:rFonts w:hint="eastAsia"/>
          <w:sz w:val="26"/>
          <w:szCs w:val="26"/>
        </w:rPr>
      </w:pPr>
      <w:bookmarkStart w:id="9" w:name="_Toc241483692"/>
      <w:r w:rsidRPr="00850BE4">
        <w:rPr>
          <w:sz w:val="26"/>
          <w:szCs w:val="26"/>
        </w:rPr>
        <w:lastRenderedPageBreak/>
        <w:t xml:space="preserve">Item 11 </w:t>
      </w:r>
      <w:r w:rsidRPr="00850BE4">
        <w:rPr>
          <w:sz w:val="26"/>
          <w:szCs w:val="26"/>
        </w:rPr>
        <w:br/>
        <w:t xml:space="preserve">Cooperation with </w:t>
      </w:r>
      <w:r w:rsidR="00474EC1" w:rsidRPr="00850BE4">
        <w:rPr>
          <w:sz w:val="26"/>
          <w:szCs w:val="26"/>
        </w:rPr>
        <w:t xml:space="preserve">international </w:t>
      </w:r>
      <w:r w:rsidRPr="00850BE4">
        <w:rPr>
          <w:sz w:val="26"/>
          <w:szCs w:val="26"/>
        </w:rPr>
        <w:t xml:space="preserve">organizations, </w:t>
      </w:r>
      <w:r w:rsidR="00686292" w:rsidRPr="00850BE4">
        <w:rPr>
          <w:sz w:val="26"/>
          <w:szCs w:val="26"/>
        </w:rPr>
        <w:br/>
      </w:r>
      <w:r w:rsidR="00474EC1" w:rsidRPr="00850BE4">
        <w:rPr>
          <w:sz w:val="26"/>
          <w:szCs w:val="26"/>
        </w:rPr>
        <w:t xml:space="preserve">bodies established under other </w:t>
      </w:r>
      <w:r w:rsidRPr="00850BE4">
        <w:rPr>
          <w:sz w:val="26"/>
          <w:szCs w:val="26"/>
        </w:rPr>
        <w:t>conventions</w:t>
      </w:r>
      <w:r w:rsidR="00DA7E80" w:rsidRPr="00850BE4">
        <w:rPr>
          <w:sz w:val="26"/>
          <w:szCs w:val="26"/>
        </w:rPr>
        <w:t>,</w:t>
      </w:r>
      <w:r w:rsidRPr="00850BE4">
        <w:rPr>
          <w:sz w:val="26"/>
          <w:szCs w:val="26"/>
        </w:rPr>
        <w:t xml:space="preserve"> and initiatives</w:t>
      </w:r>
      <w:bookmarkEnd w:id="9"/>
    </w:p>
    <w:tbl>
      <w:tblPr>
        <w:tblStyle w:val="TableGrid"/>
        <w:tblW w:w="0" w:type="auto"/>
        <w:tblLook w:val="04A0" w:firstRow="1" w:lastRow="0" w:firstColumn="1" w:lastColumn="0" w:noHBand="0" w:noVBand="1"/>
      </w:tblPr>
      <w:tblGrid>
        <w:gridCol w:w="9360"/>
      </w:tblGrid>
      <w:tr w:rsidR="006470A9" w:rsidRPr="00850BE4" w14:paraId="0B30F60B" w14:textId="77777777" w:rsidTr="00E56E5C">
        <w:tc>
          <w:tcPr>
            <w:tcW w:w="9360" w:type="dxa"/>
            <w:tcBorders>
              <w:left w:val="nil"/>
              <w:right w:val="nil"/>
            </w:tcBorders>
          </w:tcPr>
          <w:p w14:paraId="0FA36A48" w14:textId="308C1CAC" w:rsidR="006470A9" w:rsidRPr="00850BE4" w:rsidRDefault="00E8706E" w:rsidP="0094586B">
            <w:pPr>
              <w:pStyle w:val="CBDNormalNumber"/>
              <w:numPr>
                <w:ilvl w:val="0"/>
                <w:numId w:val="0"/>
              </w:numPr>
              <w:ind w:firstLine="596"/>
              <w:rPr>
                <w:i/>
                <w:iCs/>
              </w:rPr>
            </w:pPr>
            <w:r w:rsidRPr="00850BE4">
              <w:rPr>
                <w:i/>
                <w:iCs/>
              </w:rPr>
              <w:t xml:space="preserve">The Conference of the Parties serving as the meeting of the Parties to the Cartagena Protocol is expected to take note of the information contained in document </w:t>
            </w:r>
            <w:hyperlink r:id="rId34" w:history="1">
              <w:r w:rsidRPr="00850BE4">
                <w:rPr>
                  <w:rStyle w:val="Hyperlink"/>
                  <w:i/>
                  <w:iCs/>
                </w:rPr>
                <w:t>CBD/CP/MOP/12/9</w:t>
              </w:r>
            </w:hyperlink>
            <w:r w:rsidRPr="00850BE4">
              <w:rPr>
                <w:i/>
                <w:iCs/>
              </w:rPr>
              <w:t>. No decision is expected under agenda item 11</w:t>
            </w:r>
            <w:r w:rsidR="0094586B" w:rsidRPr="00850BE4">
              <w:rPr>
                <w:i/>
                <w:iCs/>
              </w:rPr>
              <w:t>.</w:t>
            </w:r>
          </w:p>
        </w:tc>
      </w:tr>
    </w:tbl>
    <w:p w14:paraId="26D78528" w14:textId="77777777" w:rsidR="006470A9" w:rsidRPr="00850BE4" w:rsidRDefault="006470A9" w:rsidP="00C6498C">
      <w:pPr>
        <w:pStyle w:val="CBDNormalNumber"/>
        <w:numPr>
          <w:ilvl w:val="0"/>
          <w:numId w:val="0"/>
        </w:numPr>
        <w:ind w:left="567"/>
      </w:pPr>
    </w:p>
    <w:p w14:paraId="15D6CDA6" w14:textId="2CC9620D" w:rsidR="00E612A5" w:rsidRPr="00850BE4" w:rsidRDefault="00E612A5" w:rsidP="0094586B">
      <w:pPr>
        <w:pStyle w:val="CBDNormalNumber"/>
        <w:numPr>
          <w:ilvl w:val="0"/>
          <w:numId w:val="0"/>
        </w:numPr>
        <w:ind w:left="567"/>
      </w:pPr>
    </w:p>
    <w:p w14:paraId="705BCC13" w14:textId="77777777" w:rsidR="006470A9" w:rsidRPr="00850BE4" w:rsidRDefault="006470A9" w:rsidP="00E612A5">
      <w:pPr>
        <w:pStyle w:val="CBDAgendaItem"/>
        <w:rPr>
          <w:rFonts w:hint="eastAsia"/>
        </w:rPr>
        <w:sectPr w:rsidR="006470A9" w:rsidRPr="00850BE4" w:rsidSect="00361D55">
          <w:pgSz w:w="12240" w:h="15840"/>
          <w:pgMar w:top="567" w:right="1440" w:bottom="1134" w:left="1440" w:header="709" w:footer="709" w:gutter="0"/>
          <w:cols w:space="708"/>
          <w:docGrid w:linePitch="360"/>
        </w:sectPr>
      </w:pPr>
    </w:p>
    <w:p w14:paraId="1839DC1E" w14:textId="289E86E8" w:rsidR="00E612A5" w:rsidRPr="00850BE4" w:rsidRDefault="00E612A5" w:rsidP="00E612A5">
      <w:pPr>
        <w:pStyle w:val="CBDAgendaItem"/>
        <w:rPr>
          <w:rFonts w:hint="eastAsia"/>
          <w:sz w:val="26"/>
          <w:szCs w:val="26"/>
        </w:rPr>
      </w:pPr>
      <w:bookmarkStart w:id="10" w:name="_Toc241483693"/>
      <w:r w:rsidRPr="00850BE4">
        <w:rPr>
          <w:sz w:val="26"/>
          <w:szCs w:val="26"/>
        </w:rPr>
        <w:lastRenderedPageBreak/>
        <w:t xml:space="preserve">Item 12 </w:t>
      </w:r>
      <w:r w:rsidRPr="00850BE4">
        <w:rPr>
          <w:sz w:val="26"/>
          <w:szCs w:val="26"/>
        </w:rPr>
        <w:br/>
        <w:t xml:space="preserve">Review of </w:t>
      </w:r>
      <w:r w:rsidR="00DA7E80" w:rsidRPr="00850BE4">
        <w:rPr>
          <w:sz w:val="26"/>
          <w:szCs w:val="26"/>
        </w:rPr>
        <w:t xml:space="preserve">the </w:t>
      </w:r>
      <w:r w:rsidRPr="00850BE4">
        <w:rPr>
          <w:sz w:val="26"/>
          <w:szCs w:val="26"/>
        </w:rPr>
        <w:t xml:space="preserve">effectiveness of processes under </w:t>
      </w:r>
      <w:r w:rsidR="00261F92" w:rsidRPr="00850BE4">
        <w:rPr>
          <w:sz w:val="26"/>
          <w:szCs w:val="26"/>
        </w:rPr>
        <w:br/>
      </w:r>
      <w:r w:rsidRPr="00850BE4">
        <w:rPr>
          <w:sz w:val="26"/>
          <w:szCs w:val="26"/>
        </w:rPr>
        <w:t xml:space="preserve">the Convention </w:t>
      </w:r>
      <w:r w:rsidR="00DA7E80" w:rsidRPr="00850BE4">
        <w:rPr>
          <w:sz w:val="26"/>
          <w:szCs w:val="26"/>
        </w:rPr>
        <w:t>on Biological Diversity</w:t>
      </w:r>
      <w:r w:rsidR="00A5657D" w:rsidRPr="00850BE4">
        <w:rPr>
          <w:sz w:val="26"/>
          <w:szCs w:val="26"/>
        </w:rPr>
        <w:t xml:space="preserve"> </w:t>
      </w:r>
      <w:r w:rsidRPr="00850BE4">
        <w:rPr>
          <w:sz w:val="26"/>
          <w:szCs w:val="26"/>
        </w:rPr>
        <w:t>and its Protocols</w:t>
      </w:r>
      <w:bookmarkEnd w:id="10"/>
    </w:p>
    <w:tbl>
      <w:tblPr>
        <w:tblStyle w:val="TableGrid"/>
        <w:tblW w:w="0" w:type="auto"/>
        <w:tblLook w:val="04A0" w:firstRow="1" w:lastRow="0" w:firstColumn="1" w:lastColumn="0" w:noHBand="0" w:noVBand="1"/>
      </w:tblPr>
      <w:tblGrid>
        <w:gridCol w:w="9360"/>
      </w:tblGrid>
      <w:tr w:rsidR="006470A9" w:rsidRPr="00850BE4" w14:paraId="7365DB7F" w14:textId="77777777" w:rsidTr="00E56E5C">
        <w:tc>
          <w:tcPr>
            <w:tcW w:w="9360" w:type="dxa"/>
            <w:tcBorders>
              <w:left w:val="nil"/>
              <w:right w:val="nil"/>
            </w:tcBorders>
          </w:tcPr>
          <w:p w14:paraId="52B48BD9" w14:textId="54854F46" w:rsidR="006470A9" w:rsidRPr="00850BE4" w:rsidRDefault="001D3281" w:rsidP="00F50B0C">
            <w:pPr>
              <w:pStyle w:val="CBDNormalNumber"/>
              <w:numPr>
                <w:ilvl w:val="0"/>
                <w:numId w:val="0"/>
              </w:numPr>
              <w:ind w:firstLine="596"/>
              <w:rPr>
                <w:i/>
                <w:iCs/>
              </w:rPr>
            </w:pPr>
            <w:r w:rsidRPr="00850BE4">
              <w:rPr>
                <w:i/>
                <w:iCs/>
              </w:rPr>
              <w:t>The</w:t>
            </w:r>
            <w:r w:rsidR="00D21DB0" w:rsidRPr="00850BE4">
              <w:rPr>
                <w:i/>
                <w:iCs/>
              </w:rPr>
              <w:t xml:space="preserve"> following draft decision comes from </w:t>
            </w:r>
            <w:r w:rsidR="00E0287A" w:rsidRPr="00850BE4">
              <w:rPr>
                <w:i/>
                <w:iCs/>
              </w:rPr>
              <w:t xml:space="preserve">recommendation </w:t>
            </w:r>
            <w:hyperlink r:id="rId35" w:history="1">
              <w:r w:rsidR="00E0287A" w:rsidRPr="00850BE4">
                <w:rPr>
                  <w:rStyle w:val="Hyperlink"/>
                  <w:i/>
                  <w:iCs/>
                </w:rPr>
                <w:t>6/</w:t>
              </w:r>
              <w:r w:rsidR="002E60DD" w:rsidRPr="00850BE4">
                <w:rPr>
                  <w:rStyle w:val="Hyperlink"/>
                  <w:i/>
                  <w:iCs/>
                </w:rPr>
                <w:t>8</w:t>
              </w:r>
            </w:hyperlink>
            <w:r w:rsidR="002E60DD" w:rsidRPr="00850BE4">
              <w:rPr>
                <w:i/>
                <w:iCs/>
              </w:rPr>
              <w:t xml:space="preserve"> of the Subsidiary Body on Implementation.</w:t>
            </w:r>
          </w:p>
        </w:tc>
      </w:tr>
    </w:tbl>
    <w:p w14:paraId="225761E4" w14:textId="014EEBC5" w:rsidR="0068641E" w:rsidRPr="00850BE4" w:rsidRDefault="00BB5369" w:rsidP="00BB5369">
      <w:pPr>
        <w:pStyle w:val="CBDSubTitle"/>
        <w:rPr>
          <w:i/>
          <w:iCs/>
          <w:sz w:val="24"/>
          <w:szCs w:val="24"/>
        </w:rPr>
      </w:pPr>
      <w:r w:rsidRPr="00850BE4">
        <w:rPr>
          <w:sz w:val="24"/>
          <w:szCs w:val="24"/>
        </w:rPr>
        <w:t>Options for further improving the effectiveness of meetings under the Convention and its Protocols</w:t>
      </w:r>
    </w:p>
    <w:p w14:paraId="55913D37" w14:textId="7C068CE0" w:rsidR="0068641E" w:rsidRPr="00850BE4" w:rsidRDefault="0068641E" w:rsidP="0068641E">
      <w:pPr>
        <w:pStyle w:val="CBDDesicionText"/>
        <w:keepNext/>
        <w:tabs>
          <w:tab w:val="clear" w:pos="1134"/>
        </w:tabs>
        <w:ind w:left="567"/>
      </w:pPr>
      <w:r w:rsidRPr="00850BE4">
        <w:rPr>
          <w:i/>
          <w:iCs/>
        </w:rPr>
        <w:t>The Conference of the Parties serving as the meeting of the Parties to the Cartagena Protocol</w:t>
      </w:r>
      <w:r w:rsidRPr="00850BE4">
        <w:t>,</w:t>
      </w:r>
    </w:p>
    <w:p w14:paraId="199F422B" w14:textId="193F0746" w:rsidR="00B01F89" w:rsidRPr="007A59F7" w:rsidRDefault="005B63E4" w:rsidP="0068641E">
      <w:pPr>
        <w:pStyle w:val="CBDDesicionText"/>
        <w:tabs>
          <w:tab w:val="clear" w:pos="1134"/>
        </w:tabs>
        <w:ind w:left="567"/>
      </w:pPr>
      <w:r w:rsidRPr="00850BE4">
        <w:rPr>
          <w:i/>
          <w:iCs/>
        </w:rPr>
        <w:t xml:space="preserve">Recalling </w:t>
      </w:r>
      <w:r w:rsidRPr="00850BE4">
        <w:t xml:space="preserve">its decision </w:t>
      </w:r>
      <w:hyperlink r:id="rId36" w:history="1">
        <w:r w:rsidR="009037CA" w:rsidRPr="00850BE4">
          <w:rPr>
            <w:rStyle w:val="Hyperlink"/>
          </w:rPr>
          <w:t>CP-11/5</w:t>
        </w:r>
      </w:hyperlink>
      <w:r w:rsidR="009037CA" w:rsidRPr="00850BE4">
        <w:t xml:space="preserve"> of 1</w:t>
      </w:r>
      <w:r w:rsidR="0090040B" w:rsidRPr="00850BE4">
        <w:t> </w:t>
      </w:r>
      <w:r w:rsidR="009037CA" w:rsidRPr="00850BE4">
        <w:t>November 2024,</w:t>
      </w:r>
    </w:p>
    <w:p w14:paraId="3FE64D1C" w14:textId="269C8819" w:rsidR="0068641E" w:rsidRPr="00850BE4" w:rsidRDefault="0068641E" w:rsidP="0068641E">
      <w:pPr>
        <w:pStyle w:val="CBDDesicionText"/>
        <w:tabs>
          <w:tab w:val="clear" w:pos="1134"/>
        </w:tabs>
        <w:ind w:left="567"/>
      </w:pPr>
      <w:r w:rsidRPr="00850BE4">
        <w:rPr>
          <w:i/>
          <w:iCs/>
        </w:rPr>
        <w:t>Recognizing</w:t>
      </w:r>
      <w:r w:rsidRPr="00850BE4">
        <w:t xml:space="preserve"> the need to ensure [the inclusiveness, transparency and </w:t>
      </w:r>
      <w:proofErr w:type="gramStart"/>
      <w:r w:rsidRPr="00850BE4">
        <w:t>equity][</w:t>
      </w:r>
      <w:proofErr w:type="gramEnd"/>
      <w:r w:rsidRPr="00850BE4">
        <w:t>the integrity] of the Cartagena Protocol on Biosafety</w:t>
      </w:r>
      <w:r w:rsidR="004D4D1A" w:rsidRPr="00850BE4">
        <w:rPr>
          <w:rStyle w:val="FootnoteReference"/>
        </w:rPr>
        <w:footnoteReference w:id="31"/>
      </w:r>
      <w:r w:rsidRPr="00850BE4">
        <w:t xml:space="preserve"> while pursuing efficiencies and, where appropriate, the integration of processes with the Convention on Biological Diversity</w:t>
      </w:r>
      <w:r w:rsidR="007947F9" w:rsidRPr="00850BE4">
        <w:rPr>
          <w:rStyle w:val="FootnoteReference"/>
        </w:rPr>
        <w:footnoteReference w:id="32"/>
      </w:r>
      <w:r w:rsidRPr="00850BE4">
        <w:t xml:space="preserve"> and the Nagoya Protocol on Access to Genetic Resources and the Fair and Equitable Sharing of Benefits Arising from Their Utilization,</w:t>
      </w:r>
      <w:r w:rsidR="00D53B07" w:rsidRPr="00850BE4">
        <w:rPr>
          <w:rStyle w:val="FootnoteReference"/>
        </w:rPr>
        <w:footnoteReference w:id="33"/>
      </w:r>
    </w:p>
    <w:p w14:paraId="0128F4C1" w14:textId="77777777" w:rsidR="0068641E" w:rsidRPr="007A59F7" w:rsidRDefault="0068641E" w:rsidP="0068641E">
      <w:pPr>
        <w:pStyle w:val="CBDDesicionText"/>
        <w:tabs>
          <w:tab w:val="clear" w:pos="1134"/>
        </w:tabs>
        <w:ind w:left="567"/>
      </w:pPr>
      <w:r w:rsidRPr="007A59F7">
        <w:rPr>
          <w:rFonts w:eastAsia="Times New Roman"/>
          <w:i/>
        </w:rPr>
        <w:t xml:space="preserve">Reaffirming </w:t>
      </w:r>
      <w:r w:rsidRPr="007A59F7">
        <w:rPr>
          <w:rFonts w:eastAsia="Times New Roman"/>
        </w:rPr>
        <w:t xml:space="preserve">the important role of technology in supporting the </w:t>
      </w:r>
      <w:r w:rsidRPr="00850BE4">
        <w:t>efficiency</w:t>
      </w:r>
      <w:r w:rsidRPr="007A59F7">
        <w:rPr>
          <w:rFonts w:eastAsia="Times New Roman"/>
        </w:rPr>
        <w:t xml:space="preserve"> and effectiveness of meetings, without prejudice to decision-making by consensus,</w:t>
      </w:r>
    </w:p>
    <w:p w14:paraId="1B4251D4" w14:textId="77777777" w:rsidR="0068641E" w:rsidRPr="00850BE4" w:rsidRDefault="0068641E" w:rsidP="0068641E">
      <w:pPr>
        <w:pStyle w:val="CBDDesicionText"/>
        <w:tabs>
          <w:tab w:val="clear" w:pos="1134"/>
        </w:tabs>
        <w:spacing w:before="120"/>
        <w:ind w:left="567"/>
      </w:pPr>
      <w:r w:rsidRPr="00850BE4">
        <w:rPr>
          <w:rFonts w:eastAsia="Times New Roman"/>
          <w:color w:val="000000"/>
        </w:rPr>
        <w:t>1.</w:t>
      </w:r>
      <w:r w:rsidRPr="00850BE4">
        <w:rPr>
          <w:rFonts w:eastAsia="Times New Roman"/>
          <w:color w:val="000000"/>
        </w:rPr>
        <w:tab/>
      </w:r>
      <w:r w:rsidRPr="00850BE4">
        <w:rPr>
          <w:rFonts w:eastAsia="Times New Roman"/>
          <w:i/>
          <w:iCs/>
          <w:color w:val="000000"/>
        </w:rPr>
        <w:t xml:space="preserve">Takes </w:t>
      </w:r>
      <w:r w:rsidRPr="00850BE4">
        <w:rPr>
          <w:i/>
          <w:iCs/>
        </w:rPr>
        <w:t>note</w:t>
      </w:r>
      <w:r w:rsidRPr="00850BE4">
        <w:t xml:space="preserve"> of decision 17/-- of the Conference of the Parties to the Convention on Biological Diversity;</w:t>
      </w:r>
    </w:p>
    <w:p w14:paraId="5A49F0F5" w14:textId="2206CFEA" w:rsidR="0068641E" w:rsidRPr="00850BE4" w:rsidRDefault="0068641E" w:rsidP="0068641E">
      <w:pPr>
        <w:pStyle w:val="CBDDesicionText"/>
        <w:tabs>
          <w:tab w:val="clear" w:pos="1134"/>
        </w:tabs>
        <w:ind w:left="567"/>
      </w:pPr>
      <w:r w:rsidRPr="00850BE4">
        <w:rPr>
          <w:rFonts w:eastAsia="Times New Roman"/>
          <w:color w:val="000000"/>
        </w:rPr>
        <w:t>2.</w:t>
      </w:r>
      <w:r w:rsidRPr="00850BE4">
        <w:rPr>
          <w:rFonts w:eastAsia="Times New Roman"/>
          <w:color w:val="000000"/>
        </w:rPr>
        <w:tab/>
      </w:r>
      <w:r w:rsidRPr="00850BE4">
        <w:rPr>
          <w:i/>
          <w:iCs/>
        </w:rPr>
        <w:t>Welcomes</w:t>
      </w:r>
      <w:r w:rsidRPr="00850BE4">
        <w:t xml:space="preserve"> the progress made with the decision-tracking tool developed further to decision </w:t>
      </w:r>
      <w:hyperlink r:id="rId37" w:history="1">
        <w:r w:rsidRPr="00850BE4">
          <w:rPr>
            <w:rStyle w:val="Hyperlink"/>
          </w:rPr>
          <w:t>XII/28</w:t>
        </w:r>
      </w:hyperlink>
      <w:r w:rsidRPr="00850BE4">
        <w:t xml:space="preserve"> of 17</w:t>
      </w:r>
      <w:r w:rsidR="0047674F" w:rsidRPr="00850BE4">
        <w:t> </w:t>
      </w:r>
      <w:r w:rsidRPr="00850BE4">
        <w:t xml:space="preserve">October 2014 of the Conference of the Parties to the Convention, as described in document </w:t>
      </w:r>
      <w:hyperlink r:id="rId38" w:history="1">
        <w:r w:rsidRPr="00850BE4">
          <w:rPr>
            <w:rStyle w:val="Hyperlink"/>
          </w:rPr>
          <w:t>CBD/SBI/6/INF/11</w:t>
        </w:r>
      </w:hyperlink>
      <w:r w:rsidRPr="00850BE4">
        <w:t>;</w:t>
      </w:r>
    </w:p>
    <w:p w14:paraId="61ADBC28" w14:textId="77777777" w:rsidR="0068641E" w:rsidRPr="00850BE4" w:rsidRDefault="0068641E" w:rsidP="0068641E">
      <w:pPr>
        <w:pStyle w:val="CBDDesicionText"/>
        <w:tabs>
          <w:tab w:val="clear" w:pos="1134"/>
        </w:tabs>
        <w:ind w:left="567"/>
      </w:pPr>
      <w:r w:rsidRPr="00850BE4">
        <w:rPr>
          <w:rFonts w:eastAsia="Times New Roman"/>
          <w:color w:val="000000"/>
        </w:rPr>
        <w:t>3.</w:t>
      </w:r>
      <w:r w:rsidRPr="00850BE4">
        <w:rPr>
          <w:rFonts w:eastAsia="Times New Roman"/>
          <w:color w:val="000000"/>
        </w:rPr>
        <w:tab/>
      </w:r>
      <w:r w:rsidRPr="00850BE4">
        <w:rPr>
          <w:i/>
          <w:iCs/>
        </w:rPr>
        <w:t xml:space="preserve">Decides </w:t>
      </w:r>
      <w:r w:rsidRPr="00850BE4">
        <w:t xml:space="preserve">that the decisions of the Conference of the Parties serving as the meeting of the Parties to the Cartagena Protocol on Biosafety should be included in the decision-tracking tool; </w:t>
      </w:r>
    </w:p>
    <w:p w14:paraId="61184842" w14:textId="77777777" w:rsidR="0068641E" w:rsidRPr="00850BE4" w:rsidRDefault="0068641E" w:rsidP="0068641E">
      <w:pPr>
        <w:pStyle w:val="CBDDesicionText"/>
        <w:tabs>
          <w:tab w:val="clear" w:pos="1134"/>
        </w:tabs>
        <w:ind w:left="567"/>
      </w:pPr>
      <w:r w:rsidRPr="00850BE4">
        <w:rPr>
          <w:rFonts w:eastAsia="Times New Roman"/>
          <w:color w:val="000000"/>
        </w:rPr>
        <w:t>4.</w:t>
      </w:r>
      <w:r w:rsidRPr="00850BE4">
        <w:rPr>
          <w:rFonts w:eastAsia="Times New Roman"/>
          <w:color w:val="000000"/>
        </w:rPr>
        <w:tab/>
      </w:r>
      <w:r w:rsidRPr="00850BE4">
        <w:rPr>
          <w:i/>
          <w:iCs/>
        </w:rPr>
        <w:t>Requests</w:t>
      </w:r>
      <w:r w:rsidRPr="00850BE4">
        <w:t xml:space="preserve"> the Executive Secretary to take the necessary steps in that regard, beginning with decisions of its tenth and eleventh meetings;</w:t>
      </w:r>
      <w:r w:rsidRPr="00850BE4" w:rsidDel="00D73349">
        <w:t xml:space="preserve"> </w:t>
      </w:r>
    </w:p>
    <w:p w14:paraId="7B99043C" w14:textId="7A63026B" w:rsidR="0068641E" w:rsidRPr="00850BE4" w:rsidRDefault="0068641E" w:rsidP="0068641E">
      <w:pPr>
        <w:pStyle w:val="CBDDesicionText"/>
        <w:tabs>
          <w:tab w:val="clear" w:pos="1134"/>
        </w:tabs>
        <w:ind w:left="567"/>
      </w:pPr>
      <w:r w:rsidRPr="00850BE4">
        <w:rPr>
          <w:rFonts w:eastAsia="Times New Roman"/>
          <w:color w:val="000000"/>
        </w:rPr>
        <w:t>5.</w:t>
      </w:r>
      <w:r w:rsidRPr="00850BE4">
        <w:rPr>
          <w:rFonts w:eastAsia="Times New Roman"/>
          <w:color w:val="000000"/>
        </w:rPr>
        <w:tab/>
      </w:r>
      <w:r w:rsidRPr="00850BE4">
        <w:rPr>
          <w:i/>
          <w:iCs/>
        </w:rPr>
        <w:t>Recalls</w:t>
      </w:r>
      <w:r w:rsidRPr="00850BE4">
        <w:t xml:space="preserve"> its decision </w:t>
      </w:r>
      <w:hyperlink r:id="rId39" w:history="1">
        <w:r w:rsidRPr="00850BE4">
          <w:rPr>
            <w:rStyle w:val="Hyperlink"/>
          </w:rPr>
          <w:t>BS-VII/9</w:t>
        </w:r>
      </w:hyperlink>
      <w:r w:rsidRPr="00850BE4">
        <w:t xml:space="preserve"> of 3</w:t>
      </w:r>
      <w:r w:rsidR="0047674F" w:rsidRPr="00850BE4">
        <w:t> </w:t>
      </w:r>
      <w:r w:rsidRPr="00850BE4">
        <w:t>October 2014, by which it decided to hold its ordinary meetings concurrently with the meetings of the Conference of the Parties to the Convention in the same two-week period in which the meetings of the Conference of the Parties of the Convention were held;</w:t>
      </w:r>
    </w:p>
    <w:p w14:paraId="38446018" w14:textId="77777777" w:rsidR="0068641E" w:rsidRPr="00850BE4" w:rsidRDefault="0068641E" w:rsidP="0068641E">
      <w:pPr>
        <w:pStyle w:val="CBDDesicionText"/>
        <w:tabs>
          <w:tab w:val="clear" w:pos="1134"/>
        </w:tabs>
        <w:ind w:left="567"/>
      </w:pPr>
      <w:r w:rsidRPr="00850BE4">
        <w:rPr>
          <w:rFonts w:eastAsia="Times New Roman"/>
          <w:color w:val="000000"/>
        </w:rPr>
        <w:t>[6.</w:t>
      </w:r>
      <w:r w:rsidRPr="00850BE4">
        <w:rPr>
          <w:rFonts w:eastAsia="Times New Roman"/>
          <w:color w:val="000000"/>
        </w:rPr>
        <w:tab/>
      </w:r>
      <w:r w:rsidRPr="00850BE4">
        <w:rPr>
          <w:i/>
          <w:iCs/>
        </w:rPr>
        <w:t>Reiterates</w:t>
      </w:r>
      <w:r w:rsidRPr="00850BE4">
        <w:t xml:space="preserve"> its call upon [developed country] Parties[, and other Parties in a position to do so,] [to increase their contributions][to contribute] to the relevant voluntary trust fund to ensure the full and effective participation of representatives of developing country Parties, in particular the least developed and small island developing States among them, and Parties with economies in transition in the concurrent meetings, and to increase their contribution to the Special Voluntary Trust Fund for Facilitating the Participation of Indigenous Peoples and Local Communities;]</w:t>
      </w:r>
    </w:p>
    <w:p w14:paraId="7A36AFE2" w14:textId="4360CED6" w:rsidR="006470A9" w:rsidRPr="00850BE4" w:rsidRDefault="0068641E" w:rsidP="001C353E">
      <w:pPr>
        <w:pStyle w:val="CBDDesicionText"/>
        <w:tabs>
          <w:tab w:val="clear" w:pos="1134"/>
        </w:tabs>
        <w:ind w:left="567"/>
      </w:pPr>
      <w:r w:rsidRPr="00850BE4">
        <w:rPr>
          <w:rFonts w:eastAsia="Times New Roman"/>
          <w:color w:val="000000"/>
        </w:rPr>
        <w:t>7.</w:t>
      </w:r>
      <w:r w:rsidRPr="00850BE4">
        <w:rPr>
          <w:rFonts w:eastAsia="Times New Roman"/>
          <w:color w:val="000000"/>
        </w:rPr>
        <w:tab/>
      </w:r>
      <w:r w:rsidRPr="00850BE4">
        <w:rPr>
          <w:i/>
          <w:iCs/>
        </w:rPr>
        <w:t>Notes</w:t>
      </w:r>
      <w:r w:rsidRPr="00850BE4">
        <w:t xml:space="preserve"> that chairs of groups considering matters under the Cartagena Protocol are to be selected from among the Parties to the Protocol</w:t>
      </w:r>
      <w:r w:rsidR="00827E62" w:rsidRPr="00850BE4">
        <w:t>.</w:t>
      </w:r>
    </w:p>
    <w:p w14:paraId="7667396C" w14:textId="1F356539" w:rsidR="00E612A5" w:rsidRPr="00850BE4" w:rsidRDefault="0094014F" w:rsidP="00262895">
      <w:pPr>
        <w:pStyle w:val="CBDNormalNumber"/>
        <w:numPr>
          <w:ilvl w:val="0"/>
          <w:numId w:val="0"/>
        </w:numPr>
        <w:ind w:left="567"/>
      </w:pPr>
      <w:r w:rsidRPr="00850BE4">
        <w:t xml:space="preserve"> </w:t>
      </w:r>
    </w:p>
    <w:p w14:paraId="25A284E9" w14:textId="77777777" w:rsidR="006470A9" w:rsidRPr="00850BE4" w:rsidRDefault="006470A9" w:rsidP="00E612A5">
      <w:pPr>
        <w:pStyle w:val="CBDAgendaItem"/>
        <w:rPr>
          <w:rFonts w:hint="eastAsia"/>
        </w:rPr>
        <w:sectPr w:rsidR="006470A9" w:rsidRPr="00850BE4" w:rsidSect="00361D55">
          <w:pgSz w:w="12240" w:h="15840"/>
          <w:pgMar w:top="567" w:right="1440" w:bottom="1134" w:left="1440" w:header="709" w:footer="709" w:gutter="0"/>
          <w:cols w:space="708"/>
          <w:docGrid w:linePitch="360"/>
        </w:sectPr>
      </w:pPr>
    </w:p>
    <w:p w14:paraId="0CA08631" w14:textId="156E6EC5" w:rsidR="00E612A5" w:rsidRPr="00850BE4" w:rsidRDefault="00E612A5" w:rsidP="00E612A5">
      <w:pPr>
        <w:pStyle w:val="CBDAgendaItem"/>
        <w:rPr>
          <w:rFonts w:hint="eastAsia"/>
          <w:sz w:val="26"/>
          <w:szCs w:val="26"/>
        </w:rPr>
      </w:pPr>
      <w:bookmarkStart w:id="11" w:name="_Toc241483694"/>
      <w:r w:rsidRPr="00850BE4">
        <w:rPr>
          <w:sz w:val="26"/>
          <w:szCs w:val="26"/>
        </w:rPr>
        <w:lastRenderedPageBreak/>
        <w:t xml:space="preserve">Item 13 </w:t>
      </w:r>
      <w:r w:rsidRPr="00850BE4">
        <w:rPr>
          <w:sz w:val="26"/>
          <w:szCs w:val="26"/>
        </w:rPr>
        <w:br/>
        <w:t>Risk assessment and risk management of living modified organisms</w:t>
      </w:r>
      <w:bookmarkEnd w:id="11"/>
    </w:p>
    <w:tbl>
      <w:tblPr>
        <w:tblStyle w:val="TableGrid"/>
        <w:tblW w:w="0" w:type="auto"/>
        <w:tblLook w:val="04A0" w:firstRow="1" w:lastRow="0" w:firstColumn="1" w:lastColumn="0" w:noHBand="0" w:noVBand="1"/>
      </w:tblPr>
      <w:tblGrid>
        <w:gridCol w:w="9360"/>
      </w:tblGrid>
      <w:tr w:rsidR="006470A9" w:rsidRPr="00850BE4" w14:paraId="048480F0" w14:textId="77777777" w:rsidTr="00E56E5C">
        <w:tc>
          <w:tcPr>
            <w:tcW w:w="9360" w:type="dxa"/>
            <w:tcBorders>
              <w:left w:val="nil"/>
              <w:right w:val="nil"/>
            </w:tcBorders>
          </w:tcPr>
          <w:p w14:paraId="28133928" w14:textId="26F452A0" w:rsidR="006470A9" w:rsidRPr="00850BE4" w:rsidRDefault="00DD2B5C" w:rsidP="00C22007">
            <w:pPr>
              <w:pStyle w:val="CBDNormalNumber"/>
              <w:numPr>
                <w:ilvl w:val="0"/>
                <w:numId w:val="0"/>
              </w:numPr>
              <w:ind w:firstLine="596"/>
              <w:rPr>
                <w:i/>
                <w:iCs/>
              </w:rPr>
            </w:pPr>
            <w:r w:rsidRPr="00850BE4">
              <w:rPr>
                <w:i/>
                <w:iCs/>
              </w:rPr>
              <w:t xml:space="preserve">The following draft decision has been reproduced from recommendation </w:t>
            </w:r>
            <w:hyperlink r:id="rId40" w:history="1">
              <w:r w:rsidRPr="00850BE4">
                <w:rPr>
                  <w:rStyle w:val="Hyperlink"/>
                  <w:i/>
                  <w:iCs/>
                </w:rPr>
                <w:t>27/7</w:t>
              </w:r>
            </w:hyperlink>
            <w:r w:rsidRPr="00850BE4">
              <w:rPr>
                <w:i/>
                <w:iCs/>
              </w:rPr>
              <w:t xml:space="preserve"> of the Subsidiary Body on Scientific, Technical and Technological Advice</w:t>
            </w:r>
            <w:r w:rsidR="00C22007" w:rsidRPr="00850BE4">
              <w:rPr>
                <w:i/>
                <w:iCs/>
              </w:rPr>
              <w:t>.</w:t>
            </w:r>
          </w:p>
        </w:tc>
      </w:tr>
    </w:tbl>
    <w:p w14:paraId="10627C77" w14:textId="4AB091A6" w:rsidR="00AA2C85" w:rsidRPr="00850BE4" w:rsidRDefault="00610C6D" w:rsidP="00610C6D">
      <w:pPr>
        <w:pStyle w:val="CBDSubTitle"/>
        <w:rPr>
          <w:sz w:val="24"/>
          <w:szCs w:val="24"/>
        </w:rPr>
      </w:pPr>
      <w:r w:rsidRPr="00850BE4">
        <w:rPr>
          <w:sz w:val="24"/>
          <w:szCs w:val="24"/>
        </w:rPr>
        <w:t>Risk assessment and risk management of living modified organisms</w:t>
      </w:r>
    </w:p>
    <w:p w14:paraId="109735EA" w14:textId="1F62123D" w:rsidR="00D07C08" w:rsidRPr="00850BE4" w:rsidRDefault="00D07C08" w:rsidP="00D07C08">
      <w:pPr>
        <w:tabs>
          <w:tab w:val="clear" w:pos="567"/>
          <w:tab w:val="clear" w:pos="1134"/>
          <w:tab w:val="left" w:pos="2835"/>
          <w:tab w:val="left" w:pos="3402"/>
        </w:tabs>
        <w:spacing w:after="120"/>
        <w:ind w:left="567" w:firstLine="567"/>
        <w:rPr>
          <w:i/>
          <w:iCs/>
        </w:rPr>
      </w:pPr>
      <w:r w:rsidRPr="00850BE4">
        <w:rPr>
          <w:i/>
          <w:iCs/>
        </w:rPr>
        <w:t>The Conference of the Parties serving as the meeting of the Parties to the Cartagena Protocol</w:t>
      </w:r>
      <w:r w:rsidRPr="00850BE4">
        <w:t>,</w:t>
      </w:r>
    </w:p>
    <w:p w14:paraId="13FBFCF2" w14:textId="382EAEA0" w:rsidR="00D07C08" w:rsidRPr="00850BE4" w:rsidRDefault="00D07C08" w:rsidP="00D07C08">
      <w:pPr>
        <w:tabs>
          <w:tab w:val="clear" w:pos="567"/>
          <w:tab w:val="clear" w:pos="1134"/>
          <w:tab w:val="left" w:pos="2835"/>
          <w:tab w:val="left" w:pos="3402"/>
          <w:tab w:val="left" w:pos="3969"/>
        </w:tabs>
        <w:spacing w:before="120" w:after="120"/>
        <w:ind w:left="567" w:firstLine="567"/>
        <w:rPr>
          <w:i/>
          <w:iCs/>
        </w:rPr>
      </w:pPr>
      <w:r w:rsidRPr="00850BE4">
        <w:rPr>
          <w:i/>
          <w:iCs/>
        </w:rPr>
        <w:t>Recalling</w:t>
      </w:r>
      <w:r w:rsidRPr="00850BE4">
        <w:t xml:space="preserve"> </w:t>
      </w:r>
      <w:r w:rsidR="00397E70" w:rsidRPr="00850BE4">
        <w:t xml:space="preserve">its </w:t>
      </w:r>
      <w:r w:rsidRPr="00850BE4">
        <w:t xml:space="preserve">decisions </w:t>
      </w:r>
      <w:hyperlink r:id="rId41" w:history="1">
        <w:r w:rsidRPr="00850BE4">
          <w:rPr>
            <w:rStyle w:val="Hyperlink"/>
          </w:rPr>
          <w:t>CP-9/13</w:t>
        </w:r>
      </w:hyperlink>
      <w:r w:rsidRPr="00850BE4">
        <w:t xml:space="preserve"> of 28</w:t>
      </w:r>
      <w:r w:rsidR="004A30EE" w:rsidRPr="00850BE4">
        <w:t> </w:t>
      </w:r>
      <w:r w:rsidRPr="00850BE4">
        <w:t xml:space="preserve">November 2018 and </w:t>
      </w:r>
      <w:hyperlink r:id="rId42" w:history="1">
        <w:r w:rsidRPr="00850BE4">
          <w:rPr>
            <w:rStyle w:val="Hyperlink"/>
          </w:rPr>
          <w:t>CP-11/7</w:t>
        </w:r>
      </w:hyperlink>
      <w:r w:rsidRPr="00850BE4">
        <w:t xml:space="preserve"> of 30</w:t>
      </w:r>
      <w:r w:rsidR="004A30EE" w:rsidRPr="00850BE4">
        <w:t> </w:t>
      </w:r>
      <w:r w:rsidRPr="00850BE4">
        <w:t>October 2024,</w:t>
      </w:r>
    </w:p>
    <w:p w14:paraId="452391F7" w14:textId="77777777" w:rsidR="00D07C08" w:rsidRPr="00850BE4" w:rsidRDefault="00D07C08" w:rsidP="00D07C08">
      <w:pPr>
        <w:tabs>
          <w:tab w:val="clear" w:pos="567"/>
          <w:tab w:val="clear" w:pos="1134"/>
          <w:tab w:val="left" w:pos="2835"/>
          <w:tab w:val="left" w:pos="3402"/>
        </w:tabs>
        <w:spacing w:after="120"/>
        <w:ind w:left="567" w:firstLine="567"/>
      </w:pPr>
      <w:r w:rsidRPr="00850BE4">
        <w:t>1.</w:t>
      </w:r>
      <w:r w:rsidRPr="00850BE4">
        <w:rPr>
          <w:i/>
          <w:iCs/>
        </w:rPr>
        <w:tab/>
        <w:t xml:space="preserve">Expresses appreciation </w:t>
      </w:r>
      <w:r w:rsidRPr="00850BE4">
        <w:t>for</w:t>
      </w:r>
      <w:r w:rsidRPr="00850BE4">
        <w:rPr>
          <w:i/>
          <w:iCs/>
        </w:rPr>
        <w:t xml:space="preserve"> </w:t>
      </w:r>
      <w:r w:rsidRPr="00850BE4">
        <w:t>the work of the Ad Hoc Technical Expert Group on Risk Assessment</w:t>
      </w:r>
      <w:r w:rsidRPr="00850BE4">
        <w:rPr>
          <w:vertAlign w:val="superscript"/>
        </w:rPr>
        <w:footnoteReference w:id="34"/>
      </w:r>
      <w:r w:rsidRPr="00850BE4">
        <w:t xml:space="preserve"> and its application of the criteria set out in annex I to decision </w:t>
      </w:r>
      <w:hyperlink r:id="rId43" w:history="1">
        <w:r w:rsidRPr="00850BE4">
          <w:rPr>
            <w:rStyle w:val="Hyperlink"/>
          </w:rPr>
          <w:t>CP-9/13</w:t>
        </w:r>
      </w:hyperlink>
      <w:r w:rsidRPr="00850BE4">
        <w:t xml:space="preserve"> to the topics proposed by Parties in relation to needs and priorities for further guidance on specific topics of risk assessment of living modified organisms;</w:t>
      </w:r>
      <w:r w:rsidRPr="00850BE4">
        <w:rPr>
          <w:vertAlign w:val="superscript"/>
        </w:rPr>
        <w:footnoteReference w:id="35"/>
      </w:r>
    </w:p>
    <w:p w14:paraId="00A37BDA" w14:textId="77777777" w:rsidR="00D07C08" w:rsidRPr="00850BE4" w:rsidRDefault="00D07C08" w:rsidP="00D07C08">
      <w:pPr>
        <w:tabs>
          <w:tab w:val="clear" w:pos="567"/>
          <w:tab w:val="clear" w:pos="1134"/>
          <w:tab w:val="left" w:pos="2835"/>
          <w:tab w:val="left" w:pos="3402"/>
        </w:tabs>
        <w:spacing w:after="120"/>
        <w:ind w:left="567" w:firstLine="567"/>
      </w:pPr>
      <w:r w:rsidRPr="00850BE4">
        <w:t>[2</w:t>
      </w:r>
      <w:r w:rsidRPr="00850BE4">
        <w:rPr>
          <w:i/>
          <w:iCs/>
        </w:rPr>
        <w:t>.</w:t>
      </w:r>
      <w:r w:rsidRPr="00850BE4">
        <w:rPr>
          <w:i/>
          <w:iCs/>
        </w:rPr>
        <w:tab/>
        <w:t>Decides</w:t>
      </w:r>
      <w:r w:rsidRPr="00850BE4">
        <w:rPr>
          <w:i/>
        </w:rPr>
        <w:t xml:space="preserve"> </w:t>
      </w:r>
      <w:r w:rsidRPr="00850BE4">
        <w:t>to develop a maximum of two additional voluntary guidance materials in accordance with annex III to the Cartagena Protocol on Biosafety,</w:t>
      </w:r>
      <w:r w:rsidRPr="00850BE4">
        <w:rPr>
          <w:rStyle w:val="FootnoteReference"/>
        </w:rPr>
        <w:footnoteReference w:id="36"/>
      </w:r>
      <w:r w:rsidRPr="00850BE4">
        <w:t xml:space="preserve"> for the topics of [living modified algae,] [living modified fish,] [living modified microorganisms,] [living modified organisms expressing genome editing machinery for pest or pathogen control,] [long-term and cumulative effects of genetic constructs and living modified organisms,] [operationalizing protection goals into relevant assessment and measurement end points,] [the use of living modified organisms in centres of origin and in traditional agricultural systems], while avoiding duplication with and, where appropriate, supplementing existing guidance materials;]</w:t>
      </w:r>
    </w:p>
    <w:p w14:paraId="1AD2FE2A" w14:textId="77777777" w:rsidR="00D07C08" w:rsidRPr="00850BE4" w:rsidRDefault="00D07C08" w:rsidP="00D07C08">
      <w:pPr>
        <w:tabs>
          <w:tab w:val="clear" w:pos="567"/>
          <w:tab w:val="clear" w:pos="1134"/>
          <w:tab w:val="left" w:pos="2835"/>
          <w:tab w:val="left" w:pos="3402"/>
        </w:tabs>
        <w:spacing w:after="120"/>
        <w:ind w:left="567" w:firstLine="567"/>
        <w:rPr>
          <w:b/>
          <w:bCs/>
          <w:u w:val="single"/>
        </w:rPr>
      </w:pPr>
      <w:r w:rsidRPr="00850BE4">
        <w:t>[3</w:t>
      </w:r>
      <w:r w:rsidRPr="00850BE4">
        <w:rPr>
          <w:i/>
          <w:iCs/>
        </w:rPr>
        <w:t>.</w:t>
      </w:r>
      <w:r w:rsidRPr="00850BE4">
        <w:rPr>
          <w:i/>
          <w:iCs/>
        </w:rPr>
        <w:tab/>
        <w:t>Also decides</w:t>
      </w:r>
      <w:r w:rsidRPr="00850BE4">
        <w:t xml:space="preserve"> to expand capacity-building efforts on the risk assessment and risk management of living modified organisms, making use of existing information, approaches and guidance materials on the topic, including those produced under the Cartagena Protocol, such as </w:t>
      </w:r>
      <w:r w:rsidRPr="00850BE4">
        <w:rPr>
          <w:i/>
          <w:iCs/>
        </w:rPr>
        <w:t>Biosafety Technical Series 07</w:t>
      </w:r>
      <w:r w:rsidRPr="00850BE4">
        <w:t>;]</w:t>
      </w:r>
    </w:p>
    <w:p w14:paraId="2B6D4BEE" w14:textId="77777777" w:rsidR="00D07C08" w:rsidRPr="00850BE4" w:rsidRDefault="00D07C08" w:rsidP="00D07C08">
      <w:pPr>
        <w:tabs>
          <w:tab w:val="clear" w:pos="567"/>
          <w:tab w:val="clear" w:pos="1134"/>
          <w:tab w:val="left" w:pos="2835"/>
          <w:tab w:val="left" w:pos="3402"/>
        </w:tabs>
        <w:spacing w:after="120"/>
        <w:ind w:left="567" w:firstLine="567"/>
      </w:pPr>
      <w:r w:rsidRPr="00850BE4">
        <w:t>[3.alt</w:t>
      </w:r>
      <w:r w:rsidRPr="00850BE4">
        <w:rPr>
          <w:i/>
          <w:iCs/>
        </w:rPr>
        <w:t xml:space="preserve"> Also decides</w:t>
      </w:r>
      <w:r w:rsidRPr="00850BE4">
        <w:t xml:space="preserve"> to expand capacity-building efforts on the risk assessment and risk management of living modified organisms, making use of existing information, guidance materials and the approach to risk assessment of living modified organisms described in </w:t>
      </w:r>
      <w:r w:rsidRPr="00850BE4">
        <w:rPr>
          <w:i/>
          <w:iCs/>
        </w:rPr>
        <w:t>Biosafety Technical Series 07</w:t>
      </w:r>
      <w:r w:rsidRPr="00850BE4">
        <w:t>;]</w:t>
      </w:r>
    </w:p>
    <w:p w14:paraId="1B06B10F" w14:textId="77777777" w:rsidR="00D07C08" w:rsidRPr="00850BE4" w:rsidRDefault="00D07C08" w:rsidP="00D07C08">
      <w:pPr>
        <w:tabs>
          <w:tab w:val="clear" w:pos="567"/>
          <w:tab w:val="clear" w:pos="1134"/>
          <w:tab w:val="left" w:pos="2835"/>
          <w:tab w:val="left" w:pos="3402"/>
        </w:tabs>
        <w:spacing w:after="120"/>
        <w:ind w:left="567" w:firstLine="567"/>
      </w:pPr>
      <w:r w:rsidRPr="00850BE4">
        <w:t>[4.</w:t>
      </w:r>
      <w:r w:rsidRPr="00850BE4">
        <w:rPr>
          <w:i/>
          <w:iCs/>
        </w:rPr>
        <w:tab/>
        <w:t xml:space="preserve">Further decides </w:t>
      </w:r>
      <w:r w:rsidRPr="00850BE4">
        <w:t>to establish a new ad hoc technical expert group on risk assessment, with the terms of reference contained in the annex to the present decision;]</w:t>
      </w:r>
    </w:p>
    <w:p w14:paraId="6AC34222" w14:textId="77777777" w:rsidR="00D07C08" w:rsidRPr="00850BE4" w:rsidRDefault="00D07C08" w:rsidP="00D07C08">
      <w:pPr>
        <w:tabs>
          <w:tab w:val="clear" w:pos="567"/>
          <w:tab w:val="clear" w:pos="1134"/>
          <w:tab w:val="left" w:pos="2835"/>
          <w:tab w:val="left" w:pos="3402"/>
        </w:tabs>
        <w:spacing w:after="120"/>
        <w:ind w:left="567" w:firstLine="567"/>
        <w:rPr>
          <w:b/>
          <w:u w:val="single"/>
        </w:rPr>
      </w:pPr>
      <w:r w:rsidRPr="00850BE4">
        <w:t>[5.</w:t>
      </w:r>
      <w:r w:rsidRPr="00850BE4">
        <w:rPr>
          <w:i/>
          <w:iCs/>
        </w:rPr>
        <w:tab/>
        <w:t xml:space="preserve">Invites </w:t>
      </w:r>
      <w:r w:rsidRPr="00850BE4">
        <w:t>Parties, other Governments, indigenous peoples and local communities, women, youth, academia and relevant organizations to submit relevant information, such as national and regional risk assessment experiences and existing resources for risk assessment for the selected topics, to support the work of the Ad Hoc Technical Expert Group on Risk Assessment;]</w:t>
      </w:r>
    </w:p>
    <w:p w14:paraId="5FCD04F4" w14:textId="77777777" w:rsidR="00D07C08" w:rsidRPr="00850BE4" w:rsidRDefault="00D07C08" w:rsidP="00D07C08">
      <w:pPr>
        <w:tabs>
          <w:tab w:val="clear" w:pos="567"/>
          <w:tab w:val="clear" w:pos="1134"/>
          <w:tab w:val="left" w:pos="2835"/>
          <w:tab w:val="left" w:pos="3402"/>
        </w:tabs>
        <w:spacing w:after="120"/>
        <w:ind w:left="567" w:firstLine="567"/>
      </w:pPr>
      <w:r w:rsidRPr="00850BE4">
        <w:t>[6.</w:t>
      </w:r>
      <w:r w:rsidRPr="00850BE4">
        <w:rPr>
          <w:i/>
          <w:iCs/>
        </w:rPr>
        <w:tab/>
        <w:t>Decides</w:t>
      </w:r>
      <w:r w:rsidRPr="00850BE4">
        <w:t xml:space="preserve"> to extend the Open-ended Online Forum on Risk Assessment and Risk Management to support the work of the Ad Hoc Technical Expert Group on Risk Assessment;]</w:t>
      </w:r>
    </w:p>
    <w:p w14:paraId="5743EAB1" w14:textId="77777777" w:rsidR="00D07C08" w:rsidRPr="00850BE4" w:rsidRDefault="00D07C08" w:rsidP="00D07C08">
      <w:pPr>
        <w:tabs>
          <w:tab w:val="clear" w:pos="567"/>
          <w:tab w:val="clear" w:pos="1134"/>
          <w:tab w:val="left" w:pos="2835"/>
          <w:tab w:val="left" w:pos="3402"/>
        </w:tabs>
        <w:spacing w:after="120"/>
        <w:ind w:left="567" w:firstLine="567"/>
      </w:pPr>
      <w:r w:rsidRPr="00850BE4">
        <w:t>[7.</w:t>
      </w:r>
      <w:r w:rsidRPr="00850BE4">
        <w:rPr>
          <w:i/>
          <w:iCs/>
        </w:rPr>
        <w:tab/>
        <w:t xml:space="preserve">Also decides </w:t>
      </w:r>
      <w:r w:rsidRPr="00850BE4">
        <w:t xml:space="preserve">to consider at its thirteenth meeting additional issues on which guidance materials on risk assessment may be needed, further to the process established in decision </w:t>
      </w:r>
      <w:hyperlink r:id="rId44" w:history="1">
        <w:r w:rsidRPr="00850BE4">
          <w:rPr>
            <w:rStyle w:val="Hyperlink"/>
          </w:rPr>
          <w:t>CP-9/13</w:t>
        </w:r>
      </w:hyperlink>
      <w:r w:rsidRPr="00850BE4">
        <w:t xml:space="preserve"> for the identification and prioritization of specific issues of risk assessment of living modified organisms that may warrant consideration, taking into account the priorities identified by Parties, </w:t>
      </w:r>
      <w:r w:rsidRPr="00850BE4">
        <w:lastRenderedPageBreak/>
        <w:t>including in their national reports, and the topics identified by the Ad Hoc Technical Expert Group on Risk Assessment;</w:t>
      </w:r>
      <w:r w:rsidRPr="00850BE4">
        <w:rPr>
          <w:vertAlign w:val="superscript"/>
        </w:rPr>
        <w:footnoteReference w:id="37"/>
      </w:r>
      <w:r w:rsidRPr="00850BE4">
        <w:t>]</w:t>
      </w:r>
    </w:p>
    <w:p w14:paraId="638F7146" w14:textId="77777777" w:rsidR="00D07C08" w:rsidRPr="00850BE4" w:rsidRDefault="00D07C08" w:rsidP="00D07C08">
      <w:pPr>
        <w:tabs>
          <w:tab w:val="clear" w:pos="567"/>
          <w:tab w:val="clear" w:pos="1134"/>
          <w:tab w:val="left" w:pos="2835"/>
          <w:tab w:val="left" w:pos="3402"/>
        </w:tabs>
        <w:spacing w:after="120"/>
        <w:ind w:left="567" w:firstLine="567"/>
      </w:pPr>
      <w:r w:rsidRPr="00850BE4">
        <w:t>[8.</w:t>
      </w:r>
      <w:r w:rsidRPr="00850BE4">
        <w:tab/>
      </w:r>
      <w:r w:rsidRPr="00850BE4">
        <w:rPr>
          <w:i/>
          <w:iCs/>
        </w:rPr>
        <w:t xml:space="preserve">Invites </w:t>
      </w:r>
      <w:r w:rsidRPr="00850BE4">
        <w:t xml:space="preserve">Parties, other Governments, indigenous peoples and local communities, and women, youth and relevant organizations to submit information on experiences with the implementation of the simplified procedure provided in Article </w:t>
      </w:r>
      <w:hyperlink r:id="rId45" w:history="1">
        <w:r w:rsidRPr="00850BE4">
          <w:rPr>
            <w:rStyle w:val="Hyperlink"/>
          </w:rPr>
          <w:t>13</w:t>
        </w:r>
      </w:hyperlink>
      <w:r w:rsidRPr="00850BE4">
        <w:t xml:space="preserve"> of the Cartagena Protocol, bilateral, regional and multilateral agreements and arrangements provided in Article </w:t>
      </w:r>
      <w:hyperlink r:id="rId46" w:history="1">
        <w:r w:rsidRPr="00850BE4">
          <w:rPr>
            <w:rStyle w:val="Hyperlink"/>
          </w:rPr>
          <w:t>14</w:t>
        </w:r>
      </w:hyperlink>
      <w:r w:rsidRPr="00850BE4">
        <w:t xml:space="preserve"> of the Protocol, and on the transportability of data for risk assessment of living modified organisms[, recognizing that the acceptance of risk assessment data from other countries shall be subject to national evaluation and confirmation of ecological relevance and comparability];]</w:t>
      </w:r>
    </w:p>
    <w:p w14:paraId="10F976A1" w14:textId="77777777" w:rsidR="00D07C08" w:rsidRPr="00850BE4" w:rsidRDefault="00D07C08" w:rsidP="00D07C08">
      <w:pPr>
        <w:tabs>
          <w:tab w:val="clear" w:pos="567"/>
          <w:tab w:val="clear" w:pos="1134"/>
          <w:tab w:val="left" w:pos="2835"/>
          <w:tab w:val="left" w:pos="3402"/>
        </w:tabs>
        <w:spacing w:after="120"/>
        <w:ind w:left="567" w:firstLine="567"/>
      </w:pPr>
      <w:r w:rsidRPr="00850BE4">
        <w:t>[9.</w:t>
      </w:r>
      <w:r w:rsidRPr="00850BE4">
        <w:tab/>
      </w:r>
      <w:r w:rsidRPr="00850BE4">
        <w:rPr>
          <w:i/>
          <w:iCs/>
        </w:rPr>
        <w:t>Decides</w:t>
      </w:r>
      <w:r w:rsidRPr="00850BE4">
        <w:t xml:space="preserve"> to consider at its thirteenth meeting the information submitted in response to paragraph 8 above;]</w:t>
      </w:r>
    </w:p>
    <w:p w14:paraId="4D48BD0E" w14:textId="77777777" w:rsidR="00D07C08" w:rsidRPr="00850BE4" w:rsidRDefault="00D07C08" w:rsidP="00D07C08">
      <w:pPr>
        <w:tabs>
          <w:tab w:val="clear" w:pos="567"/>
          <w:tab w:val="clear" w:pos="1134"/>
          <w:tab w:val="left" w:pos="2835"/>
          <w:tab w:val="left" w:pos="3402"/>
        </w:tabs>
        <w:spacing w:after="120"/>
        <w:ind w:left="567" w:firstLine="567"/>
      </w:pPr>
      <w:r w:rsidRPr="00850BE4">
        <w:t>10.</w:t>
      </w:r>
      <w:r w:rsidRPr="00850BE4">
        <w:tab/>
      </w:r>
      <w:r w:rsidRPr="00850BE4">
        <w:rPr>
          <w:i/>
          <w:iCs/>
        </w:rPr>
        <w:t xml:space="preserve">Urges </w:t>
      </w:r>
      <w:r w:rsidRPr="00850BE4">
        <w:t>Parties, and invites other Governments, indigenous peoples and local communities, and women, youth and relevant organizations, to engage in broad international cooperation to share information and experiences related to risk assessment, in particular through the Biosafety Clearing-House, and promote capacity-building and development activities with regard to the topics prioritized by the [Ad Hoc Technical Expert Group on Risk Assessment;</w:t>
      </w:r>
      <w:r w:rsidRPr="00850BE4">
        <w:rPr>
          <w:vertAlign w:val="superscript"/>
        </w:rPr>
        <w:footnoteReference w:id="38"/>
      </w:r>
      <w:r w:rsidRPr="00850BE4">
        <w:t>][Subsidiary Body on Scientific, Technical and Technological Advice;]</w:t>
      </w:r>
    </w:p>
    <w:p w14:paraId="7A898F42" w14:textId="77777777" w:rsidR="00D07C08" w:rsidRPr="00850BE4" w:rsidRDefault="00D07C08" w:rsidP="00D07C08">
      <w:pPr>
        <w:tabs>
          <w:tab w:val="clear" w:pos="567"/>
          <w:tab w:val="clear" w:pos="1134"/>
          <w:tab w:val="left" w:pos="2835"/>
          <w:tab w:val="left" w:pos="3402"/>
        </w:tabs>
        <w:spacing w:after="120"/>
        <w:ind w:left="567" w:firstLine="567"/>
      </w:pPr>
      <w:r w:rsidRPr="00850BE4">
        <w:t>11.</w:t>
      </w:r>
      <w:r w:rsidRPr="00850BE4">
        <w:tab/>
      </w:r>
      <w:r w:rsidRPr="00850BE4">
        <w:rPr>
          <w:i/>
          <w:iCs/>
        </w:rPr>
        <w:t xml:space="preserve">Invites </w:t>
      </w:r>
      <w:r w:rsidRPr="00850BE4">
        <w:t>the regional and subregional technical and scientific cooperation support centres</w:t>
      </w:r>
      <w:r w:rsidRPr="00850BE4">
        <w:rPr>
          <w:vertAlign w:val="superscript"/>
        </w:rPr>
        <w:footnoteReference w:id="39"/>
      </w:r>
      <w:r w:rsidRPr="00850BE4">
        <w:t xml:space="preserve"> to assist Parties in addressing their needs and priorities on risk assessment and risk management;</w:t>
      </w:r>
    </w:p>
    <w:p w14:paraId="0A49DAA1" w14:textId="77777777" w:rsidR="00D07C08" w:rsidRPr="007A59F7" w:rsidRDefault="00D07C08" w:rsidP="00D07C08">
      <w:pPr>
        <w:keepNext/>
        <w:tabs>
          <w:tab w:val="clear" w:pos="567"/>
          <w:tab w:val="clear" w:pos="1134"/>
          <w:tab w:val="left" w:pos="2835"/>
          <w:tab w:val="left" w:pos="3402"/>
        </w:tabs>
        <w:spacing w:after="120"/>
        <w:ind w:left="567" w:firstLine="567"/>
      </w:pPr>
      <w:r w:rsidRPr="00850BE4">
        <w:t>12.</w:t>
      </w:r>
      <w:r w:rsidRPr="00850BE4">
        <w:rPr>
          <w:i/>
          <w:iCs/>
        </w:rPr>
        <w:tab/>
        <w:t xml:space="preserve">Requests </w:t>
      </w:r>
      <w:r w:rsidRPr="00850BE4">
        <w:t>the Executive Secretary, subject to the availability of financial resources:</w:t>
      </w:r>
    </w:p>
    <w:p w14:paraId="4E550B82" w14:textId="77777777" w:rsidR="00D07C08" w:rsidRPr="00850BE4" w:rsidRDefault="00D07C08" w:rsidP="00D07C08">
      <w:pPr>
        <w:tabs>
          <w:tab w:val="clear" w:pos="567"/>
          <w:tab w:val="clear" w:pos="1134"/>
          <w:tab w:val="left" w:pos="2835"/>
          <w:tab w:val="left" w:pos="3402"/>
        </w:tabs>
        <w:spacing w:after="120"/>
        <w:ind w:left="567" w:firstLine="567"/>
      </w:pPr>
      <w:r w:rsidRPr="00850BE4">
        <w:t>[(a)</w:t>
      </w:r>
      <w:r w:rsidRPr="00850BE4">
        <w:tab/>
        <w:t>To convene at least two meetings of the Ad Hoc Technical Expert Group on Risk Assessment, one of which will be in person, before the thirteenth meeting of the Conference of the Parties serving as the meeting of the Parties to the Cartagena Protocol;]</w:t>
      </w:r>
    </w:p>
    <w:p w14:paraId="2FA75CD5" w14:textId="77777777" w:rsidR="00D07C08" w:rsidRPr="00850BE4" w:rsidRDefault="00D07C08" w:rsidP="00D07C08">
      <w:pPr>
        <w:tabs>
          <w:tab w:val="clear" w:pos="567"/>
          <w:tab w:val="clear" w:pos="1134"/>
          <w:tab w:val="left" w:pos="2835"/>
          <w:tab w:val="left" w:pos="3402"/>
        </w:tabs>
        <w:spacing w:after="120"/>
        <w:ind w:left="567" w:firstLine="567"/>
      </w:pPr>
      <w:r w:rsidRPr="00850BE4">
        <w:t>[(b)</w:t>
      </w:r>
      <w:r w:rsidRPr="00850BE4">
        <w:tab/>
        <w:t>To convene discussions in the Open-ended Online Forum on Risk Assessment and Risk Management during the same intersessional period and encourage the active participation of indigenous peoples and local communities, women and youth organizations, academia and other relevant organizations;]</w:t>
      </w:r>
    </w:p>
    <w:p w14:paraId="42A132B7" w14:textId="77777777" w:rsidR="00D07C08" w:rsidRPr="007A59F7" w:rsidRDefault="00D07C08" w:rsidP="00D07C08">
      <w:pPr>
        <w:tabs>
          <w:tab w:val="clear" w:pos="567"/>
          <w:tab w:val="clear" w:pos="1134"/>
          <w:tab w:val="left" w:pos="2835"/>
          <w:tab w:val="left" w:pos="3402"/>
        </w:tabs>
        <w:spacing w:after="120"/>
        <w:ind w:left="567" w:firstLine="567"/>
      </w:pPr>
      <w:r w:rsidRPr="00850BE4">
        <w:t>(c)</w:t>
      </w:r>
      <w:r w:rsidRPr="00850BE4">
        <w:tab/>
        <w:t xml:space="preserve">To synthesize information collected in response to paragraphs [5] and [8] of the present </w:t>
      </w:r>
      <w:proofErr w:type="gramStart"/>
      <w:r w:rsidRPr="00850BE4">
        <w:t>decision[</w:t>
      </w:r>
      <w:proofErr w:type="gramEnd"/>
      <w:r w:rsidRPr="00850BE4">
        <w:t xml:space="preserve"> and through the Open-ended Online Forum on Risk Assessment and Risk Management], as well as the information related to specific needs for further guidance on specific topics of</w:t>
      </w:r>
      <w:r w:rsidRPr="00850BE4">
        <w:rPr>
          <w:b/>
          <w:bCs/>
        </w:rPr>
        <w:t xml:space="preserve"> </w:t>
      </w:r>
      <w:r w:rsidRPr="00850BE4">
        <w:t>risk assessment and risk management in national reports;</w:t>
      </w:r>
      <w:r w:rsidRPr="00850BE4">
        <w:rPr>
          <w:vertAlign w:val="superscript"/>
        </w:rPr>
        <w:footnoteReference w:id="40"/>
      </w:r>
    </w:p>
    <w:p w14:paraId="3D23806E" w14:textId="77777777" w:rsidR="00D07C08" w:rsidRPr="00850BE4" w:rsidRDefault="00D07C08" w:rsidP="00D07C08">
      <w:pPr>
        <w:tabs>
          <w:tab w:val="clear" w:pos="567"/>
          <w:tab w:val="clear" w:pos="1134"/>
          <w:tab w:val="left" w:pos="2835"/>
          <w:tab w:val="left" w:pos="3402"/>
        </w:tabs>
        <w:spacing w:after="120"/>
        <w:ind w:left="567" w:firstLine="567"/>
      </w:pPr>
      <w:r w:rsidRPr="00850BE4">
        <w:t>(d)</w:t>
      </w:r>
      <w:r w:rsidRPr="00850BE4">
        <w:tab/>
        <w:t xml:space="preserve">To continue to undertake capacity-building and development activities on existing guidance materials through regional workshops </w:t>
      </w:r>
      <w:proofErr w:type="gramStart"/>
      <w:r w:rsidRPr="00850BE4">
        <w:t>in order to</w:t>
      </w:r>
      <w:proofErr w:type="gramEnd"/>
      <w:r w:rsidRPr="00850BE4">
        <w:t xml:space="preserve"> support the risk assessment of living modified organisms, in collaboration with relevant initiatives and partnerships, as appropriate, ensuring equitable representation of all developing country Parties;</w:t>
      </w:r>
    </w:p>
    <w:p w14:paraId="1602CFA9" w14:textId="77777777" w:rsidR="00D07C08" w:rsidRPr="007A59F7" w:rsidRDefault="00D07C08" w:rsidP="00D07C08">
      <w:pPr>
        <w:tabs>
          <w:tab w:val="clear" w:pos="567"/>
          <w:tab w:val="clear" w:pos="1134"/>
          <w:tab w:val="left" w:pos="2835"/>
          <w:tab w:val="left" w:pos="3402"/>
        </w:tabs>
        <w:spacing w:after="120"/>
        <w:ind w:left="567" w:firstLine="567"/>
      </w:pPr>
      <w:r w:rsidRPr="00850BE4">
        <w:t>(e)</w:t>
      </w:r>
      <w:r w:rsidRPr="00850BE4">
        <w:tab/>
        <w:t>To continue to collect experiences on and assessments of the applicability and usefulness of the additional voluntary guidance materials to support case-by-case risk assessments of living modified organisms containing engineered gene drives</w:t>
      </w:r>
      <w:r w:rsidRPr="00850BE4">
        <w:rPr>
          <w:vertAlign w:val="superscript"/>
        </w:rPr>
        <w:footnoteReference w:id="41"/>
      </w:r>
      <w:r w:rsidRPr="00850BE4">
        <w:t xml:space="preserve"> and make them available through the Biosafety </w:t>
      </w:r>
      <w:proofErr w:type="gramStart"/>
      <w:r w:rsidRPr="00850BE4">
        <w:t>Clearing-House</w:t>
      </w:r>
      <w:proofErr w:type="gramEnd"/>
      <w:r w:rsidRPr="00850BE4">
        <w:t>;</w:t>
      </w:r>
    </w:p>
    <w:p w14:paraId="04E535C1" w14:textId="77777777" w:rsidR="00D07C08" w:rsidRPr="00850BE4" w:rsidRDefault="00D07C08" w:rsidP="00D07C08">
      <w:pPr>
        <w:tabs>
          <w:tab w:val="clear" w:pos="567"/>
          <w:tab w:val="clear" w:pos="1134"/>
          <w:tab w:val="left" w:pos="2835"/>
          <w:tab w:val="left" w:pos="3402"/>
        </w:tabs>
        <w:spacing w:after="120"/>
        <w:ind w:left="567" w:firstLine="567"/>
      </w:pPr>
      <w:r w:rsidRPr="00850BE4">
        <w:lastRenderedPageBreak/>
        <w:t>[13.</w:t>
      </w:r>
      <w:r w:rsidRPr="00850BE4">
        <w:rPr>
          <w:i/>
          <w:iCs/>
        </w:rPr>
        <w:tab/>
        <w:t>Requests</w:t>
      </w:r>
      <w:r w:rsidRPr="00850BE4">
        <w:t xml:space="preserve"> the Subsidiary Body on Scientific, Technical and Technological Advice to consider the outcomes of the meetings of the Ad Hoc Technical Expert Group on Risk Assessment at a meeting held before the thirteenth meeting of the Conference of the Parties serving as the meeting of the Parties to the Cartagena Protocol and to make recommendations to the Conference of the Parties serving as the meeting of the Parties to the Protocol for consideration at its thirteenth meeting.]</w:t>
      </w:r>
    </w:p>
    <w:p w14:paraId="684BD8CB" w14:textId="77777777" w:rsidR="00D07C08" w:rsidRPr="00850BE4" w:rsidRDefault="00D07C08" w:rsidP="00D07C08">
      <w:pPr>
        <w:keepNext/>
        <w:keepLines/>
        <w:tabs>
          <w:tab w:val="clear" w:pos="567"/>
          <w:tab w:val="clear" w:pos="1134"/>
          <w:tab w:val="clear" w:pos="1701"/>
          <w:tab w:val="clear" w:pos="2268"/>
          <w:tab w:val="left" w:pos="2835"/>
          <w:tab w:val="left" w:pos="3402"/>
        </w:tabs>
        <w:spacing w:before="240" w:after="120"/>
        <w:ind w:left="567"/>
        <w:jc w:val="left"/>
        <w:rPr>
          <w:rFonts w:ascii="Times New Roman Bold" w:hAnsi="Times New Roman Bold" w:cs="Times New Roman Bold" w:hint="eastAsia"/>
          <w:bCs/>
          <w:sz w:val="24"/>
        </w:rPr>
      </w:pPr>
      <w:r w:rsidRPr="00850BE4">
        <w:rPr>
          <w:rFonts w:ascii="Times New Roman Bold" w:hAnsi="Times New Roman Bold" w:cs="Times New Roman Bold"/>
          <w:bCs/>
          <w:sz w:val="24"/>
        </w:rPr>
        <w:t>[</w:t>
      </w:r>
    </w:p>
    <w:p w14:paraId="40C8DFFA" w14:textId="77777777" w:rsidR="00D07C08" w:rsidRPr="00850BE4" w:rsidRDefault="00D07C08" w:rsidP="00D07C08">
      <w:pPr>
        <w:pStyle w:val="CBDDesicionAnnex"/>
      </w:pPr>
      <w:r w:rsidRPr="00850BE4">
        <w:t>Annex</w:t>
      </w:r>
      <w:r w:rsidRPr="00850BE4">
        <w:br/>
        <w:t>Terms of reference for the Ad Hoc Technical Expert Group on Risk Assessment</w:t>
      </w:r>
    </w:p>
    <w:p w14:paraId="754559CD" w14:textId="77777777" w:rsidR="00D07C08" w:rsidRPr="00850BE4" w:rsidRDefault="00D07C08">
      <w:pPr>
        <w:numPr>
          <w:ilvl w:val="0"/>
          <w:numId w:val="8"/>
        </w:numPr>
        <w:tabs>
          <w:tab w:val="clear" w:pos="567"/>
          <w:tab w:val="left" w:pos="2835"/>
          <w:tab w:val="left" w:pos="3402"/>
          <w:tab w:val="left" w:pos="3969"/>
        </w:tabs>
        <w:spacing w:before="120" w:after="120"/>
      </w:pPr>
      <w:r w:rsidRPr="00850BE4">
        <w:t>The Ad Hoc Technical Expert Group on Risk Assessment shall:</w:t>
      </w:r>
    </w:p>
    <w:p w14:paraId="00930177" w14:textId="77777777" w:rsidR="00D07C08" w:rsidRPr="00850BE4" w:rsidRDefault="00D07C08">
      <w:pPr>
        <w:numPr>
          <w:ilvl w:val="1"/>
          <w:numId w:val="8"/>
        </w:numPr>
        <w:tabs>
          <w:tab w:val="clear" w:pos="567"/>
          <w:tab w:val="left" w:pos="2835"/>
          <w:tab w:val="left" w:pos="3402"/>
          <w:tab w:val="left" w:pos="3969"/>
        </w:tabs>
        <w:spacing w:before="120" w:after="120"/>
      </w:pPr>
      <w:r w:rsidRPr="00850BE4">
        <w:t>Be composed of experts, selected in accordance with section H of the consolidated modus operandi of the Subsidiary Body on Scientific, Technical and Technological Advice,</w:t>
      </w:r>
      <w:r w:rsidRPr="00850BE4">
        <w:rPr>
          <w:vertAlign w:val="superscript"/>
        </w:rPr>
        <w:footnoteReference w:id="42"/>
      </w:r>
      <w:r w:rsidRPr="00850BE4">
        <w:t xml:space="preserve"> with specific scientific and technical expertise relevant to the present mandate, and include experts from academia, relevant international organizations and indigenous peoples and local communities, women and youth, in line with decision </w:t>
      </w:r>
      <w:hyperlink r:id="rId47" w:history="1">
        <w:r w:rsidRPr="00850BE4">
          <w:rPr>
            <w:rStyle w:val="Hyperlink"/>
          </w:rPr>
          <w:t>14/33</w:t>
        </w:r>
      </w:hyperlink>
      <w:r w:rsidRPr="00850BE4">
        <w:t xml:space="preserve"> of 29 November 2018 on the procedure for avoiding or managing conflicts of interest in expert groups, as amended in decision </w:t>
      </w:r>
      <w:hyperlink r:id="rId48" w:history="1">
        <w:r w:rsidRPr="00850BE4">
          <w:rPr>
            <w:rStyle w:val="Hyperlink"/>
          </w:rPr>
          <w:t>CP-11/6</w:t>
        </w:r>
      </w:hyperlink>
      <w:r w:rsidRPr="00850BE4">
        <w:t xml:space="preserve"> of 1 November 2024;</w:t>
      </w:r>
    </w:p>
    <w:p w14:paraId="22ABEC9A" w14:textId="77777777" w:rsidR="00D07C08" w:rsidRPr="00850BE4" w:rsidRDefault="00D07C08">
      <w:pPr>
        <w:numPr>
          <w:ilvl w:val="1"/>
          <w:numId w:val="8"/>
        </w:numPr>
        <w:tabs>
          <w:tab w:val="clear" w:pos="567"/>
          <w:tab w:val="left" w:pos="2835"/>
          <w:tab w:val="left" w:pos="3402"/>
          <w:tab w:val="left" w:pos="3969"/>
        </w:tabs>
        <w:spacing w:before="120" w:after="120"/>
      </w:pPr>
      <w:r w:rsidRPr="00850BE4">
        <w:t>Subject to the availability of funds, hold at least two meetings, one of which will be in person, before the thirteenth meeting of the Conference of the Parties serving as the meeting of the Parties to the Cartagena Protocol on Biosafety</w:t>
      </w:r>
      <w:r w:rsidRPr="00850BE4">
        <w:rPr>
          <w:vertAlign w:val="superscript"/>
        </w:rPr>
        <w:footnoteReference w:id="43"/>
      </w:r>
      <w:r w:rsidRPr="00850BE4">
        <w:t xml:space="preserve"> and perform any necessary tasks between its two meetings by online means of communication and engagement;</w:t>
      </w:r>
    </w:p>
    <w:p w14:paraId="38A09688" w14:textId="77777777" w:rsidR="00D07C08" w:rsidRPr="00850BE4" w:rsidRDefault="00D07C08">
      <w:pPr>
        <w:numPr>
          <w:ilvl w:val="1"/>
          <w:numId w:val="8"/>
        </w:numPr>
        <w:tabs>
          <w:tab w:val="clear" w:pos="567"/>
          <w:tab w:val="left" w:pos="2835"/>
          <w:tab w:val="left" w:pos="3402"/>
          <w:tab w:val="left" w:pos="3969"/>
        </w:tabs>
        <w:spacing w:before="120" w:after="120"/>
      </w:pPr>
      <w:r w:rsidRPr="00850BE4">
        <w:t>Develop draft additional voluntary guidance materials for living modified microorganisms and living modified fish, in accordance with annex III to the Cartagena Protocol, taking into account approaches to risk assessment set out in the additional voluntary guidance materials to support case-by-case risk assessments of living modified organisms containing engineered gene drives</w:t>
      </w:r>
      <w:r w:rsidRPr="00850BE4">
        <w:rPr>
          <w:vertAlign w:val="superscript"/>
        </w:rPr>
        <w:footnoteReference w:id="44"/>
      </w:r>
      <w:r w:rsidRPr="00850BE4">
        <w:t xml:space="preserve"> and avoiding duplication with existing guidance materials, for consideration by the Subsidiary Body at a meeting held before the thirteenth meeting of the Conference of the Parties serving as the meeting of the Parties to the Protocol;</w:t>
      </w:r>
    </w:p>
    <w:p w14:paraId="03BBA26F" w14:textId="77777777" w:rsidR="00D07C08" w:rsidRPr="00850BE4" w:rsidRDefault="00D07C08">
      <w:pPr>
        <w:numPr>
          <w:ilvl w:val="1"/>
          <w:numId w:val="8"/>
        </w:numPr>
        <w:tabs>
          <w:tab w:val="clear" w:pos="567"/>
          <w:tab w:val="left" w:pos="2835"/>
          <w:tab w:val="left" w:pos="3402"/>
          <w:tab w:val="left" w:pos="3969"/>
        </w:tabs>
        <w:spacing w:before="120" w:after="120"/>
      </w:pPr>
      <w:r w:rsidRPr="00850BE4">
        <w:t>[Develop draft technical notes</w:t>
      </w:r>
      <w:r w:rsidRPr="00850BE4">
        <w:rPr>
          <w:vertAlign w:val="superscript"/>
        </w:rPr>
        <w:footnoteReference w:id="45"/>
      </w:r>
      <w:r w:rsidRPr="00850BE4">
        <w:t xml:space="preserve"> for voluntary use for the topics of operationalizing protection goals into relevant assessment and measurement end points and the use of living modified organisms in centres of origin and in traditional agricultural systems],</w:t>
      </w:r>
      <w:r w:rsidRPr="00850BE4">
        <w:rPr>
          <w:vertAlign w:val="superscript"/>
        </w:rPr>
        <w:footnoteReference w:id="46"/>
      </w:r>
      <w:r w:rsidRPr="00850BE4">
        <w:t xml:space="preserve">[Develop concise supplementary guidance for voluntary use that provides specific, clear and focused information on [living modified algae,] [living modified fish,] [living modified microorganisms,] [living modified organisms expressing genome editing machinery for pest or pathogen control,] [long-term and cumulative effects of genetic constructs and living modified organisms,] [operationalizing protection goals into relevant assessment and measurement end points,] [the use of living modified organisms in centres of origin and in traditional agricultural systems]] in accordance with annex III to the Cartagena Protocol and avoiding duplication with existing guidance materials, for consideration by the Subsidiary Body at a meeting held before the thirteenth meeting of the Conference of the Parties </w:t>
      </w:r>
      <w:r w:rsidRPr="00850BE4">
        <w:lastRenderedPageBreak/>
        <w:t>serving as the meeting of the Parties to the Protocol. [The guidance may include procedural or practical elements or points to consider during risk assessment.]</w:t>
      </w:r>
    </w:p>
    <w:p w14:paraId="50532EFA" w14:textId="77777777" w:rsidR="00D07C08" w:rsidRPr="00850BE4" w:rsidRDefault="00D07C08">
      <w:pPr>
        <w:numPr>
          <w:ilvl w:val="0"/>
          <w:numId w:val="8"/>
        </w:numPr>
        <w:tabs>
          <w:tab w:val="clear" w:pos="567"/>
          <w:tab w:val="left" w:pos="2835"/>
          <w:tab w:val="left" w:pos="3402"/>
          <w:tab w:val="left" w:pos="3969"/>
        </w:tabs>
        <w:spacing w:before="120" w:after="120"/>
      </w:pPr>
      <w:r w:rsidRPr="00850BE4">
        <w:t xml:space="preserve">In conducting its work, the Expert Group shall consider the information submitted pursuant to paragraph 5 of the present decision, the discussions held in the Open-ended Online Forum on Risk Assessment and Risk Management, the synthesis of information prepared by the Secretariat pursuant to paragraph 12 (c) of the present decision, the synthesis of submissions of information on risk assessment and the discussions held in the Online Forum </w:t>
      </w:r>
      <w:r w:rsidRPr="00850BE4">
        <w:rPr>
          <w:vertAlign w:val="superscript"/>
        </w:rPr>
        <w:footnoteReference w:id="47"/>
      </w:r>
      <w:r w:rsidRPr="00850BE4">
        <w:t xml:space="preserve"> and the list of bibliographical references provided in the submissions from Parties and during the discussions held in the Online Forum.</w:t>
      </w:r>
      <w:r w:rsidRPr="00850BE4">
        <w:rPr>
          <w:vertAlign w:val="superscript"/>
        </w:rPr>
        <w:footnoteReference w:id="48"/>
      </w:r>
      <w:r w:rsidRPr="00850BE4">
        <w:t xml:space="preserve"> </w:t>
      </w:r>
    </w:p>
    <w:p w14:paraId="223DFE92" w14:textId="77777777" w:rsidR="00D07C08" w:rsidRPr="00850BE4" w:rsidRDefault="00D07C08">
      <w:pPr>
        <w:numPr>
          <w:ilvl w:val="0"/>
          <w:numId w:val="8"/>
        </w:numPr>
        <w:tabs>
          <w:tab w:val="clear" w:pos="567"/>
          <w:tab w:val="left" w:pos="2835"/>
          <w:tab w:val="left" w:pos="3402"/>
          <w:tab w:val="left" w:pos="3969"/>
        </w:tabs>
        <w:spacing w:before="120" w:after="120"/>
      </w:pPr>
      <w:r w:rsidRPr="00850BE4">
        <w:t>In conducting its work, the Expert Group shall also consider information produced by other international, regional and national bodies, to avoid the duplication of existing materials.</w:t>
      </w:r>
    </w:p>
    <w:p w14:paraId="3F5BE109" w14:textId="77777777" w:rsidR="00D07C08" w:rsidRPr="00850BE4" w:rsidRDefault="00D07C08" w:rsidP="00D07C08">
      <w:pPr>
        <w:tabs>
          <w:tab w:val="clear" w:pos="567"/>
          <w:tab w:val="left" w:pos="2835"/>
          <w:tab w:val="left" w:pos="3402"/>
          <w:tab w:val="left" w:pos="3969"/>
        </w:tabs>
        <w:spacing w:before="120" w:after="120"/>
        <w:ind w:left="567"/>
      </w:pPr>
      <w:r w:rsidRPr="00850BE4">
        <w:t>]</w:t>
      </w:r>
    </w:p>
    <w:p w14:paraId="5505064D" w14:textId="5DACD917" w:rsidR="00A75AC4" w:rsidRPr="00850BE4" w:rsidRDefault="00A75AC4" w:rsidP="00D07C08">
      <w:pPr>
        <w:pStyle w:val="CBDNormalNumber"/>
        <w:numPr>
          <w:ilvl w:val="0"/>
          <w:numId w:val="0"/>
        </w:numPr>
      </w:pPr>
    </w:p>
    <w:p w14:paraId="6A531CA6" w14:textId="77777777" w:rsidR="006470A9" w:rsidRPr="00850BE4" w:rsidRDefault="006470A9" w:rsidP="00E612A5">
      <w:pPr>
        <w:pStyle w:val="CBDAgendaItem"/>
        <w:rPr>
          <w:rFonts w:hint="eastAsia"/>
        </w:rPr>
        <w:sectPr w:rsidR="006470A9" w:rsidRPr="00850BE4" w:rsidSect="00361D55">
          <w:pgSz w:w="12240" w:h="15840"/>
          <w:pgMar w:top="567" w:right="1440" w:bottom="1134" w:left="1440" w:header="709" w:footer="709" w:gutter="0"/>
          <w:cols w:space="708"/>
          <w:docGrid w:linePitch="360"/>
        </w:sectPr>
      </w:pPr>
    </w:p>
    <w:p w14:paraId="6B3EB744" w14:textId="41FF9B29" w:rsidR="00E612A5" w:rsidRPr="00850BE4" w:rsidRDefault="00E612A5" w:rsidP="00E612A5">
      <w:pPr>
        <w:pStyle w:val="CBDAgendaItem"/>
        <w:rPr>
          <w:rFonts w:hint="eastAsia"/>
          <w:sz w:val="26"/>
          <w:szCs w:val="26"/>
        </w:rPr>
      </w:pPr>
      <w:bookmarkStart w:id="12" w:name="_Toc241483695"/>
      <w:r w:rsidRPr="00850BE4">
        <w:rPr>
          <w:sz w:val="26"/>
          <w:szCs w:val="26"/>
        </w:rPr>
        <w:lastRenderedPageBreak/>
        <w:t xml:space="preserve">Item 14 </w:t>
      </w:r>
      <w:r w:rsidRPr="00850BE4">
        <w:rPr>
          <w:sz w:val="26"/>
          <w:szCs w:val="26"/>
        </w:rPr>
        <w:br/>
        <w:t>Detection and identification of living modified organisms</w:t>
      </w:r>
      <w:bookmarkEnd w:id="12"/>
    </w:p>
    <w:tbl>
      <w:tblPr>
        <w:tblStyle w:val="TableGrid"/>
        <w:tblW w:w="0" w:type="auto"/>
        <w:tblLook w:val="04A0" w:firstRow="1" w:lastRow="0" w:firstColumn="1" w:lastColumn="0" w:noHBand="0" w:noVBand="1"/>
      </w:tblPr>
      <w:tblGrid>
        <w:gridCol w:w="9360"/>
      </w:tblGrid>
      <w:tr w:rsidR="006470A9" w:rsidRPr="00850BE4" w14:paraId="20EF9B3C" w14:textId="77777777" w:rsidTr="00E56E5C">
        <w:tc>
          <w:tcPr>
            <w:tcW w:w="9360" w:type="dxa"/>
            <w:tcBorders>
              <w:left w:val="nil"/>
              <w:right w:val="nil"/>
            </w:tcBorders>
          </w:tcPr>
          <w:p w14:paraId="1934FD8C" w14:textId="69490C07" w:rsidR="006470A9" w:rsidRPr="00850BE4" w:rsidRDefault="002B5559" w:rsidP="00936427">
            <w:pPr>
              <w:pStyle w:val="CBDNormalNumber"/>
              <w:numPr>
                <w:ilvl w:val="0"/>
                <w:numId w:val="0"/>
              </w:numPr>
              <w:ind w:firstLine="596"/>
              <w:rPr>
                <w:i/>
                <w:iCs/>
              </w:rPr>
            </w:pPr>
            <w:r w:rsidRPr="00850BE4">
              <w:rPr>
                <w:i/>
                <w:iCs/>
              </w:rPr>
              <w:t xml:space="preserve">The following draft decision has been reproduced from document </w:t>
            </w:r>
            <w:hyperlink r:id="rId49" w:history="1">
              <w:r w:rsidRPr="00850BE4">
                <w:rPr>
                  <w:rStyle w:val="Hyperlink"/>
                  <w:i/>
                  <w:iCs/>
                </w:rPr>
                <w:t>CBD/CP/MOP/12/10</w:t>
              </w:r>
            </w:hyperlink>
            <w:r w:rsidR="00936427" w:rsidRPr="00850BE4">
              <w:rPr>
                <w:i/>
                <w:iCs/>
              </w:rPr>
              <w:t>.</w:t>
            </w:r>
          </w:p>
        </w:tc>
      </w:tr>
    </w:tbl>
    <w:p w14:paraId="750033B1" w14:textId="5D38C5E4" w:rsidR="00A91FEE" w:rsidRPr="00850BE4" w:rsidRDefault="00A91FEE" w:rsidP="00A91FEE">
      <w:pPr>
        <w:pStyle w:val="CBDcompilationH2"/>
      </w:pPr>
      <w:r w:rsidRPr="00850BE4">
        <w:t>Detection and identification of living modified organisms</w:t>
      </w:r>
    </w:p>
    <w:p w14:paraId="1A5F3FAB" w14:textId="77777777" w:rsidR="00C75B93" w:rsidRPr="00850BE4" w:rsidRDefault="00C75B93" w:rsidP="00C75B93">
      <w:pPr>
        <w:pStyle w:val="CBDNormalNumber"/>
        <w:numPr>
          <w:ilvl w:val="0"/>
          <w:numId w:val="0"/>
        </w:numPr>
        <w:ind w:left="567" w:firstLine="567"/>
        <w:rPr>
          <w:i/>
          <w:iCs/>
        </w:rPr>
      </w:pPr>
      <w:r w:rsidRPr="00850BE4">
        <w:rPr>
          <w:i/>
          <w:iCs/>
        </w:rPr>
        <w:t>The Conference of the Parties serving as the meeting of the Parties to the Cartagena Protocol</w:t>
      </w:r>
      <w:r w:rsidRPr="00850BE4">
        <w:t>,</w:t>
      </w:r>
      <w:r w:rsidRPr="00850BE4">
        <w:rPr>
          <w:i/>
          <w:iCs/>
        </w:rPr>
        <w:t xml:space="preserve"> </w:t>
      </w:r>
    </w:p>
    <w:p w14:paraId="531A4415" w14:textId="1D951A22" w:rsidR="00C75B93" w:rsidRPr="00850BE4" w:rsidRDefault="00C75B93" w:rsidP="00C75B93">
      <w:pPr>
        <w:pStyle w:val="CBDRecommendText"/>
        <w:ind w:firstLine="567"/>
        <w:rPr>
          <w:i/>
          <w:iCs/>
        </w:rPr>
      </w:pPr>
      <w:r w:rsidRPr="00850BE4">
        <w:rPr>
          <w:i/>
          <w:iCs/>
        </w:rPr>
        <w:t>Recalling</w:t>
      </w:r>
      <w:r w:rsidRPr="00850BE4">
        <w:t xml:space="preserve"> its decisions </w:t>
      </w:r>
      <w:hyperlink r:id="rId50" w:history="1">
        <w:r w:rsidRPr="00850BE4">
          <w:rPr>
            <w:rStyle w:val="Hyperlink"/>
          </w:rPr>
          <w:t>CP-10/11</w:t>
        </w:r>
      </w:hyperlink>
      <w:r w:rsidRPr="00850BE4">
        <w:t xml:space="preserve"> of 10 December 2022 and </w:t>
      </w:r>
      <w:hyperlink r:id="rId51" w:history="1">
        <w:r w:rsidRPr="00850BE4">
          <w:rPr>
            <w:rStyle w:val="Hyperlink"/>
          </w:rPr>
          <w:t>CP-11/8</w:t>
        </w:r>
      </w:hyperlink>
      <w:r w:rsidRPr="00850BE4">
        <w:t xml:space="preserve"> of 30 October 2024,</w:t>
      </w:r>
    </w:p>
    <w:p w14:paraId="31B2C5FA" w14:textId="287A734D" w:rsidR="00C75B93" w:rsidRPr="00850BE4" w:rsidRDefault="00C75B93" w:rsidP="00C75B93">
      <w:pPr>
        <w:pStyle w:val="CBDRecommendText"/>
        <w:ind w:firstLine="567"/>
      </w:pPr>
      <w:r w:rsidRPr="00850BE4">
        <w:rPr>
          <w:i/>
          <w:iCs/>
        </w:rPr>
        <w:t>Noting</w:t>
      </w:r>
      <w:r w:rsidRPr="00850BE4">
        <w:t xml:space="preserve"> the progress reported by Parties in their fifth national reports in relation to the detection and identification of living modified organisms under the Cartagena Protocol on Biosafety,</w:t>
      </w:r>
      <w:r w:rsidRPr="00850BE4">
        <w:rPr>
          <w:rStyle w:val="FootnoteReference"/>
        </w:rPr>
        <w:footnoteReference w:id="49"/>
      </w:r>
      <w:r w:rsidRPr="00850BE4">
        <w:t xml:space="preserve"> and acknowledging the findings of the fifth assessment and review of the effectiveness of the Protocol,</w:t>
      </w:r>
      <w:r w:rsidRPr="00850BE4">
        <w:rPr>
          <w:rStyle w:val="FootnoteReference"/>
        </w:rPr>
        <w:footnoteReference w:id="50"/>
      </w:r>
    </w:p>
    <w:p w14:paraId="3261D453" w14:textId="59FFDDAB" w:rsidR="00C75B93" w:rsidRPr="00850BE4" w:rsidRDefault="00C75B93" w:rsidP="00C75B93">
      <w:pPr>
        <w:pStyle w:val="CBDRecommendText"/>
        <w:ind w:firstLine="567"/>
      </w:pPr>
      <w:r w:rsidRPr="00850BE4">
        <w:rPr>
          <w:i/>
          <w:iCs/>
          <w:color w:val="000000" w:themeColor="text1"/>
        </w:rPr>
        <w:t>Noting also</w:t>
      </w:r>
      <w:r w:rsidRPr="00850BE4">
        <w:rPr>
          <w:color w:val="000000" w:themeColor="text1"/>
        </w:rPr>
        <w:t xml:space="preserve"> </w:t>
      </w:r>
      <w:r w:rsidRPr="00850BE4">
        <w:t>the challenges faced by many Parties in ensuring the sustainable operation, maintenance and continuous development of laboratory facilities involved in the detection and identification of living modified organisms and the significant differences in technical and institutional capacities that continue to exist among Parties,</w:t>
      </w:r>
    </w:p>
    <w:p w14:paraId="6E1B3915" w14:textId="7DEA4944" w:rsidR="00C75B93" w:rsidRPr="00850BE4" w:rsidRDefault="00C75B93" w:rsidP="00C75B93">
      <w:pPr>
        <w:pStyle w:val="CBDRecommendText"/>
        <w:ind w:firstLine="567"/>
      </w:pPr>
      <w:r w:rsidRPr="00850BE4">
        <w:t>1</w:t>
      </w:r>
      <w:r w:rsidRPr="00850BE4">
        <w:rPr>
          <w:i/>
          <w:iCs/>
        </w:rPr>
        <w:t>.</w:t>
      </w:r>
      <w:r w:rsidRPr="00850BE4">
        <w:rPr>
          <w:i/>
          <w:iCs/>
        </w:rPr>
        <w:tab/>
        <w:t>Invites</w:t>
      </w:r>
      <w:r w:rsidRPr="00850BE4">
        <w:t xml:space="preserve"> Parties, other Governments and relevant organizations to review and update, as appropriate, the information contained in the registry of laboratories available through the Biosafety </w:t>
      </w:r>
      <w:proofErr w:type="gramStart"/>
      <w:r w:rsidRPr="00850BE4">
        <w:t>Clearing-House</w:t>
      </w:r>
      <w:proofErr w:type="gramEnd"/>
      <w:r w:rsidRPr="00850BE4">
        <w:t xml:space="preserve"> and to nominate additional laboratories and experts to participate in the Network of Laboratories for the Detection and Identification of Living Modified Organisms;</w:t>
      </w:r>
    </w:p>
    <w:p w14:paraId="2569DF07" w14:textId="4A36EF20" w:rsidR="00C75B93" w:rsidRPr="00850BE4" w:rsidRDefault="00C75B93" w:rsidP="00C75B93">
      <w:pPr>
        <w:pStyle w:val="CBDRecommendText"/>
        <w:ind w:firstLine="567"/>
      </w:pPr>
      <w:r w:rsidRPr="00850BE4">
        <w:t>2</w:t>
      </w:r>
      <w:r w:rsidRPr="00850BE4">
        <w:rPr>
          <w:i/>
          <w:iCs/>
        </w:rPr>
        <w:t>.</w:t>
      </w:r>
      <w:r w:rsidRPr="00850BE4">
        <w:rPr>
          <w:i/>
          <w:iCs/>
        </w:rPr>
        <w:tab/>
        <w:t>Encourages</w:t>
      </w:r>
      <w:r w:rsidRPr="00850BE4">
        <w:t xml:space="preserve"> Parties to support the establishment, revitalization</w:t>
      </w:r>
      <w:r w:rsidRPr="00850BE4" w:rsidDel="008269BF">
        <w:t xml:space="preserve"> </w:t>
      </w:r>
      <w:r w:rsidRPr="00850BE4">
        <w:t>and strengthening of regional networks of laboratories and partnerships to promote capacity-building, knowledge-sharing and technical cooperation in the detection and identification of living modified organisms;</w:t>
      </w:r>
    </w:p>
    <w:p w14:paraId="699DE7E2" w14:textId="21B07F3C" w:rsidR="00C75B93" w:rsidRPr="007A59F7" w:rsidRDefault="00C75B93" w:rsidP="00C75B93">
      <w:pPr>
        <w:pStyle w:val="CBDRecommendText"/>
        <w:ind w:firstLine="567"/>
      </w:pPr>
      <w:r w:rsidRPr="007A59F7">
        <w:t>3.</w:t>
      </w:r>
      <w:r w:rsidRPr="007A59F7">
        <w:tab/>
      </w:r>
      <w:r w:rsidRPr="007A59F7">
        <w:rPr>
          <w:i/>
          <w:iCs/>
        </w:rPr>
        <w:t>Also</w:t>
      </w:r>
      <w:r w:rsidRPr="007A59F7">
        <w:t xml:space="preserve"> </w:t>
      </w:r>
      <w:r w:rsidRPr="007A59F7">
        <w:rPr>
          <w:i/>
          <w:iCs/>
        </w:rPr>
        <w:t>encourages</w:t>
      </w:r>
      <w:r w:rsidRPr="007A59F7">
        <w:t xml:space="preserve"> Parties to develop long-term national strategies for the sustainable operation, maintenance and continuous development of laboratory facilities involved in the detection and identification of living modified organisms, including through institutional support and regional cooperation;</w:t>
      </w:r>
    </w:p>
    <w:p w14:paraId="69D5A8DC" w14:textId="202FA7F6" w:rsidR="00C75B93" w:rsidRPr="007A59F7" w:rsidRDefault="00C75B93" w:rsidP="00C75B93">
      <w:pPr>
        <w:pStyle w:val="CBDRecommendText"/>
        <w:ind w:firstLine="567"/>
      </w:pPr>
      <w:r w:rsidRPr="007A59F7">
        <w:t>4.</w:t>
      </w:r>
      <w:r w:rsidRPr="007A59F7">
        <w:tab/>
      </w:r>
      <w:r w:rsidRPr="007A59F7">
        <w:rPr>
          <w:i/>
        </w:rPr>
        <w:t>Invites</w:t>
      </w:r>
      <w:r w:rsidRPr="007A59F7">
        <w:t xml:space="preserve"> Parties, other Governments and international organizations to provide financial resources, </w:t>
      </w:r>
      <w:proofErr w:type="gramStart"/>
      <w:r w:rsidRPr="007A59F7">
        <w:t>in particular for</w:t>
      </w:r>
      <w:proofErr w:type="gramEnd"/>
      <w:r w:rsidRPr="007A59F7">
        <w:t xml:space="preserve"> developing countries, especially the least developed countries and small island developing States, and countries with economies in transition to strengthen laboratory infrastructure, technical expertise and laboratory quality control systems for the detection and identification of living modified organisms;</w:t>
      </w:r>
    </w:p>
    <w:p w14:paraId="44BBDF02" w14:textId="08DD7898" w:rsidR="00C75B93" w:rsidRPr="00850BE4" w:rsidRDefault="00C75B93" w:rsidP="00C75B93">
      <w:pPr>
        <w:pStyle w:val="CBDRecommendText"/>
        <w:ind w:firstLine="567"/>
      </w:pPr>
      <w:r w:rsidRPr="00850BE4">
        <w:rPr>
          <w:color w:val="000000" w:themeColor="text1"/>
        </w:rPr>
        <w:t>5</w:t>
      </w:r>
      <w:r w:rsidRPr="00850BE4">
        <w:rPr>
          <w:i/>
          <w:iCs/>
          <w:color w:val="000000" w:themeColor="text1"/>
        </w:rPr>
        <w:t>.</w:t>
      </w:r>
      <w:r w:rsidRPr="00850BE4">
        <w:rPr>
          <w:i/>
          <w:iCs/>
          <w:color w:val="000000" w:themeColor="text1"/>
        </w:rPr>
        <w:tab/>
        <w:t xml:space="preserve">Decides </w:t>
      </w:r>
      <w:r w:rsidRPr="00850BE4">
        <w:rPr>
          <w:color w:val="000000" w:themeColor="text1"/>
        </w:rPr>
        <w:t xml:space="preserve">to develop a </w:t>
      </w:r>
      <w:r w:rsidRPr="00850BE4">
        <w:t xml:space="preserve">supplemental chapter on digital polymerase chain reaction to complement the </w:t>
      </w:r>
      <w:r w:rsidRPr="00850BE4">
        <w:rPr>
          <w:i/>
          <w:iCs/>
        </w:rPr>
        <w:t xml:space="preserve">Training Manual on the Detection and Identification of Living Modified Organisms in the Context of the Cartagena Protocol on Biosafety </w:t>
      </w:r>
      <w:r w:rsidRPr="00850BE4">
        <w:t>(Biosafety Technical Series No. 5);</w:t>
      </w:r>
    </w:p>
    <w:p w14:paraId="76671675" w14:textId="556F2A7B" w:rsidR="00C75B93" w:rsidRPr="00850BE4" w:rsidRDefault="00C75B93" w:rsidP="00C75B93">
      <w:pPr>
        <w:pStyle w:val="CBDRecommendText"/>
        <w:keepNext/>
        <w:ind w:firstLine="567"/>
      </w:pPr>
      <w:r w:rsidRPr="00850BE4">
        <w:rPr>
          <w:color w:val="000000" w:themeColor="text1"/>
        </w:rPr>
        <w:t>6.</w:t>
      </w:r>
      <w:r w:rsidRPr="00850BE4">
        <w:rPr>
          <w:color w:val="000000" w:themeColor="text1"/>
        </w:rPr>
        <w:tab/>
      </w:r>
      <w:r w:rsidRPr="00850BE4">
        <w:rPr>
          <w:i/>
          <w:iCs/>
          <w:color w:val="000000" w:themeColor="text1"/>
        </w:rPr>
        <w:t>Requests</w:t>
      </w:r>
      <w:r w:rsidRPr="00850BE4">
        <w:rPr>
          <w:color w:val="000000" w:themeColor="text1"/>
        </w:rPr>
        <w:t xml:space="preserve"> </w:t>
      </w:r>
      <w:r w:rsidRPr="00850BE4">
        <w:t>the Executive Secretary:</w:t>
      </w:r>
    </w:p>
    <w:p w14:paraId="6BD57253" w14:textId="63CBD8C0" w:rsidR="00C75B93" w:rsidRPr="00850BE4" w:rsidRDefault="00C75B93" w:rsidP="00C75B93">
      <w:pPr>
        <w:pStyle w:val="CBDRecommendText"/>
        <w:ind w:firstLine="567"/>
      </w:pPr>
      <w:r w:rsidRPr="00850BE4">
        <w:rPr>
          <w:color w:val="000000" w:themeColor="text1"/>
        </w:rPr>
        <w:t>(a)</w:t>
      </w:r>
      <w:r w:rsidRPr="00850BE4">
        <w:rPr>
          <w:color w:val="000000" w:themeColor="text1"/>
        </w:rPr>
        <w:tab/>
        <w:t xml:space="preserve">To </w:t>
      </w:r>
      <w:r w:rsidRPr="00850BE4">
        <w:t xml:space="preserve">draft </w:t>
      </w:r>
      <w:r w:rsidRPr="00850BE4">
        <w:rPr>
          <w:color w:val="000000" w:themeColor="text1"/>
        </w:rPr>
        <w:t xml:space="preserve">the </w:t>
      </w:r>
      <w:r w:rsidRPr="00850BE4">
        <w:t>supplemental chapter on digital polymerase chain reaction referred to in paragraph 5 above, in collaboration with the Network of Laboratories for the Detection and Identification of Living Modified Organisms;</w:t>
      </w:r>
    </w:p>
    <w:p w14:paraId="768FC2AD" w14:textId="4E5E4060" w:rsidR="00C75B93" w:rsidRPr="00850BE4" w:rsidRDefault="00C75B93" w:rsidP="00C75B93">
      <w:pPr>
        <w:pStyle w:val="CBDRecommendText"/>
        <w:ind w:firstLine="567"/>
      </w:pPr>
      <w:r w:rsidRPr="00850BE4">
        <w:t>(b)</w:t>
      </w:r>
      <w:r w:rsidRPr="00850BE4">
        <w:tab/>
        <w:t>To convene online discussions of the Network of Laboratories to facilitate the development and peer review of the supplemental chapter, for its subsequent consideration by the Subsidiary Body on Scientific, Technical and Technological Advice;</w:t>
      </w:r>
    </w:p>
    <w:p w14:paraId="042C4FAD" w14:textId="4507C966" w:rsidR="00C75B93" w:rsidRPr="00850BE4" w:rsidRDefault="00C75B93" w:rsidP="00C75B93">
      <w:pPr>
        <w:pStyle w:val="CBDRecommendText"/>
        <w:tabs>
          <w:tab w:val="clear" w:pos="567"/>
        </w:tabs>
        <w:ind w:firstLine="567"/>
      </w:pPr>
      <w:r w:rsidRPr="00850BE4">
        <w:lastRenderedPageBreak/>
        <w:t>7.</w:t>
      </w:r>
      <w:r w:rsidRPr="00850BE4">
        <w:rPr>
          <w:i/>
          <w:iCs/>
        </w:rPr>
        <w:tab/>
        <w:t>Requests</w:t>
      </w:r>
      <w:r w:rsidRPr="00850BE4">
        <w:t xml:space="preserve"> the Subsidiary Body on Scientific, Technical and Technological Advice to review the draft supplemental chapter and make a recommendation for consideration by the Conference of the Parties serving as the meeting of the Parties to the Protocol at its thirteenth meeting;</w:t>
      </w:r>
    </w:p>
    <w:p w14:paraId="32F957D2" w14:textId="2E76A912" w:rsidR="00C75B93" w:rsidRPr="00850BE4" w:rsidRDefault="00C75B93" w:rsidP="00C75B93">
      <w:pPr>
        <w:pStyle w:val="CBDRecommendText"/>
        <w:tabs>
          <w:tab w:val="clear" w:pos="567"/>
        </w:tabs>
        <w:ind w:firstLine="567"/>
      </w:pPr>
      <w:r w:rsidRPr="00850BE4">
        <w:t>8.</w:t>
      </w:r>
      <w:r w:rsidRPr="00850BE4">
        <w:rPr>
          <w:i/>
          <w:iCs/>
        </w:rPr>
        <w:tab/>
        <w:t>Requests</w:t>
      </w:r>
      <w:r w:rsidRPr="00850BE4">
        <w:t xml:space="preserve"> the Executive Secretary, subject to the availability of resources:</w:t>
      </w:r>
    </w:p>
    <w:p w14:paraId="22AAE111" w14:textId="77777777" w:rsidR="00C75B93" w:rsidRPr="00850BE4" w:rsidRDefault="00C75B93" w:rsidP="00C75B93">
      <w:pPr>
        <w:pStyle w:val="CBDNormalNumber"/>
        <w:numPr>
          <w:ilvl w:val="1"/>
          <w:numId w:val="6"/>
        </w:numPr>
        <w:tabs>
          <w:tab w:val="clear" w:pos="567"/>
        </w:tabs>
      </w:pPr>
      <w:r w:rsidRPr="00850BE4">
        <w:t>To explore ways to strengthen the Network of Laboratories for the Detection and Identification of Living Modified Organisms, including by facilitating the visibility of regional and subregional laboratory networks and related collaborative initiatives and by encouraging the participation of additional laboratories and experts in the Network;</w:t>
      </w:r>
    </w:p>
    <w:p w14:paraId="1089117C" w14:textId="77777777" w:rsidR="00C75B93" w:rsidRPr="00850BE4" w:rsidRDefault="00C75B93" w:rsidP="00C75B93">
      <w:pPr>
        <w:pStyle w:val="CBDNormalNumber"/>
        <w:numPr>
          <w:ilvl w:val="1"/>
          <w:numId w:val="6"/>
        </w:numPr>
        <w:tabs>
          <w:tab w:val="clear" w:pos="567"/>
        </w:tabs>
      </w:pPr>
      <w:r w:rsidRPr="00850BE4">
        <w:t xml:space="preserve">To continue to improve the dedicated portal on the sampling, detection and identification of living modified organisms in the Biosafety </w:t>
      </w:r>
      <w:proofErr w:type="gramStart"/>
      <w:r w:rsidRPr="00850BE4">
        <w:t>Clearing-House</w:t>
      </w:r>
      <w:proofErr w:type="gramEnd"/>
      <w:r w:rsidRPr="00850BE4">
        <w:t xml:space="preserve">; </w:t>
      </w:r>
    </w:p>
    <w:p w14:paraId="75708062" w14:textId="77777777" w:rsidR="00C75B93" w:rsidRPr="00850BE4" w:rsidRDefault="00C75B93" w:rsidP="00C75B93">
      <w:pPr>
        <w:pStyle w:val="CBDNormalNumber"/>
        <w:numPr>
          <w:ilvl w:val="1"/>
          <w:numId w:val="6"/>
        </w:numPr>
        <w:tabs>
          <w:tab w:val="clear" w:pos="567"/>
        </w:tabs>
      </w:pPr>
      <w:r w:rsidRPr="00850BE4">
        <w:t xml:space="preserve">To continue to collaborate with relevant organizations </w:t>
      </w:r>
      <w:proofErr w:type="gramStart"/>
      <w:r w:rsidRPr="00850BE4">
        <w:t>in order to</w:t>
      </w:r>
      <w:proofErr w:type="gramEnd"/>
      <w:r w:rsidRPr="00850BE4">
        <w:t xml:space="preserve"> provide practical and hands-on training on the detection and identification of living modified organisms to laboratory personnel and to customs and border-control officials.</w:t>
      </w:r>
    </w:p>
    <w:p w14:paraId="26206C1E" w14:textId="77777777" w:rsidR="00A91FEE" w:rsidRPr="00850BE4" w:rsidRDefault="00A91FEE" w:rsidP="006470A9">
      <w:pPr>
        <w:pStyle w:val="CBDNormalNumber"/>
        <w:numPr>
          <w:ilvl w:val="0"/>
          <w:numId w:val="0"/>
        </w:numPr>
        <w:ind w:left="567"/>
      </w:pPr>
    </w:p>
    <w:p w14:paraId="662D12C6" w14:textId="77777777" w:rsidR="00A91FEE" w:rsidRPr="00850BE4" w:rsidRDefault="00A91FEE" w:rsidP="006470A9">
      <w:pPr>
        <w:pStyle w:val="CBDNormalNumber"/>
        <w:numPr>
          <w:ilvl w:val="0"/>
          <w:numId w:val="0"/>
        </w:numPr>
        <w:ind w:left="567"/>
      </w:pPr>
    </w:p>
    <w:p w14:paraId="0971F456" w14:textId="6EA3B2AC" w:rsidR="004F0817" w:rsidRPr="00850BE4" w:rsidRDefault="004F0817" w:rsidP="00DC1DB6">
      <w:pPr>
        <w:pStyle w:val="CBDNormalNumber"/>
        <w:numPr>
          <w:ilvl w:val="0"/>
          <w:numId w:val="0"/>
        </w:numPr>
      </w:pPr>
    </w:p>
    <w:p w14:paraId="23230931" w14:textId="77777777" w:rsidR="006470A9" w:rsidRPr="00850BE4" w:rsidRDefault="006470A9" w:rsidP="00E612A5">
      <w:pPr>
        <w:pStyle w:val="CBDAgendaItem"/>
        <w:rPr>
          <w:rFonts w:hint="eastAsia"/>
        </w:rPr>
        <w:sectPr w:rsidR="006470A9" w:rsidRPr="00850BE4" w:rsidSect="00361D55">
          <w:pgSz w:w="12240" w:h="15840"/>
          <w:pgMar w:top="567" w:right="1440" w:bottom="1134" w:left="1440" w:header="709" w:footer="709" w:gutter="0"/>
          <w:cols w:space="708"/>
          <w:docGrid w:linePitch="360"/>
        </w:sectPr>
      </w:pPr>
    </w:p>
    <w:p w14:paraId="116FE1CD" w14:textId="6879E428" w:rsidR="00E612A5" w:rsidRPr="00850BE4" w:rsidRDefault="00E612A5" w:rsidP="00E612A5">
      <w:pPr>
        <w:pStyle w:val="CBDAgendaItem"/>
        <w:rPr>
          <w:rFonts w:hint="eastAsia"/>
          <w:sz w:val="26"/>
          <w:szCs w:val="26"/>
        </w:rPr>
      </w:pPr>
      <w:bookmarkStart w:id="13" w:name="_Toc241483696"/>
      <w:r w:rsidRPr="00850BE4">
        <w:rPr>
          <w:sz w:val="26"/>
          <w:szCs w:val="26"/>
        </w:rPr>
        <w:lastRenderedPageBreak/>
        <w:t xml:space="preserve">Item 15 </w:t>
      </w:r>
      <w:r w:rsidRPr="00850BE4">
        <w:rPr>
          <w:sz w:val="26"/>
          <w:szCs w:val="26"/>
        </w:rPr>
        <w:br/>
        <w:t>Socioeconomic considerations</w:t>
      </w:r>
      <w:bookmarkEnd w:id="13"/>
    </w:p>
    <w:tbl>
      <w:tblPr>
        <w:tblStyle w:val="TableGrid"/>
        <w:tblW w:w="0" w:type="auto"/>
        <w:tblLook w:val="04A0" w:firstRow="1" w:lastRow="0" w:firstColumn="1" w:lastColumn="0" w:noHBand="0" w:noVBand="1"/>
      </w:tblPr>
      <w:tblGrid>
        <w:gridCol w:w="9360"/>
      </w:tblGrid>
      <w:tr w:rsidR="006470A9" w:rsidRPr="00850BE4" w14:paraId="72414F9A" w14:textId="77777777" w:rsidTr="00E56E5C">
        <w:tc>
          <w:tcPr>
            <w:tcW w:w="9360" w:type="dxa"/>
            <w:tcBorders>
              <w:left w:val="nil"/>
              <w:right w:val="nil"/>
            </w:tcBorders>
          </w:tcPr>
          <w:p w14:paraId="69F83620" w14:textId="1034F8D9" w:rsidR="006470A9" w:rsidRPr="00850BE4" w:rsidRDefault="00D76071" w:rsidP="00056147">
            <w:pPr>
              <w:pStyle w:val="CBDNormalNumber"/>
              <w:numPr>
                <w:ilvl w:val="0"/>
                <w:numId w:val="0"/>
              </w:numPr>
              <w:ind w:firstLine="596"/>
              <w:rPr>
                <w:i/>
                <w:iCs/>
              </w:rPr>
            </w:pPr>
            <w:r w:rsidRPr="00850BE4">
              <w:rPr>
                <w:i/>
                <w:iCs/>
              </w:rPr>
              <w:t xml:space="preserve">The following decision has been reproduced from document </w:t>
            </w:r>
            <w:hyperlink r:id="rId52" w:history="1">
              <w:r w:rsidRPr="00850BE4">
                <w:rPr>
                  <w:rStyle w:val="Hyperlink"/>
                  <w:i/>
                  <w:iCs/>
                </w:rPr>
                <w:t>CBD/CP/MOP/12/11</w:t>
              </w:r>
            </w:hyperlink>
            <w:r w:rsidR="00056147" w:rsidRPr="00850BE4">
              <w:rPr>
                <w:i/>
                <w:iCs/>
              </w:rPr>
              <w:t>.</w:t>
            </w:r>
          </w:p>
        </w:tc>
      </w:tr>
    </w:tbl>
    <w:p w14:paraId="1878AAD4" w14:textId="7259DD7C" w:rsidR="006470A9" w:rsidRPr="00850BE4" w:rsidRDefault="0041703E" w:rsidP="0041703E">
      <w:pPr>
        <w:pStyle w:val="CBDcompilationH2"/>
      </w:pPr>
      <w:r w:rsidRPr="00850BE4">
        <w:t>Socioeconomic considerations</w:t>
      </w:r>
    </w:p>
    <w:p w14:paraId="685EDC90" w14:textId="77777777" w:rsidR="00AD5011" w:rsidRPr="007A59F7" w:rsidRDefault="00AD5011" w:rsidP="00AD5011">
      <w:pPr>
        <w:pStyle w:val="CBDNormalNumber"/>
        <w:numPr>
          <w:ilvl w:val="0"/>
          <w:numId w:val="0"/>
        </w:numPr>
        <w:tabs>
          <w:tab w:val="clear" w:pos="567"/>
        </w:tabs>
        <w:ind w:left="567" w:firstLine="567"/>
        <w:rPr>
          <w:i/>
          <w:iCs/>
        </w:rPr>
      </w:pPr>
      <w:r w:rsidRPr="007A59F7">
        <w:rPr>
          <w:i/>
          <w:iCs/>
        </w:rPr>
        <w:t xml:space="preserve">The Conference of the Parties serving as the meeting of the Parties to the Cartagena Protocol </w:t>
      </w:r>
    </w:p>
    <w:p w14:paraId="1A406804" w14:textId="77777777" w:rsidR="00AD5011" w:rsidRPr="00850BE4" w:rsidRDefault="00AD5011" w:rsidP="00AD5011">
      <w:pPr>
        <w:pStyle w:val="CBDNormalNumber"/>
        <w:numPr>
          <w:ilvl w:val="0"/>
          <w:numId w:val="0"/>
        </w:numPr>
        <w:tabs>
          <w:tab w:val="clear" w:pos="567"/>
          <w:tab w:val="clear" w:pos="1134"/>
          <w:tab w:val="clear" w:pos="2268"/>
          <w:tab w:val="clear" w:pos="2835"/>
          <w:tab w:val="clear" w:pos="3402"/>
          <w:tab w:val="clear" w:pos="3969"/>
        </w:tabs>
        <w:ind w:left="567" w:firstLine="567"/>
      </w:pPr>
      <w:r w:rsidRPr="00850BE4">
        <w:t>1.</w:t>
      </w:r>
      <w:r w:rsidRPr="00850BE4">
        <w:tab/>
      </w:r>
      <w:r w:rsidRPr="00850BE4">
        <w:rPr>
          <w:i/>
          <w:iCs/>
        </w:rPr>
        <w:t xml:space="preserve">Welcomes </w:t>
      </w:r>
      <w:r w:rsidRPr="00850BE4">
        <w:t>the information shared on experiences in the use of the guidance on the assessment of socioeconomic considerations in the context of Article 26 of the Cartagena Protocol on Biosafety,</w:t>
      </w:r>
      <w:r w:rsidRPr="00850BE4">
        <w:rPr>
          <w:rStyle w:val="FootnoteReference"/>
        </w:rPr>
        <w:footnoteReference w:id="51"/>
      </w:r>
      <w:r w:rsidRPr="00850BE4">
        <w:rPr>
          <w:vertAlign w:val="superscript"/>
        </w:rPr>
        <w:t>,</w:t>
      </w:r>
      <w:r w:rsidRPr="00850BE4">
        <w:rPr>
          <w:rStyle w:val="FootnoteReference"/>
        </w:rPr>
        <w:footnoteReference w:id="52"/>
      </w:r>
      <w:r w:rsidRPr="00850BE4">
        <w:t xml:space="preserve"> while recognizing that limited information was submitted;</w:t>
      </w:r>
    </w:p>
    <w:p w14:paraId="33E323EA" w14:textId="77777777" w:rsidR="00AD5011" w:rsidRPr="00850BE4" w:rsidRDefault="00AD5011" w:rsidP="00AD5011">
      <w:pPr>
        <w:pStyle w:val="CBDNormalNumber"/>
        <w:numPr>
          <w:ilvl w:val="0"/>
          <w:numId w:val="0"/>
        </w:numPr>
        <w:tabs>
          <w:tab w:val="clear" w:pos="567"/>
          <w:tab w:val="clear" w:pos="1134"/>
          <w:tab w:val="clear" w:pos="2268"/>
          <w:tab w:val="clear" w:pos="2835"/>
          <w:tab w:val="clear" w:pos="3402"/>
          <w:tab w:val="clear" w:pos="3969"/>
        </w:tabs>
        <w:ind w:left="567" w:firstLine="567"/>
      </w:pPr>
      <w:r w:rsidRPr="00850BE4">
        <w:t>2.</w:t>
      </w:r>
      <w:r w:rsidRPr="00850BE4">
        <w:tab/>
      </w:r>
      <w:r w:rsidRPr="00850BE4">
        <w:rPr>
          <w:i/>
          <w:iCs/>
        </w:rPr>
        <w:t xml:space="preserve">Invites </w:t>
      </w:r>
      <w:r w:rsidRPr="00850BE4">
        <w:t>Parties, other Governments and relevant organizations to continue to share experiences on socioeconomic considerations, including the use of the guidance, in the Biosafety Clearing-House virtual library, as well as through the sixth national reports;</w:t>
      </w:r>
    </w:p>
    <w:p w14:paraId="2BE5A645" w14:textId="77777777" w:rsidR="00AD5011" w:rsidRPr="00850BE4" w:rsidRDefault="00AD5011" w:rsidP="00AD5011">
      <w:pPr>
        <w:pStyle w:val="CBDNormalNumber"/>
        <w:numPr>
          <w:ilvl w:val="0"/>
          <w:numId w:val="0"/>
        </w:numPr>
        <w:tabs>
          <w:tab w:val="clear" w:pos="567"/>
          <w:tab w:val="clear" w:pos="1134"/>
          <w:tab w:val="clear" w:pos="2268"/>
          <w:tab w:val="clear" w:pos="2835"/>
          <w:tab w:val="clear" w:pos="3402"/>
          <w:tab w:val="clear" w:pos="3969"/>
        </w:tabs>
        <w:ind w:left="567" w:firstLine="567"/>
      </w:pPr>
      <w:r w:rsidRPr="00850BE4">
        <w:t>3.</w:t>
      </w:r>
      <w:r w:rsidRPr="00850BE4">
        <w:tab/>
      </w:r>
      <w:r w:rsidRPr="00850BE4">
        <w:rPr>
          <w:i/>
          <w:iCs/>
        </w:rPr>
        <w:t xml:space="preserve">Requests </w:t>
      </w:r>
      <w:r w:rsidRPr="00850BE4">
        <w:t>the Executive Secretary to prepare an overview of the information shared pursuant to paragraph 2 above to the Conference of the Parties serving as the meeting of the Parties to the Cartagena Protocol on Biosafety, at its fourteenth meeting.</w:t>
      </w:r>
    </w:p>
    <w:p w14:paraId="1E642584" w14:textId="77777777" w:rsidR="0041703E" w:rsidRPr="00850BE4" w:rsidRDefault="0041703E" w:rsidP="006470A9">
      <w:pPr>
        <w:pStyle w:val="CBDNormalNumber"/>
        <w:numPr>
          <w:ilvl w:val="0"/>
          <w:numId w:val="0"/>
        </w:numPr>
        <w:ind w:left="567"/>
      </w:pPr>
    </w:p>
    <w:p w14:paraId="724FDF9E" w14:textId="23BA75F9" w:rsidR="00E10477" w:rsidRPr="00850BE4" w:rsidRDefault="00E10477" w:rsidP="00056147">
      <w:pPr>
        <w:pStyle w:val="CBDNormalNumber"/>
        <w:numPr>
          <w:ilvl w:val="0"/>
          <w:numId w:val="0"/>
        </w:numPr>
        <w:ind w:left="567"/>
      </w:pPr>
    </w:p>
    <w:p w14:paraId="4E97A8F3" w14:textId="77777777" w:rsidR="006470A9" w:rsidRPr="00850BE4" w:rsidRDefault="006470A9" w:rsidP="00E612A5">
      <w:pPr>
        <w:pStyle w:val="CBDAgendaItem"/>
        <w:rPr>
          <w:rFonts w:hint="eastAsia"/>
        </w:rPr>
        <w:sectPr w:rsidR="006470A9" w:rsidRPr="00850BE4" w:rsidSect="00361D55">
          <w:pgSz w:w="12240" w:h="15840"/>
          <w:pgMar w:top="567" w:right="1440" w:bottom="1134" w:left="1440" w:header="709" w:footer="709" w:gutter="0"/>
          <w:cols w:space="708"/>
          <w:docGrid w:linePitch="360"/>
        </w:sectPr>
      </w:pPr>
    </w:p>
    <w:p w14:paraId="2F02E5A9" w14:textId="1AFF286C" w:rsidR="00E612A5" w:rsidRPr="00850BE4" w:rsidRDefault="00E612A5" w:rsidP="00E612A5">
      <w:pPr>
        <w:pStyle w:val="CBDAgendaItem"/>
        <w:rPr>
          <w:rFonts w:hint="eastAsia"/>
          <w:sz w:val="26"/>
          <w:szCs w:val="26"/>
        </w:rPr>
      </w:pPr>
      <w:bookmarkStart w:id="14" w:name="_Toc241483697"/>
      <w:r w:rsidRPr="00850BE4">
        <w:rPr>
          <w:sz w:val="26"/>
          <w:szCs w:val="26"/>
        </w:rPr>
        <w:lastRenderedPageBreak/>
        <w:t xml:space="preserve">Item 16 </w:t>
      </w:r>
      <w:r w:rsidRPr="00850BE4">
        <w:rPr>
          <w:sz w:val="26"/>
          <w:szCs w:val="26"/>
        </w:rPr>
        <w:br/>
        <w:t xml:space="preserve">National legislation, regulations and </w:t>
      </w:r>
      <w:r w:rsidR="00FA06D4" w:rsidRPr="00850BE4">
        <w:rPr>
          <w:sz w:val="26"/>
          <w:szCs w:val="26"/>
        </w:rPr>
        <w:t xml:space="preserve">guidelines </w:t>
      </w:r>
      <w:r w:rsidR="00F342C8" w:rsidRPr="00850BE4">
        <w:rPr>
          <w:sz w:val="26"/>
          <w:szCs w:val="26"/>
        </w:rPr>
        <w:br/>
      </w:r>
      <w:r w:rsidRPr="00850BE4">
        <w:rPr>
          <w:sz w:val="26"/>
          <w:szCs w:val="26"/>
        </w:rPr>
        <w:t>on new developments in modern biotechnology</w:t>
      </w:r>
      <w:bookmarkEnd w:id="14"/>
    </w:p>
    <w:tbl>
      <w:tblPr>
        <w:tblStyle w:val="TableGrid"/>
        <w:tblW w:w="0" w:type="auto"/>
        <w:tblLook w:val="04A0" w:firstRow="1" w:lastRow="0" w:firstColumn="1" w:lastColumn="0" w:noHBand="0" w:noVBand="1"/>
      </w:tblPr>
      <w:tblGrid>
        <w:gridCol w:w="9360"/>
      </w:tblGrid>
      <w:tr w:rsidR="006470A9" w:rsidRPr="00850BE4" w14:paraId="1EF7E7E4" w14:textId="77777777" w:rsidTr="00E56E5C">
        <w:tc>
          <w:tcPr>
            <w:tcW w:w="9360" w:type="dxa"/>
            <w:tcBorders>
              <w:left w:val="nil"/>
              <w:right w:val="nil"/>
            </w:tcBorders>
          </w:tcPr>
          <w:p w14:paraId="73EB2503" w14:textId="7FBEEBDC" w:rsidR="006470A9" w:rsidRPr="00850BE4" w:rsidRDefault="005B7D2C" w:rsidP="003508B2">
            <w:pPr>
              <w:pStyle w:val="CBDNormalNumber"/>
              <w:numPr>
                <w:ilvl w:val="0"/>
                <w:numId w:val="0"/>
              </w:numPr>
              <w:ind w:firstLine="596"/>
              <w:rPr>
                <w:i/>
                <w:iCs/>
              </w:rPr>
            </w:pPr>
            <w:r w:rsidRPr="00850BE4">
              <w:rPr>
                <w:i/>
                <w:iCs/>
              </w:rPr>
              <w:t xml:space="preserve">The following draft decision has been reproduced from document </w:t>
            </w:r>
            <w:hyperlink r:id="rId53" w:history="1">
              <w:r w:rsidRPr="00850BE4">
                <w:rPr>
                  <w:rStyle w:val="Hyperlink"/>
                  <w:i/>
                  <w:iCs/>
                </w:rPr>
                <w:t>CBD/CP/MOP/12/12</w:t>
              </w:r>
            </w:hyperlink>
            <w:r w:rsidR="003508B2" w:rsidRPr="00850BE4">
              <w:rPr>
                <w:i/>
                <w:iCs/>
              </w:rPr>
              <w:t>.</w:t>
            </w:r>
          </w:p>
        </w:tc>
      </w:tr>
    </w:tbl>
    <w:p w14:paraId="538845C6" w14:textId="65079B4F" w:rsidR="006470A9" w:rsidRPr="00850BE4" w:rsidRDefault="003826AE" w:rsidP="003826AE">
      <w:pPr>
        <w:pStyle w:val="CBDcompilationH2"/>
      </w:pPr>
      <w:r w:rsidRPr="00850BE4">
        <w:t>Information on national legislation, regulations and guidelines on new developments in modern biotechnology</w:t>
      </w:r>
    </w:p>
    <w:p w14:paraId="7A7216E6" w14:textId="77777777" w:rsidR="00F22BBC" w:rsidRPr="00850BE4" w:rsidRDefault="00F22BBC" w:rsidP="00F22BBC">
      <w:pPr>
        <w:pStyle w:val="CBDNormalNumber"/>
        <w:keepNext/>
        <w:numPr>
          <w:ilvl w:val="0"/>
          <w:numId w:val="0"/>
        </w:numPr>
        <w:tabs>
          <w:tab w:val="clear" w:pos="567"/>
          <w:tab w:val="left" w:pos="851"/>
        </w:tabs>
        <w:ind w:left="567" w:firstLine="567"/>
        <w:rPr>
          <w:i/>
          <w:iCs/>
        </w:rPr>
      </w:pPr>
      <w:r w:rsidRPr="00850BE4">
        <w:rPr>
          <w:i/>
          <w:iCs/>
        </w:rPr>
        <w:t xml:space="preserve">The Conference of the Parties serving as the meeting of the Parties to the Cartagena Protocol </w:t>
      </w:r>
    </w:p>
    <w:p w14:paraId="05E55DDC" w14:textId="77777777" w:rsidR="00F22BBC" w:rsidRPr="00850BE4" w:rsidRDefault="00F22BBC" w:rsidP="00F22BBC">
      <w:pPr>
        <w:pStyle w:val="CBDNormalNoNumber"/>
        <w:tabs>
          <w:tab w:val="clear" w:pos="567"/>
          <w:tab w:val="left" w:pos="851"/>
        </w:tabs>
        <w:ind w:firstLine="567"/>
      </w:pPr>
      <w:r w:rsidRPr="00850BE4">
        <w:t>1.</w:t>
      </w:r>
      <w:r w:rsidRPr="00850BE4">
        <w:rPr>
          <w:i/>
          <w:iCs/>
        </w:rPr>
        <w:tab/>
        <w:t>Welcomes</w:t>
      </w:r>
      <w:r w:rsidRPr="00850BE4">
        <w:t xml:space="preserve"> the information submitted by Parties regarding current national legislation, regulations and guidelines on new developments in modern biotechnology;</w:t>
      </w:r>
    </w:p>
    <w:p w14:paraId="4B4E6E67" w14:textId="77777777" w:rsidR="00F22BBC" w:rsidRPr="00850BE4" w:rsidRDefault="00F22BBC" w:rsidP="00F22BBC">
      <w:pPr>
        <w:pStyle w:val="CBDNormalNoNumber"/>
        <w:tabs>
          <w:tab w:val="clear" w:pos="567"/>
          <w:tab w:val="left" w:pos="851"/>
        </w:tabs>
        <w:ind w:firstLine="567"/>
      </w:pPr>
      <w:r w:rsidRPr="00850BE4">
        <w:t>2.</w:t>
      </w:r>
      <w:r w:rsidRPr="00850BE4">
        <w:rPr>
          <w:i/>
          <w:iCs/>
        </w:rPr>
        <w:tab/>
        <w:t xml:space="preserve">Takes note </w:t>
      </w:r>
      <w:r w:rsidRPr="00850BE4">
        <w:t xml:space="preserve">of the information regarding current national legislation, regulations and guidelines on new developments in modern biotechnology available through the Biosafety </w:t>
      </w:r>
      <w:proofErr w:type="gramStart"/>
      <w:r w:rsidRPr="00850BE4">
        <w:t>Clearing-House</w:t>
      </w:r>
      <w:proofErr w:type="gramEnd"/>
      <w:r w:rsidRPr="00850BE4">
        <w:t xml:space="preserve"> and in other sources,</w:t>
      </w:r>
      <w:r w:rsidRPr="00850BE4">
        <w:rPr>
          <w:i/>
          <w:iCs/>
        </w:rPr>
        <w:t xml:space="preserve"> </w:t>
      </w:r>
      <w:r w:rsidRPr="00850BE4">
        <w:t>and</w:t>
      </w:r>
      <w:r w:rsidRPr="00850BE4">
        <w:rPr>
          <w:i/>
          <w:iCs/>
        </w:rPr>
        <w:t xml:space="preserve"> </w:t>
      </w:r>
      <w:r w:rsidRPr="00850BE4">
        <w:t>acknowledges the ongoing efforts in various forums to track information on the development of legislation, regulations and guidelines concerning organisms developed through biotechnology;</w:t>
      </w:r>
    </w:p>
    <w:p w14:paraId="1AEE4913" w14:textId="77777777" w:rsidR="00F22BBC" w:rsidRPr="00850BE4" w:rsidRDefault="00F22BBC" w:rsidP="00F22BBC">
      <w:pPr>
        <w:pStyle w:val="CBDNormalNoNumber"/>
        <w:tabs>
          <w:tab w:val="clear" w:pos="567"/>
          <w:tab w:val="left" w:pos="851"/>
        </w:tabs>
        <w:ind w:firstLine="567"/>
      </w:pPr>
      <w:r w:rsidRPr="00850BE4">
        <w:t>3.</w:t>
      </w:r>
      <w:r w:rsidRPr="00850BE4">
        <w:rPr>
          <w:i/>
          <w:iCs/>
        </w:rPr>
        <w:tab/>
        <w:t>Recognizes</w:t>
      </w:r>
      <w:r w:rsidRPr="00850BE4">
        <w:t xml:space="preserve"> that modern biotechnology is developing rapidly and that regulatory responses have been developed or are under development in several countries;</w:t>
      </w:r>
    </w:p>
    <w:p w14:paraId="427627B5" w14:textId="77777777" w:rsidR="00F22BBC" w:rsidRPr="00850BE4" w:rsidRDefault="00F22BBC" w:rsidP="00F22BBC">
      <w:pPr>
        <w:pStyle w:val="CBDNormalNoNumber"/>
        <w:tabs>
          <w:tab w:val="clear" w:pos="567"/>
          <w:tab w:val="left" w:pos="851"/>
        </w:tabs>
        <w:ind w:firstLine="567"/>
      </w:pPr>
      <w:r w:rsidRPr="00850BE4">
        <w:t>4.</w:t>
      </w:r>
      <w:r w:rsidRPr="00850BE4">
        <w:rPr>
          <w:i/>
          <w:iCs/>
        </w:rPr>
        <w:tab/>
        <w:t>Invites</w:t>
      </w:r>
      <w:r w:rsidRPr="00850BE4">
        <w:t xml:space="preserve"> Parties, other Governments and relevant organizations to submit further information regarding national legislation, regulations and guidelines on new developments in modern biotechnology that are relevant to the Cartagena Protocol on Biosafety,</w:t>
      </w:r>
      <w:r w:rsidRPr="00850BE4">
        <w:rPr>
          <w:rStyle w:val="FootnoteReference"/>
        </w:rPr>
        <w:footnoteReference w:id="53"/>
      </w:r>
      <w:r w:rsidRPr="00850BE4">
        <w:t xml:space="preserve"> recognizing the usefulness of exchanging information to build understanding on ongoing developments in relation to legislation, regulations and guidelines and on new developments in modern biotechnology;</w:t>
      </w:r>
    </w:p>
    <w:p w14:paraId="49DE215F" w14:textId="77777777" w:rsidR="00F22BBC" w:rsidRPr="00850BE4" w:rsidRDefault="00F22BBC" w:rsidP="00F22BBC">
      <w:pPr>
        <w:pStyle w:val="CBDNormalNoNumber"/>
        <w:tabs>
          <w:tab w:val="clear" w:pos="567"/>
          <w:tab w:val="left" w:pos="851"/>
        </w:tabs>
        <w:ind w:firstLine="567"/>
      </w:pPr>
      <w:r w:rsidRPr="00850BE4">
        <w:t>5.</w:t>
      </w:r>
      <w:r w:rsidRPr="00850BE4">
        <w:rPr>
          <w:i/>
          <w:iCs/>
        </w:rPr>
        <w:tab/>
        <w:t>Requests</w:t>
      </w:r>
      <w:r w:rsidRPr="00850BE4">
        <w:t xml:space="preserve"> the Executive Secretary to prepare an overview of the information submitted in response to the invitation contained in paragraph 4 above, for consideration at its thirteenth meeting.</w:t>
      </w:r>
    </w:p>
    <w:p w14:paraId="6DD35040" w14:textId="77777777" w:rsidR="003826AE" w:rsidRPr="00850BE4" w:rsidRDefault="003826AE" w:rsidP="00F22BBC">
      <w:pPr>
        <w:pStyle w:val="CBDNormalNumber"/>
        <w:numPr>
          <w:ilvl w:val="0"/>
          <w:numId w:val="0"/>
        </w:numPr>
      </w:pPr>
    </w:p>
    <w:p w14:paraId="12D108FC" w14:textId="73BFDA01" w:rsidR="005D0E01" w:rsidRPr="00850BE4" w:rsidRDefault="005D0E01" w:rsidP="004034E0">
      <w:pPr>
        <w:pStyle w:val="CBDNormalNumber"/>
        <w:numPr>
          <w:ilvl w:val="0"/>
          <w:numId w:val="0"/>
        </w:numPr>
        <w:ind w:left="567"/>
      </w:pPr>
    </w:p>
    <w:p w14:paraId="2787DCC9" w14:textId="77777777" w:rsidR="006470A9" w:rsidRPr="00850BE4" w:rsidRDefault="006470A9" w:rsidP="00E612A5">
      <w:pPr>
        <w:pStyle w:val="CBDAgendaItem"/>
        <w:rPr>
          <w:rFonts w:hint="eastAsia"/>
        </w:rPr>
        <w:sectPr w:rsidR="006470A9" w:rsidRPr="00850BE4" w:rsidSect="00361D55">
          <w:pgSz w:w="12240" w:h="15840"/>
          <w:pgMar w:top="567" w:right="1440" w:bottom="1134" w:left="1440" w:header="709" w:footer="709" w:gutter="0"/>
          <w:cols w:space="708"/>
          <w:docGrid w:linePitch="360"/>
        </w:sectPr>
      </w:pPr>
    </w:p>
    <w:p w14:paraId="2C241AEB" w14:textId="6CBD49D2" w:rsidR="00E612A5" w:rsidRPr="00850BE4" w:rsidRDefault="00E612A5" w:rsidP="00E612A5">
      <w:pPr>
        <w:pStyle w:val="CBDAgendaItem"/>
        <w:rPr>
          <w:rFonts w:hint="eastAsia"/>
          <w:sz w:val="26"/>
          <w:szCs w:val="26"/>
        </w:rPr>
      </w:pPr>
      <w:bookmarkStart w:id="15" w:name="_Toc241483698"/>
      <w:r w:rsidRPr="00850BE4">
        <w:rPr>
          <w:sz w:val="26"/>
          <w:szCs w:val="26"/>
        </w:rPr>
        <w:lastRenderedPageBreak/>
        <w:t xml:space="preserve">Item 17 </w:t>
      </w:r>
      <w:r w:rsidRPr="00850BE4">
        <w:rPr>
          <w:sz w:val="26"/>
          <w:szCs w:val="26"/>
        </w:rPr>
        <w:br/>
        <w:t>Nagoya</w:t>
      </w:r>
      <w:r w:rsidR="0098520D" w:rsidRPr="00850BE4">
        <w:rPr>
          <w:sz w:val="26"/>
          <w:szCs w:val="26"/>
        </w:rPr>
        <w:t>-</w:t>
      </w:r>
      <w:r w:rsidRPr="00850BE4">
        <w:rPr>
          <w:sz w:val="26"/>
          <w:szCs w:val="26"/>
        </w:rPr>
        <w:t>Kuala Lumpur Supplementary Protocol on Liability and Redress</w:t>
      </w:r>
      <w:bookmarkEnd w:id="15"/>
    </w:p>
    <w:tbl>
      <w:tblPr>
        <w:tblStyle w:val="TableGrid"/>
        <w:tblW w:w="0" w:type="auto"/>
        <w:tblLook w:val="04A0" w:firstRow="1" w:lastRow="0" w:firstColumn="1" w:lastColumn="0" w:noHBand="0" w:noVBand="1"/>
      </w:tblPr>
      <w:tblGrid>
        <w:gridCol w:w="9360"/>
      </w:tblGrid>
      <w:tr w:rsidR="006470A9" w:rsidRPr="00850BE4" w14:paraId="56C68DE4" w14:textId="77777777" w:rsidTr="00E56E5C">
        <w:tc>
          <w:tcPr>
            <w:tcW w:w="9360" w:type="dxa"/>
            <w:tcBorders>
              <w:left w:val="nil"/>
              <w:right w:val="nil"/>
            </w:tcBorders>
          </w:tcPr>
          <w:p w14:paraId="6448C551" w14:textId="47A7687D" w:rsidR="006470A9" w:rsidRPr="00850BE4" w:rsidRDefault="00FE4498" w:rsidP="004034E0">
            <w:pPr>
              <w:pStyle w:val="CBDNormalNumber"/>
              <w:numPr>
                <w:ilvl w:val="0"/>
                <w:numId w:val="0"/>
              </w:numPr>
              <w:ind w:firstLine="596"/>
              <w:rPr>
                <w:i/>
                <w:iCs/>
              </w:rPr>
            </w:pPr>
            <w:r w:rsidRPr="00850BE4">
              <w:rPr>
                <w:i/>
                <w:iCs/>
              </w:rPr>
              <w:t xml:space="preserve">The following draft decision has been reproduced from </w:t>
            </w:r>
            <w:hyperlink r:id="rId54" w:history="1">
              <w:r w:rsidRPr="00850BE4">
                <w:rPr>
                  <w:rStyle w:val="Hyperlink"/>
                  <w:i/>
                  <w:iCs/>
                </w:rPr>
                <w:t>CBD/CP/MOP/12/13</w:t>
              </w:r>
            </w:hyperlink>
            <w:r w:rsidR="004034E0" w:rsidRPr="00850BE4">
              <w:rPr>
                <w:i/>
                <w:iCs/>
              </w:rPr>
              <w:t>.</w:t>
            </w:r>
          </w:p>
        </w:tc>
      </w:tr>
    </w:tbl>
    <w:p w14:paraId="55C5BCB0" w14:textId="113A1CEB" w:rsidR="006470A9" w:rsidRPr="00850BE4" w:rsidRDefault="003B3F6F" w:rsidP="003B3F6F">
      <w:pPr>
        <w:pStyle w:val="CBDcompilationH2"/>
      </w:pPr>
      <w:r w:rsidRPr="00850BE4">
        <w:t>Nagoya-Kuala Lumpur Supplementary Protocol on Liability and Redress</w:t>
      </w:r>
    </w:p>
    <w:p w14:paraId="1BB7E5E5" w14:textId="77777777" w:rsidR="0027201E" w:rsidRPr="00850BE4" w:rsidRDefault="0027201E" w:rsidP="0027201E">
      <w:pPr>
        <w:pStyle w:val="Para10"/>
        <w:tabs>
          <w:tab w:val="clear" w:pos="1134"/>
        </w:tabs>
        <w:ind w:firstLine="567"/>
      </w:pPr>
      <w:r w:rsidRPr="00850BE4">
        <w:rPr>
          <w:i/>
          <w:iCs/>
        </w:rPr>
        <w:t>The Conference of the Parties serving as the meeting of the Parties to the Cartagena Protocol and further serving as the meeting of the Parties to the Nagoya</w:t>
      </w:r>
      <w:r w:rsidRPr="00850BE4">
        <w:t>-</w:t>
      </w:r>
      <w:r w:rsidRPr="00850BE4">
        <w:rPr>
          <w:i/>
          <w:iCs/>
        </w:rPr>
        <w:t>Kuala Lumpur Supplementary Protocol</w:t>
      </w:r>
      <w:r w:rsidRPr="00850BE4">
        <w:t>,</w:t>
      </w:r>
      <w:r w:rsidRPr="00850BE4">
        <w:rPr>
          <w:rStyle w:val="FootnoteReference"/>
        </w:rPr>
        <w:footnoteReference w:id="54"/>
      </w:r>
    </w:p>
    <w:p w14:paraId="78FB3750" w14:textId="77777777" w:rsidR="0027201E" w:rsidRPr="00850BE4" w:rsidRDefault="0027201E" w:rsidP="0027201E">
      <w:pPr>
        <w:pStyle w:val="Para10"/>
        <w:tabs>
          <w:tab w:val="clear" w:pos="1134"/>
        </w:tabs>
        <w:ind w:firstLine="567"/>
        <w:rPr>
          <w:rFonts w:asciiTheme="majorBidi" w:eastAsiaTheme="minorEastAsia" w:hAnsiTheme="majorBidi" w:cstheme="majorBidi"/>
        </w:rPr>
      </w:pPr>
      <w:r w:rsidRPr="00850BE4">
        <w:rPr>
          <w:rFonts w:asciiTheme="majorBidi" w:eastAsiaTheme="minorEastAsia" w:hAnsiTheme="majorBidi" w:cstheme="majorBidi"/>
          <w:i/>
          <w:iCs/>
        </w:rPr>
        <w:t xml:space="preserve">Recalling </w:t>
      </w:r>
      <w:r w:rsidRPr="00850BE4">
        <w:rPr>
          <w:rFonts w:asciiTheme="majorBidi" w:eastAsiaTheme="minorEastAsia" w:hAnsiTheme="majorBidi" w:cstheme="majorBidi"/>
        </w:rPr>
        <w:t xml:space="preserve">Article 13 of the Nagoya-Kuala Lumpur Supplementary Protocol </w:t>
      </w:r>
      <w:r w:rsidRPr="00850BE4">
        <w:t>on Liability and Redress to the Cartagena Protocol on Biosafety</w:t>
      </w:r>
      <w:r w:rsidRPr="00850BE4">
        <w:rPr>
          <w:rFonts w:asciiTheme="majorBidi" w:eastAsiaTheme="minorEastAsia" w:hAnsiTheme="majorBidi" w:cstheme="majorBidi"/>
        </w:rPr>
        <w:t>,</w:t>
      </w:r>
      <w:r w:rsidRPr="00850BE4">
        <w:rPr>
          <w:rStyle w:val="FootnoteReference"/>
          <w:rFonts w:asciiTheme="majorBidi" w:eastAsiaTheme="minorEastAsia" w:hAnsiTheme="majorBidi" w:cstheme="majorBidi"/>
        </w:rPr>
        <w:footnoteReference w:id="55"/>
      </w:r>
      <w:r w:rsidRPr="00850BE4">
        <w:rPr>
          <w:rFonts w:asciiTheme="majorBidi" w:eastAsiaTheme="minorEastAsia" w:hAnsiTheme="majorBidi" w:cstheme="majorBidi"/>
        </w:rPr>
        <w:t xml:space="preserve"> </w:t>
      </w:r>
    </w:p>
    <w:p w14:paraId="5885EFF2" w14:textId="77777777" w:rsidR="0027201E" w:rsidRPr="00850BE4" w:rsidRDefault="0027201E" w:rsidP="0027201E">
      <w:pPr>
        <w:pStyle w:val="Para10"/>
        <w:tabs>
          <w:tab w:val="clear" w:pos="1134"/>
        </w:tabs>
        <w:ind w:firstLine="567"/>
        <w:rPr>
          <w:rFonts w:asciiTheme="majorBidi" w:eastAsiaTheme="minorEastAsia" w:hAnsiTheme="majorBidi" w:cstheme="majorBidi"/>
        </w:rPr>
      </w:pPr>
      <w:r w:rsidRPr="00850BE4">
        <w:rPr>
          <w:rFonts w:asciiTheme="majorBidi" w:eastAsiaTheme="minorEastAsia" w:hAnsiTheme="majorBidi" w:cstheme="majorBidi"/>
          <w:i/>
          <w:iCs/>
        </w:rPr>
        <w:t>Recalling also</w:t>
      </w:r>
      <w:r w:rsidRPr="00850BE4">
        <w:rPr>
          <w:rFonts w:asciiTheme="majorBidi" w:hAnsiTheme="majorBidi" w:cstheme="majorBidi"/>
        </w:rPr>
        <w:t xml:space="preserve"> Goal A.10 of the implementation plan</w:t>
      </w:r>
      <w:r w:rsidRPr="00850BE4">
        <w:rPr>
          <w:rStyle w:val="FootnoteReference"/>
          <w:rFonts w:asciiTheme="majorBidi" w:hAnsiTheme="majorBidi" w:cstheme="majorBidi"/>
        </w:rPr>
        <w:footnoteReference w:id="56"/>
      </w:r>
      <w:r w:rsidRPr="00850BE4">
        <w:rPr>
          <w:rFonts w:asciiTheme="majorBidi" w:eastAsiaTheme="minorEastAsia" w:hAnsiTheme="majorBidi" w:cstheme="majorBidi"/>
        </w:rPr>
        <w:t xml:space="preserve"> and the capacity-building action plan</w:t>
      </w:r>
      <w:r w:rsidRPr="00850BE4">
        <w:rPr>
          <w:rStyle w:val="FootnoteReference"/>
          <w:rFonts w:asciiTheme="majorBidi" w:eastAsiaTheme="minorEastAsia" w:hAnsiTheme="majorBidi" w:cstheme="majorBidi"/>
        </w:rPr>
        <w:footnoteReference w:id="57"/>
      </w:r>
      <w:r w:rsidRPr="00850BE4">
        <w:rPr>
          <w:rFonts w:asciiTheme="majorBidi" w:eastAsiaTheme="minorEastAsia" w:hAnsiTheme="majorBidi" w:cstheme="majorBidi"/>
        </w:rPr>
        <w:t xml:space="preserve"> for the Cartagena Protocol on Biosafety,</w:t>
      </w:r>
      <w:r w:rsidRPr="00850BE4">
        <w:rPr>
          <w:rStyle w:val="FootnoteReference"/>
          <w:rFonts w:asciiTheme="majorBidi" w:eastAsiaTheme="minorEastAsia" w:hAnsiTheme="majorBidi" w:cstheme="majorBidi"/>
        </w:rPr>
        <w:footnoteReference w:id="58"/>
      </w:r>
    </w:p>
    <w:p w14:paraId="255308BB" w14:textId="77777777" w:rsidR="0027201E" w:rsidRPr="00850BE4" w:rsidRDefault="0027201E" w:rsidP="0027201E">
      <w:pPr>
        <w:pStyle w:val="Para10"/>
        <w:tabs>
          <w:tab w:val="clear" w:pos="1134"/>
        </w:tabs>
        <w:ind w:firstLine="567"/>
        <w:rPr>
          <w:rFonts w:asciiTheme="majorBidi" w:eastAsiaTheme="minorEastAsia" w:hAnsiTheme="majorBidi" w:cstheme="majorBidi"/>
        </w:rPr>
      </w:pPr>
      <w:r w:rsidRPr="00850BE4">
        <w:rPr>
          <w:rFonts w:ascii="Times" w:hAnsi="Times" w:cs="Times"/>
          <w:i/>
          <w:iCs/>
        </w:rPr>
        <w:t>Taking note</w:t>
      </w:r>
      <w:r w:rsidRPr="00850BE4">
        <w:rPr>
          <w:rFonts w:ascii="Times" w:hAnsi="Times" w:cs="Times"/>
        </w:rPr>
        <w:t xml:space="preserve"> of the information provided for the first assessment and review of the </w:t>
      </w:r>
      <w:r w:rsidRPr="00850BE4">
        <w:t xml:space="preserve">Nagoya-Kuala Lumpur </w:t>
      </w:r>
      <w:r w:rsidRPr="00850BE4">
        <w:rPr>
          <w:rFonts w:ascii="Times" w:hAnsi="Times" w:cs="Times"/>
        </w:rPr>
        <w:t>Supplementary Protocol,</w:t>
      </w:r>
    </w:p>
    <w:p w14:paraId="7D82C466" w14:textId="77777777" w:rsidR="0027201E" w:rsidRPr="00850BE4" w:rsidRDefault="0027201E" w:rsidP="0027201E">
      <w:pPr>
        <w:pStyle w:val="CBDNormalNoNumber"/>
        <w:ind w:firstLine="567"/>
      </w:pPr>
      <w:r w:rsidRPr="00850BE4">
        <w:rPr>
          <w:iCs/>
        </w:rPr>
        <w:t>1.</w:t>
      </w:r>
      <w:r w:rsidRPr="00850BE4">
        <w:rPr>
          <w:i/>
        </w:rPr>
        <w:tab/>
        <w:t xml:space="preserve">Welcomes </w:t>
      </w:r>
      <w:r w:rsidRPr="00850BE4">
        <w:rPr>
          <w:iCs/>
        </w:rPr>
        <w:t>the additional</w:t>
      </w:r>
      <w:r w:rsidRPr="00850BE4">
        <w:rPr>
          <w:i/>
        </w:rPr>
        <w:t xml:space="preserve"> </w:t>
      </w:r>
      <w:r w:rsidRPr="00850BE4">
        <w:t xml:space="preserve">instrument of accession to the Nagoya-Kuala Lumpur Supplementary Protocol on Liability and Redress to the Cartagena Protocol on Biosafety that has been deposited since the adoption of decision </w:t>
      </w:r>
      <w:hyperlink r:id="rId55" w:history="1">
        <w:r w:rsidRPr="00850BE4">
          <w:rPr>
            <w:rStyle w:val="Hyperlink"/>
          </w:rPr>
          <w:t>CP-11/10</w:t>
        </w:r>
      </w:hyperlink>
      <w:r w:rsidRPr="00850BE4">
        <w:t xml:space="preserve"> of 25 October 2024;</w:t>
      </w:r>
    </w:p>
    <w:p w14:paraId="1CB56E6C" w14:textId="77777777" w:rsidR="0027201E" w:rsidRPr="00850BE4" w:rsidRDefault="0027201E" w:rsidP="0027201E">
      <w:pPr>
        <w:pStyle w:val="CBDNormalNoNumber"/>
        <w:ind w:firstLine="567"/>
      </w:pPr>
      <w:r w:rsidRPr="00850BE4">
        <w:rPr>
          <w:iCs/>
        </w:rPr>
        <w:t>2.</w:t>
      </w:r>
      <w:r w:rsidRPr="00850BE4">
        <w:rPr>
          <w:i/>
        </w:rPr>
        <w:tab/>
        <w:t xml:space="preserve">Invites </w:t>
      </w:r>
      <w:r w:rsidRPr="00850BE4">
        <w:t>all Parties to the Cartagena Protocol that have not yet done so to deposit an instrument of ratification, acceptance, approval or accession to the Nagoya-Kuala Lumpur Supplementary Protocol as soon as possible;</w:t>
      </w:r>
    </w:p>
    <w:p w14:paraId="7759F854" w14:textId="77777777" w:rsidR="0027201E" w:rsidRPr="00850BE4" w:rsidRDefault="0027201E" w:rsidP="0027201E">
      <w:pPr>
        <w:pStyle w:val="CBDNormalNoNumber"/>
        <w:ind w:firstLine="567"/>
        <w:rPr>
          <w:iCs/>
        </w:rPr>
      </w:pPr>
      <w:r w:rsidRPr="00850BE4">
        <w:t>3.</w:t>
      </w:r>
      <w:r w:rsidRPr="00850BE4">
        <w:tab/>
      </w:r>
      <w:r w:rsidRPr="00850BE4">
        <w:rPr>
          <w:i/>
          <w:iCs/>
        </w:rPr>
        <w:t xml:space="preserve">Welcomes </w:t>
      </w:r>
      <w:r w:rsidRPr="00850BE4">
        <w:t>the fact</w:t>
      </w:r>
      <w:r w:rsidRPr="00850BE4">
        <w:rPr>
          <w:i/>
          <w:iCs/>
        </w:rPr>
        <w:t xml:space="preserve"> </w:t>
      </w:r>
      <w:r w:rsidRPr="00850BE4">
        <w:rPr>
          <w:iCs/>
        </w:rPr>
        <w:t xml:space="preserve">that almost all Parties to the </w:t>
      </w:r>
      <w:r w:rsidRPr="00850BE4">
        <w:t xml:space="preserve">Nagoya-Kuala Lumpur </w:t>
      </w:r>
      <w:r w:rsidRPr="00850BE4">
        <w:rPr>
          <w:iCs/>
        </w:rPr>
        <w:t xml:space="preserve">Supplementary Protocol have reported the designation of a competent authority </w:t>
      </w:r>
      <w:r w:rsidRPr="00850BE4">
        <w:t xml:space="preserve">to perform the functions set out in Article 5 of the Supplementary Protocol, but expresses concern that </w:t>
      </w:r>
      <w:r w:rsidRPr="00850BE4">
        <w:rPr>
          <w:iCs/>
        </w:rPr>
        <w:t xml:space="preserve">relatively few Parties have made information on such authorities available through the Biosafety </w:t>
      </w:r>
      <w:proofErr w:type="gramStart"/>
      <w:r w:rsidRPr="00850BE4">
        <w:rPr>
          <w:iCs/>
        </w:rPr>
        <w:t>Clearing-House</w:t>
      </w:r>
      <w:proofErr w:type="gramEnd"/>
      <w:r w:rsidRPr="00850BE4">
        <w:rPr>
          <w:iCs/>
        </w:rPr>
        <w:t>,</w:t>
      </w:r>
      <w:r w:rsidRPr="00850BE4">
        <w:rPr>
          <w:rFonts w:ascii="Times" w:hAnsi="Times" w:cs="Times"/>
          <w:i/>
          <w:iCs/>
        </w:rPr>
        <w:t xml:space="preserve"> </w:t>
      </w:r>
      <w:r w:rsidRPr="00850BE4">
        <w:rPr>
          <w:rFonts w:ascii="Times" w:hAnsi="Times" w:cs="Times"/>
        </w:rPr>
        <w:t xml:space="preserve">and encourages Parties to update and maintain information on their competent authorities on the Biosafety </w:t>
      </w:r>
      <w:proofErr w:type="gramStart"/>
      <w:r w:rsidRPr="00850BE4">
        <w:rPr>
          <w:rFonts w:ascii="Times" w:hAnsi="Times" w:cs="Times"/>
        </w:rPr>
        <w:t>Clearing-House</w:t>
      </w:r>
      <w:proofErr w:type="gramEnd"/>
      <w:r w:rsidRPr="00850BE4">
        <w:rPr>
          <w:iCs/>
        </w:rPr>
        <w:t>;</w:t>
      </w:r>
    </w:p>
    <w:p w14:paraId="51989936" w14:textId="77777777" w:rsidR="0027201E" w:rsidRPr="00850BE4" w:rsidRDefault="0027201E" w:rsidP="0027201E">
      <w:pPr>
        <w:pStyle w:val="CBDNormalNoNumber"/>
        <w:ind w:firstLine="567"/>
        <w:rPr>
          <w:iCs/>
        </w:rPr>
      </w:pPr>
      <w:r w:rsidRPr="00850BE4">
        <w:rPr>
          <w:iCs/>
        </w:rPr>
        <w:t>4.</w:t>
      </w:r>
      <w:r w:rsidRPr="00850BE4">
        <w:rPr>
          <w:i/>
        </w:rPr>
        <w:tab/>
        <w:t xml:space="preserve">Welcomes </w:t>
      </w:r>
      <w:r w:rsidRPr="00850BE4">
        <w:rPr>
          <w:iCs/>
        </w:rPr>
        <w:t xml:space="preserve">the information related to the implementation of the </w:t>
      </w:r>
      <w:r w:rsidRPr="00850BE4">
        <w:t xml:space="preserve">Nagoya-Kuala Lumpur </w:t>
      </w:r>
      <w:r w:rsidRPr="00850BE4">
        <w:rPr>
          <w:iCs/>
        </w:rPr>
        <w:t xml:space="preserve">Supplementary Protocol provided by Parties thereto and by other Governments in their fifth national reports under the </w:t>
      </w:r>
      <w:r w:rsidRPr="00850BE4">
        <w:rPr>
          <w:rFonts w:asciiTheme="majorBidi" w:eastAsiaTheme="minorEastAsia" w:hAnsiTheme="majorBidi" w:cstheme="majorBidi"/>
        </w:rPr>
        <w:t xml:space="preserve">Cartagena </w:t>
      </w:r>
      <w:r w:rsidRPr="00850BE4">
        <w:rPr>
          <w:iCs/>
        </w:rPr>
        <w:t>Protocol, which has informed the first assessment and review of the effectiveness of the Supplementary Protocol;</w:t>
      </w:r>
    </w:p>
    <w:p w14:paraId="663A9FA1" w14:textId="77777777" w:rsidR="0027201E" w:rsidRPr="00850BE4" w:rsidRDefault="0027201E" w:rsidP="0027201E">
      <w:pPr>
        <w:pStyle w:val="CBDNormalNoNumber"/>
        <w:ind w:firstLine="567"/>
      </w:pPr>
      <w:r w:rsidRPr="00850BE4">
        <w:rPr>
          <w:iCs/>
        </w:rPr>
        <w:t>5.</w:t>
      </w:r>
      <w:r w:rsidRPr="00850BE4">
        <w:rPr>
          <w:iCs/>
        </w:rPr>
        <w:tab/>
      </w:r>
      <w:r w:rsidRPr="00850BE4">
        <w:rPr>
          <w:i/>
        </w:rPr>
        <w:t xml:space="preserve">Also </w:t>
      </w:r>
      <w:r w:rsidRPr="00850BE4">
        <w:rPr>
          <w:i/>
          <w:iCs/>
        </w:rPr>
        <w:t xml:space="preserve">welcomes </w:t>
      </w:r>
      <w:r w:rsidRPr="00850BE4">
        <w:t>the steps taken by Parties to the Nagoya-Kuala Lumpur Supplementary Protocol towards its implementation, while recognizing that there are areas where implementation needs to be strengthened;</w:t>
      </w:r>
    </w:p>
    <w:p w14:paraId="720ADCB8" w14:textId="77777777" w:rsidR="0027201E" w:rsidRPr="00850BE4" w:rsidRDefault="0027201E" w:rsidP="0027201E">
      <w:pPr>
        <w:pStyle w:val="CBDNormalNoNumber"/>
        <w:ind w:firstLine="567"/>
        <w:rPr>
          <w:iCs/>
        </w:rPr>
      </w:pPr>
      <w:r w:rsidRPr="00850BE4">
        <w:rPr>
          <w:iCs/>
        </w:rPr>
        <w:t>6.</w:t>
      </w:r>
      <w:r w:rsidRPr="00850BE4">
        <w:rPr>
          <w:iCs/>
        </w:rPr>
        <w:tab/>
      </w:r>
      <w:r w:rsidRPr="00850BE4">
        <w:rPr>
          <w:i/>
          <w:iCs/>
        </w:rPr>
        <w:t>Recognizes</w:t>
      </w:r>
      <w:r w:rsidRPr="00850BE4">
        <w:rPr>
          <w:iCs/>
        </w:rPr>
        <w:t xml:space="preserve"> that financial security measures relating to damage, as defined in the </w:t>
      </w:r>
      <w:r w:rsidRPr="00850BE4">
        <w:t xml:space="preserve">Nagoya-Kuala Lumpur </w:t>
      </w:r>
      <w:r w:rsidRPr="00850BE4">
        <w:rPr>
          <w:iCs/>
        </w:rPr>
        <w:t>Supplementary Protocol, remain limited among Parties thereto;</w:t>
      </w:r>
    </w:p>
    <w:p w14:paraId="25C27B00" w14:textId="77777777" w:rsidR="0027201E" w:rsidRPr="00850BE4" w:rsidRDefault="0027201E" w:rsidP="0027201E">
      <w:pPr>
        <w:pStyle w:val="CBDNormalNoNumber"/>
        <w:ind w:firstLine="567"/>
      </w:pPr>
      <w:r w:rsidRPr="00850BE4">
        <w:rPr>
          <w:iCs/>
        </w:rPr>
        <w:lastRenderedPageBreak/>
        <w:t>7</w:t>
      </w:r>
      <w:r w:rsidRPr="00850BE4">
        <w:t>.</w:t>
      </w:r>
      <w:r w:rsidRPr="00850BE4">
        <w:tab/>
      </w:r>
      <w:r w:rsidRPr="00850BE4">
        <w:rPr>
          <w:i/>
          <w:iCs/>
        </w:rPr>
        <w:t>Also recognizes</w:t>
      </w:r>
      <w:r w:rsidRPr="00850BE4">
        <w:rPr>
          <w:iCs/>
        </w:rPr>
        <w:t xml:space="preserve"> that many Parties to the </w:t>
      </w:r>
      <w:r w:rsidRPr="00850BE4">
        <w:t xml:space="preserve">Nagoya-Kuala Lumpur </w:t>
      </w:r>
      <w:r w:rsidRPr="00850BE4">
        <w:rPr>
          <w:iCs/>
        </w:rPr>
        <w:t>Supplementary Protocol rely on environmental, administrative or civil liability frameworks to address liability for damage resulting from living modified organisms;</w:t>
      </w:r>
    </w:p>
    <w:p w14:paraId="30F58817" w14:textId="77777777" w:rsidR="0027201E" w:rsidRPr="00850BE4" w:rsidRDefault="0027201E" w:rsidP="0027201E">
      <w:pPr>
        <w:pStyle w:val="CBDNormalNoNumber"/>
        <w:ind w:firstLine="567"/>
        <w:rPr>
          <w:iCs/>
        </w:rPr>
      </w:pPr>
      <w:r w:rsidRPr="00850BE4">
        <w:rPr>
          <w:iCs/>
        </w:rPr>
        <w:t>8.</w:t>
      </w:r>
      <w:r w:rsidRPr="00850BE4">
        <w:rPr>
          <w:iCs/>
        </w:rPr>
        <w:tab/>
      </w:r>
      <w:r w:rsidRPr="00850BE4">
        <w:rPr>
          <w:i/>
        </w:rPr>
        <w:t xml:space="preserve">Encourages </w:t>
      </w:r>
      <w:r w:rsidRPr="00850BE4">
        <w:rPr>
          <w:iCs/>
        </w:rPr>
        <w:t xml:space="preserve">Parties to the </w:t>
      </w:r>
      <w:r w:rsidRPr="00850BE4">
        <w:t xml:space="preserve">Nagoya-Kuala Lumpur </w:t>
      </w:r>
      <w:r w:rsidRPr="00850BE4">
        <w:rPr>
          <w:iCs/>
        </w:rPr>
        <w:t>Supplementary Protocol to develop or facilitate access to financial security, in accordance with Article 10 thereof, and develop or apply civil liability rules and procedures addressing damage,</w:t>
      </w:r>
      <w:r w:rsidRPr="00850BE4" w:rsidDel="009D0A94">
        <w:rPr>
          <w:iCs/>
        </w:rPr>
        <w:t xml:space="preserve"> </w:t>
      </w:r>
      <w:r w:rsidRPr="00850BE4">
        <w:rPr>
          <w:iCs/>
        </w:rPr>
        <w:t>in accordance with Article 12;</w:t>
      </w:r>
    </w:p>
    <w:p w14:paraId="5672B312" w14:textId="77777777" w:rsidR="0027201E" w:rsidRPr="00850BE4" w:rsidRDefault="0027201E" w:rsidP="0027201E">
      <w:pPr>
        <w:pStyle w:val="CBDNormalNoNumber"/>
        <w:ind w:firstLine="567"/>
        <w:rPr>
          <w:iCs/>
        </w:rPr>
      </w:pPr>
      <w:r w:rsidRPr="00850BE4">
        <w:rPr>
          <w:iCs/>
        </w:rPr>
        <w:t>9</w:t>
      </w:r>
      <w:r w:rsidRPr="00850BE4">
        <w:rPr>
          <w:i/>
        </w:rPr>
        <w:t>.</w:t>
      </w:r>
      <w:r w:rsidRPr="00850BE4">
        <w:rPr>
          <w:i/>
        </w:rPr>
        <w:tab/>
        <w:t>Also encourages</w:t>
      </w:r>
      <w:r w:rsidRPr="00850BE4">
        <w:rPr>
          <w:iCs/>
        </w:rPr>
        <w:t xml:space="preserve"> Parties to the </w:t>
      </w:r>
      <w:r w:rsidRPr="00850BE4">
        <w:t xml:space="preserve">Nagoya-Kuala Lumpur </w:t>
      </w:r>
      <w:r w:rsidRPr="00850BE4">
        <w:rPr>
          <w:iCs/>
        </w:rPr>
        <w:t>Supplementary Protocol to continue efforts towards the full implementation of the Supplementary Protocol;</w:t>
      </w:r>
    </w:p>
    <w:p w14:paraId="094C95C8" w14:textId="77777777" w:rsidR="0027201E" w:rsidRPr="00850BE4" w:rsidRDefault="0027201E" w:rsidP="0027201E">
      <w:pPr>
        <w:pStyle w:val="CBDNormalNoNumber"/>
        <w:ind w:firstLine="567"/>
        <w:rPr>
          <w:iCs/>
        </w:rPr>
      </w:pPr>
      <w:r w:rsidRPr="00850BE4">
        <w:rPr>
          <w:iCs/>
        </w:rPr>
        <w:t>10.</w:t>
      </w:r>
      <w:r w:rsidRPr="00850BE4">
        <w:rPr>
          <w:iCs/>
        </w:rPr>
        <w:tab/>
      </w:r>
      <w:r w:rsidRPr="00850BE4">
        <w:rPr>
          <w:i/>
        </w:rPr>
        <w:t>Invites</w:t>
      </w:r>
      <w:r w:rsidRPr="00850BE4">
        <w:rPr>
          <w:iCs/>
        </w:rPr>
        <w:t xml:space="preserve"> Parties and other Governments to publish information on developments related to the implementation of the </w:t>
      </w:r>
      <w:r w:rsidRPr="00850BE4">
        <w:t xml:space="preserve">Nagoya-Kuala Lumpur </w:t>
      </w:r>
      <w:r w:rsidRPr="00850BE4">
        <w:rPr>
          <w:iCs/>
        </w:rPr>
        <w:t xml:space="preserve">Supplementary Protocol through the virtual library of the Biosafety </w:t>
      </w:r>
      <w:proofErr w:type="gramStart"/>
      <w:r w:rsidRPr="00850BE4">
        <w:rPr>
          <w:iCs/>
        </w:rPr>
        <w:t>Clearing-House</w:t>
      </w:r>
      <w:proofErr w:type="gramEnd"/>
      <w:r w:rsidRPr="00850BE4">
        <w:rPr>
          <w:iCs/>
        </w:rPr>
        <w:t>, with a view to sharing experiences in that regard;</w:t>
      </w:r>
    </w:p>
    <w:p w14:paraId="5A1ABDC5" w14:textId="77777777" w:rsidR="0027201E" w:rsidRPr="00850BE4" w:rsidRDefault="0027201E" w:rsidP="0027201E">
      <w:pPr>
        <w:pStyle w:val="CBDNormalNoNumber"/>
        <w:ind w:firstLine="567"/>
      </w:pPr>
      <w:r w:rsidRPr="00850BE4">
        <w:rPr>
          <w:iCs/>
        </w:rPr>
        <w:t>11.</w:t>
      </w:r>
      <w:r w:rsidRPr="00850BE4">
        <w:rPr>
          <w:iCs/>
        </w:rPr>
        <w:tab/>
      </w:r>
      <w:r w:rsidRPr="00850BE4">
        <w:rPr>
          <w:i/>
        </w:rPr>
        <w:t>Invites</w:t>
      </w:r>
      <w:r w:rsidRPr="00850BE4">
        <w:rPr>
          <w:iCs/>
        </w:rPr>
        <w:t xml:space="preserve"> Parties, other Governments and relevant organizations to continue to support capacity-building activities in support of the effective implementation of the </w:t>
      </w:r>
      <w:r w:rsidRPr="00850BE4">
        <w:t xml:space="preserve">Nagoya-Kuala Lumpur </w:t>
      </w:r>
      <w:r w:rsidRPr="00850BE4">
        <w:rPr>
          <w:iCs/>
        </w:rPr>
        <w:t>Supplementary Protocol, and encourages donors to provide the necessary resources in that regard, with a view to meeting Goal A.10 of the implementation plan and the capacity-building action plan for the Cartagena Protocol;</w:t>
      </w:r>
    </w:p>
    <w:p w14:paraId="4EEF1D89" w14:textId="77777777" w:rsidR="0027201E" w:rsidRPr="00850BE4" w:rsidRDefault="0027201E" w:rsidP="0027201E">
      <w:pPr>
        <w:pStyle w:val="CBDNormalNoNumber"/>
        <w:ind w:firstLine="567"/>
      </w:pPr>
      <w:r w:rsidRPr="00850BE4">
        <w:rPr>
          <w:rFonts w:ascii="Times" w:hAnsi="Times" w:cs="Times"/>
        </w:rPr>
        <w:t>12.</w:t>
      </w:r>
      <w:r w:rsidRPr="00850BE4">
        <w:rPr>
          <w:rFonts w:ascii="Times" w:hAnsi="Times" w:cs="Times"/>
          <w:i/>
          <w:iCs/>
        </w:rPr>
        <w:tab/>
        <w:t>Requests</w:t>
      </w:r>
      <w:r w:rsidRPr="00850BE4">
        <w:rPr>
          <w:rFonts w:ascii="Times" w:hAnsi="Times" w:cs="Times"/>
        </w:rPr>
        <w:t xml:space="preserve"> </w:t>
      </w:r>
      <w:r w:rsidRPr="00850BE4">
        <w:t xml:space="preserve">the Executive Secretary to follow up with Parties </w:t>
      </w:r>
      <w:r w:rsidRPr="00850BE4">
        <w:rPr>
          <w:iCs/>
        </w:rPr>
        <w:t xml:space="preserve">to the </w:t>
      </w:r>
      <w:r w:rsidRPr="00850BE4">
        <w:t xml:space="preserve">Nagoya-Kuala Lumpur </w:t>
      </w:r>
      <w:r w:rsidRPr="00850BE4">
        <w:rPr>
          <w:iCs/>
        </w:rPr>
        <w:t>Supplementary Protocol</w:t>
      </w:r>
      <w:r w:rsidRPr="00850BE4">
        <w:t xml:space="preserve"> that have reported the designation of a competent authority but that have not yet published its contact details through the Biosafety </w:t>
      </w:r>
      <w:proofErr w:type="gramStart"/>
      <w:r w:rsidRPr="00850BE4">
        <w:t>Clearing-House</w:t>
      </w:r>
      <w:proofErr w:type="gramEnd"/>
      <w:r w:rsidRPr="00850BE4">
        <w:t>;</w:t>
      </w:r>
    </w:p>
    <w:p w14:paraId="464CEAFC" w14:textId="77777777" w:rsidR="0027201E" w:rsidRPr="00850BE4" w:rsidRDefault="0027201E" w:rsidP="0027201E">
      <w:pPr>
        <w:pStyle w:val="CBDNormalNoNumber"/>
        <w:ind w:firstLine="567"/>
        <w:rPr>
          <w:iCs/>
        </w:rPr>
      </w:pPr>
      <w:r w:rsidRPr="00850BE4">
        <w:rPr>
          <w:iCs/>
        </w:rPr>
        <w:t>13.</w:t>
      </w:r>
      <w:r w:rsidRPr="00850BE4">
        <w:rPr>
          <w:iCs/>
        </w:rPr>
        <w:tab/>
      </w:r>
      <w:r w:rsidRPr="00850BE4">
        <w:rPr>
          <w:i/>
        </w:rPr>
        <w:t>Also</w:t>
      </w:r>
      <w:r w:rsidRPr="00850BE4">
        <w:rPr>
          <w:iCs/>
        </w:rPr>
        <w:t xml:space="preserve"> </w:t>
      </w:r>
      <w:r w:rsidRPr="00850BE4">
        <w:rPr>
          <w:i/>
        </w:rPr>
        <w:t>requests</w:t>
      </w:r>
      <w:r w:rsidRPr="00850BE4">
        <w:rPr>
          <w:iCs/>
        </w:rPr>
        <w:t xml:space="preserve"> the Executive Secretary to continue to promote the </w:t>
      </w:r>
      <w:r w:rsidRPr="00850BE4">
        <w:t xml:space="preserve">Nagoya-Kuala Lumpur </w:t>
      </w:r>
      <w:r w:rsidRPr="00850BE4">
        <w:rPr>
          <w:iCs/>
        </w:rPr>
        <w:t>Supplementary Protocol, with a view to supporting its ratification, and, subject to the availability to resources, undertake outreach and awareness-raising activities in relation to the Supplementary Protocol.</w:t>
      </w:r>
    </w:p>
    <w:p w14:paraId="16020717" w14:textId="77777777" w:rsidR="0027201E" w:rsidRPr="00850BE4" w:rsidRDefault="0027201E" w:rsidP="006470A9">
      <w:pPr>
        <w:pStyle w:val="CBDNormalNumber"/>
        <w:numPr>
          <w:ilvl w:val="0"/>
          <w:numId w:val="0"/>
        </w:numPr>
        <w:ind w:left="567"/>
      </w:pPr>
    </w:p>
    <w:p w14:paraId="116159B9" w14:textId="77777777" w:rsidR="004034E0" w:rsidRPr="00850BE4" w:rsidRDefault="004034E0" w:rsidP="006470A9">
      <w:pPr>
        <w:pStyle w:val="CBDNormalNumber"/>
        <w:numPr>
          <w:ilvl w:val="0"/>
          <w:numId w:val="0"/>
        </w:numPr>
        <w:ind w:left="567"/>
      </w:pPr>
    </w:p>
    <w:p w14:paraId="1A3E3906" w14:textId="2FB70461" w:rsidR="006470A9" w:rsidRPr="00850BE4" w:rsidRDefault="006470A9" w:rsidP="004034E0">
      <w:pPr>
        <w:pStyle w:val="CBDNormalNumber"/>
        <w:numPr>
          <w:ilvl w:val="0"/>
          <w:numId w:val="0"/>
        </w:numPr>
        <w:ind w:left="567"/>
        <w:sectPr w:rsidR="006470A9" w:rsidRPr="00850BE4" w:rsidSect="00361D55">
          <w:pgSz w:w="12240" w:h="15840"/>
          <w:pgMar w:top="567" w:right="1440" w:bottom="1134" w:left="1440" w:header="709" w:footer="709" w:gutter="0"/>
          <w:cols w:space="708"/>
          <w:docGrid w:linePitch="360"/>
        </w:sectPr>
      </w:pPr>
    </w:p>
    <w:p w14:paraId="1AEC409C" w14:textId="1F517359" w:rsidR="00E612A5" w:rsidRPr="00850BE4" w:rsidRDefault="00E612A5" w:rsidP="00E612A5">
      <w:pPr>
        <w:pStyle w:val="CBDAgendaItem"/>
        <w:rPr>
          <w:rFonts w:hint="eastAsia"/>
          <w:sz w:val="26"/>
          <w:szCs w:val="26"/>
        </w:rPr>
      </w:pPr>
      <w:bookmarkStart w:id="16" w:name="_Toc241483699"/>
      <w:r w:rsidRPr="00850BE4">
        <w:rPr>
          <w:sz w:val="26"/>
          <w:szCs w:val="26"/>
        </w:rPr>
        <w:lastRenderedPageBreak/>
        <w:t>Item</w:t>
      </w:r>
      <w:r w:rsidR="00AF0884" w:rsidRPr="00850BE4">
        <w:rPr>
          <w:sz w:val="26"/>
          <w:szCs w:val="26"/>
        </w:rPr>
        <w:t>s</w:t>
      </w:r>
      <w:r w:rsidRPr="00850BE4">
        <w:rPr>
          <w:sz w:val="26"/>
          <w:szCs w:val="26"/>
        </w:rPr>
        <w:t xml:space="preserve"> 18 </w:t>
      </w:r>
      <w:r w:rsidR="00AF0884" w:rsidRPr="00850BE4">
        <w:rPr>
          <w:sz w:val="26"/>
          <w:szCs w:val="26"/>
        </w:rPr>
        <w:t>to 20</w:t>
      </w:r>
      <w:bookmarkEnd w:id="16"/>
    </w:p>
    <w:p w14:paraId="29D698DD" w14:textId="77777777" w:rsidR="00995213" w:rsidRPr="00850BE4" w:rsidRDefault="00995213" w:rsidP="00995213">
      <w:pPr>
        <w:pStyle w:val="CBDNormalNumber"/>
        <w:numPr>
          <w:ilvl w:val="0"/>
          <w:numId w:val="0"/>
        </w:numPr>
        <w:ind w:left="567"/>
      </w:pPr>
      <w:r w:rsidRPr="00850BE4">
        <w:t>No draft decisions are envisaged under items 18 to 20, owing to the nature of those items. The actions required on the part of the Conference of the Parties serving as the meeting of the Parties to the Protocol under those items a</w:t>
      </w:r>
      <w:r>
        <w:t>r</w:t>
      </w:r>
      <w:r w:rsidRPr="00850BE4">
        <w:t>e reflected in the annotated provisional agenda.</w:t>
      </w:r>
    </w:p>
    <w:p w14:paraId="167E2AC5" w14:textId="0B7AF12D" w:rsidR="005557C6" w:rsidRPr="00850BE4" w:rsidRDefault="005557C6" w:rsidP="00947347">
      <w:pPr>
        <w:suppressLineNumbers/>
        <w:suppressAutoHyphens/>
        <w:jc w:val="center"/>
      </w:pPr>
      <w:r w:rsidRPr="00850BE4">
        <w:rPr>
          <w:kern w:val="22"/>
        </w:rPr>
        <w:t>__________</w:t>
      </w:r>
    </w:p>
    <w:sectPr w:rsidR="005557C6" w:rsidRPr="00850BE4" w:rsidSect="00361D5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66176" w14:textId="77777777" w:rsidR="00384334" w:rsidRPr="0025501A" w:rsidRDefault="00384334" w:rsidP="00CF1848">
      <w:r w:rsidRPr="0025501A">
        <w:separator/>
      </w:r>
    </w:p>
  </w:endnote>
  <w:endnote w:type="continuationSeparator" w:id="0">
    <w:p w14:paraId="7D70B000" w14:textId="77777777" w:rsidR="00384334" w:rsidRPr="0025501A" w:rsidRDefault="00384334"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85F11D3" w14:textId="77777777" w:rsidR="00D75CA6" w:rsidRPr="0025501A" w:rsidRDefault="00D75CA6" w:rsidP="00D75CA6">
            <w:pPr>
              <w:pStyle w:val="Footer"/>
              <w:jc w:val="left"/>
            </w:pPr>
            <w:r w:rsidRPr="00947347">
              <w:rPr>
                <w:szCs w:val="20"/>
              </w:rPr>
              <w:fldChar w:fldCharType="begin"/>
            </w:r>
            <w:r w:rsidRPr="00947347">
              <w:rPr>
                <w:szCs w:val="20"/>
              </w:rPr>
              <w:instrText xml:space="preserve"> PAGE </w:instrText>
            </w:r>
            <w:r w:rsidRPr="00947347">
              <w:rPr>
                <w:szCs w:val="20"/>
              </w:rPr>
              <w:fldChar w:fldCharType="separate"/>
            </w:r>
            <w:r w:rsidRPr="00947347">
              <w:rPr>
                <w:noProof/>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noProof/>
                <w:szCs w:val="20"/>
              </w:rPr>
              <w:t>2</w:t>
            </w:r>
            <w:r w:rsidRPr="0094734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1605174" w14:textId="77777777" w:rsidR="00D75CA6" w:rsidRPr="0025501A" w:rsidRDefault="00D75CA6" w:rsidP="00947347">
        <w:pPr>
          <w:pStyle w:val="Footer"/>
          <w:jc w:val="right"/>
        </w:pPr>
        <w:r w:rsidRPr="00947347">
          <w:rPr>
            <w:szCs w:val="20"/>
          </w:rPr>
          <w:fldChar w:fldCharType="begin"/>
        </w:r>
        <w:r w:rsidRPr="00947347">
          <w:rPr>
            <w:szCs w:val="20"/>
          </w:rPr>
          <w:instrText xml:space="preserve"> PAGE </w:instrText>
        </w:r>
        <w:r w:rsidRPr="00947347">
          <w:rPr>
            <w:szCs w:val="20"/>
          </w:rPr>
          <w:fldChar w:fldCharType="separate"/>
        </w:r>
        <w:r w:rsidRPr="00947347">
          <w:rPr>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szCs w:val="20"/>
          </w:rPr>
          <w:t>3</w:t>
        </w:r>
        <w:r w:rsidRPr="0094734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6CF02" w14:textId="77777777" w:rsidR="00384334" w:rsidRPr="0025501A" w:rsidRDefault="00384334" w:rsidP="00CF1848">
      <w:r w:rsidRPr="0025501A">
        <w:separator/>
      </w:r>
    </w:p>
  </w:footnote>
  <w:footnote w:type="continuationSeparator" w:id="0">
    <w:p w14:paraId="38C563FE" w14:textId="77777777" w:rsidR="00384334" w:rsidRPr="0025501A" w:rsidRDefault="00384334" w:rsidP="00CF1848">
      <w:r w:rsidRPr="0025501A">
        <w:continuationSeparator/>
      </w:r>
    </w:p>
  </w:footnote>
  <w:footnote w:id="1">
    <w:p w14:paraId="64B1FCB4" w14:textId="77777777" w:rsidR="00BE4861" w:rsidRPr="00A85565" w:rsidRDefault="00BE4861" w:rsidP="00BE4861">
      <w:pPr>
        <w:pStyle w:val="FootnoteText"/>
      </w:pPr>
      <w:r w:rsidRPr="00A85565">
        <w:rPr>
          <w:rStyle w:val="FootnoteReference"/>
        </w:rPr>
        <w:t>*</w:t>
      </w:r>
      <w:r w:rsidRPr="00A85565">
        <w:t xml:space="preserve"> </w:t>
      </w:r>
      <w:r w:rsidRPr="00947347">
        <w:t>CBD</w:t>
      </w:r>
      <w:r w:rsidRPr="00A85565">
        <w:t>/</w:t>
      </w:r>
      <w:r w:rsidRPr="00947347">
        <w:t>CP</w:t>
      </w:r>
      <w:r w:rsidRPr="00A85565">
        <w:t>/</w:t>
      </w:r>
      <w:r w:rsidRPr="00947347">
        <w:t>MOP</w:t>
      </w:r>
      <w:r w:rsidRPr="00A85565">
        <w:t>/12/1.</w:t>
      </w:r>
    </w:p>
  </w:footnote>
  <w:footnote w:id="2">
    <w:p w14:paraId="3D17A2F1" w14:textId="77777777" w:rsidR="001A690B" w:rsidRPr="00F95C52" w:rsidRDefault="001A690B" w:rsidP="001A690B">
      <w:pPr>
        <w:pStyle w:val="FootnoteText"/>
        <w:rPr>
          <w:lang w:val="en-CA"/>
        </w:rPr>
      </w:pPr>
      <w:r>
        <w:rPr>
          <w:rStyle w:val="FootnoteReference"/>
        </w:rPr>
        <w:footnoteRef/>
      </w:r>
      <w:r>
        <w:t xml:space="preserve"> </w:t>
      </w:r>
      <w:r w:rsidRPr="00C40C3B">
        <w:t xml:space="preserve">United Nations, </w:t>
      </w:r>
      <w:r w:rsidRPr="00F95C52">
        <w:rPr>
          <w:i/>
          <w:iCs/>
        </w:rPr>
        <w:t>Treaty Series</w:t>
      </w:r>
      <w:r w:rsidRPr="00C40C3B">
        <w:t>, vol. 2226, No. 30619.</w:t>
      </w:r>
    </w:p>
  </w:footnote>
  <w:footnote w:id="3">
    <w:p w14:paraId="4ED2D9EE" w14:textId="77777777" w:rsidR="001A690B" w:rsidRDefault="001A690B" w:rsidP="001A690B">
      <w:pPr>
        <w:pStyle w:val="FootnoteText"/>
      </w:pPr>
      <w:r>
        <w:rPr>
          <w:rStyle w:val="FootnoteReference"/>
        </w:rPr>
        <w:footnoteRef/>
      </w:r>
      <w:r>
        <w:t xml:space="preserve"> Decision </w:t>
      </w:r>
      <w:hyperlink r:id="rId1" w:history="1">
        <w:r>
          <w:rPr>
            <w:rStyle w:val="Hyperlink"/>
          </w:rPr>
          <w:t>BS-I/3</w:t>
        </w:r>
      </w:hyperlink>
      <w:r>
        <w:t>, annex.</w:t>
      </w:r>
    </w:p>
  </w:footnote>
  <w:footnote w:id="4">
    <w:p w14:paraId="09FF6C43" w14:textId="77777777" w:rsidR="001A690B" w:rsidRPr="00F95C52" w:rsidRDefault="001A690B" w:rsidP="001A690B">
      <w:pPr>
        <w:pStyle w:val="FootnoteText"/>
        <w:rPr>
          <w:lang w:val="en-CA"/>
        </w:rPr>
      </w:pPr>
      <w:r>
        <w:rPr>
          <w:rStyle w:val="FootnoteReference"/>
        </w:rPr>
        <w:footnoteRef/>
      </w:r>
      <w:r>
        <w:t xml:space="preserve"> </w:t>
      </w:r>
      <w:r>
        <w:rPr>
          <w:lang w:val="en-CA"/>
        </w:rPr>
        <w:t xml:space="preserve">Decision </w:t>
      </w:r>
      <w:hyperlink r:id="rId2" w:history="1">
        <w:r w:rsidRPr="000D0704">
          <w:rPr>
            <w:rStyle w:val="Hyperlink"/>
            <w:lang w:val="en-CA"/>
          </w:rPr>
          <w:t>15/4</w:t>
        </w:r>
      </w:hyperlink>
      <w:r>
        <w:rPr>
          <w:lang w:val="en-CA"/>
        </w:rPr>
        <w:t>, annex.</w:t>
      </w:r>
    </w:p>
  </w:footnote>
  <w:footnote w:id="5">
    <w:p w14:paraId="26E8EFED" w14:textId="77777777" w:rsidR="001A690B" w:rsidRPr="000A6EB4" w:rsidRDefault="001A690B" w:rsidP="001A690B">
      <w:pPr>
        <w:pStyle w:val="FootnoteText"/>
      </w:pPr>
      <w:r>
        <w:rPr>
          <w:rStyle w:val="FootnoteReference"/>
        </w:rPr>
        <w:footnoteRef/>
      </w:r>
      <w:r>
        <w:t xml:space="preserve"> </w:t>
      </w:r>
      <w:r w:rsidRPr="000A6EB4">
        <w:t xml:space="preserve">United Nations, </w:t>
      </w:r>
      <w:r w:rsidRPr="00F95C52">
        <w:rPr>
          <w:i/>
          <w:iCs/>
        </w:rPr>
        <w:t>Treaty Series</w:t>
      </w:r>
      <w:r w:rsidRPr="000A6EB4">
        <w:t>, vol. 1760, No. 30619.</w:t>
      </w:r>
    </w:p>
  </w:footnote>
  <w:footnote w:id="6">
    <w:p w14:paraId="1D68EE84" w14:textId="77777777" w:rsidR="001458DC" w:rsidRPr="007E7E8E" w:rsidRDefault="001458DC" w:rsidP="001458DC">
      <w:pPr>
        <w:pStyle w:val="FootnoteText"/>
      </w:pPr>
      <w:r>
        <w:rPr>
          <w:rStyle w:val="FootnoteReference"/>
        </w:rPr>
        <w:footnoteRef/>
      </w:r>
      <w:r>
        <w:t xml:space="preserve"> </w:t>
      </w:r>
      <w:r w:rsidRPr="007E7E8E">
        <w:t xml:space="preserve">United Nations, </w:t>
      </w:r>
      <w:r w:rsidRPr="00356880">
        <w:rPr>
          <w:i/>
          <w:iCs/>
        </w:rPr>
        <w:t>Treaty Series</w:t>
      </w:r>
      <w:r w:rsidRPr="007E7E8E">
        <w:t>, vol. 1760, No. 30619.</w:t>
      </w:r>
    </w:p>
  </w:footnote>
  <w:footnote w:id="7">
    <w:p w14:paraId="5D92F94B" w14:textId="77777777" w:rsidR="001458DC" w:rsidRPr="0076397B" w:rsidRDefault="001458DC" w:rsidP="001458DC">
      <w:pPr>
        <w:pStyle w:val="FootnoteText"/>
      </w:pPr>
      <w:r w:rsidRPr="6D5F172A">
        <w:rPr>
          <w:rStyle w:val="FootnoteReference"/>
        </w:rPr>
        <w:footnoteRef/>
      </w:r>
      <w:r>
        <w:rPr>
          <w:color w:val="000000"/>
        </w:rPr>
        <w:t xml:space="preserve"> Ibid.</w:t>
      </w:r>
      <w:r w:rsidRPr="6D5F172A">
        <w:rPr>
          <w:color w:val="000000"/>
        </w:rPr>
        <w:t>,</w:t>
      </w:r>
      <w:r w:rsidRPr="6D5F172A">
        <w:rPr>
          <w:i/>
          <w:iCs/>
          <w:color w:val="000000"/>
        </w:rPr>
        <w:t xml:space="preserve"> </w:t>
      </w:r>
      <w:r w:rsidRPr="6D5F172A">
        <w:rPr>
          <w:color w:val="000000"/>
        </w:rPr>
        <w:t>vol. 2226, No. 30619.</w:t>
      </w:r>
    </w:p>
  </w:footnote>
  <w:footnote w:id="8">
    <w:p w14:paraId="6A72AD0D" w14:textId="62F54E13" w:rsidR="001458DC" w:rsidRPr="00356880" w:rsidRDefault="001458DC" w:rsidP="001458DC">
      <w:pPr>
        <w:pStyle w:val="FootnoteText"/>
        <w:rPr>
          <w:lang w:val="en-CA"/>
        </w:rPr>
      </w:pPr>
      <w:r>
        <w:rPr>
          <w:rStyle w:val="FootnoteReference"/>
        </w:rPr>
        <w:footnoteRef/>
      </w:r>
      <w:r>
        <w:t xml:space="preserve"> </w:t>
      </w:r>
      <w:hyperlink r:id="rId3" w:history="1">
        <w:r w:rsidRPr="00D312B0">
          <w:rPr>
            <w:rStyle w:val="Hyperlink"/>
          </w:rPr>
          <w:t>CBD/CP/MOP/12/4</w:t>
        </w:r>
      </w:hyperlink>
      <w:r>
        <w:t xml:space="preserve">, </w:t>
      </w:r>
      <w:hyperlink r:id="rId4" w:history="1">
        <w:r w:rsidRPr="00B81C2B">
          <w:rPr>
            <w:rStyle w:val="Hyperlink"/>
          </w:rPr>
          <w:t>CBD/CP/</w:t>
        </w:r>
        <w:r>
          <w:rPr>
            <w:rStyle w:val="Hyperlink"/>
          </w:rPr>
          <w:t>MOP/</w:t>
        </w:r>
        <w:r w:rsidRPr="00B81C2B">
          <w:rPr>
            <w:rStyle w:val="Hyperlink"/>
          </w:rPr>
          <w:t>12/5</w:t>
        </w:r>
      </w:hyperlink>
      <w:r>
        <w:t xml:space="preserve"> </w:t>
      </w:r>
      <w:r w:rsidR="00E82EA6">
        <w:t xml:space="preserve">and </w:t>
      </w:r>
      <w:r w:rsidRPr="00DA49E1">
        <w:rPr>
          <w:lang w:val="en-CA"/>
        </w:rPr>
        <w:t>CBD/</w:t>
      </w:r>
      <w:r>
        <w:rPr>
          <w:lang w:val="en-CA"/>
        </w:rPr>
        <w:t>CP/MOP/12/5/Add.1</w:t>
      </w:r>
      <w:r w:rsidR="00E82EA6">
        <w:rPr>
          <w:lang w:val="en-CA"/>
        </w:rPr>
        <w:t>.</w:t>
      </w:r>
    </w:p>
  </w:footnote>
  <w:footnote w:id="9">
    <w:p w14:paraId="11270140" w14:textId="43D24EB0" w:rsidR="001458DC" w:rsidRPr="0076397B" w:rsidRDefault="001458DC" w:rsidP="001458DC">
      <w:pPr>
        <w:pStyle w:val="FootnoteText"/>
        <w:rPr>
          <w:szCs w:val="18"/>
        </w:rPr>
      </w:pPr>
      <w:r w:rsidRPr="00CE7F69">
        <w:rPr>
          <w:rStyle w:val="FootnoteReference"/>
          <w:szCs w:val="18"/>
        </w:rPr>
        <w:footnoteRef/>
      </w:r>
      <w:r w:rsidRPr="00B9390C">
        <w:t xml:space="preserve"> </w:t>
      </w:r>
      <w:r w:rsidRPr="007E7E8E">
        <w:t xml:space="preserve">United Nations, </w:t>
      </w:r>
      <w:r w:rsidRPr="00356880">
        <w:rPr>
          <w:i/>
          <w:iCs/>
        </w:rPr>
        <w:t>Treaty Serie</w:t>
      </w:r>
      <w:r>
        <w:rPr>
          <w:i/>
          <w:iCs/>
        </w:rPr>
        <w:t>s</w:t>
      </w:r>
      <w:r w:rsidRPr="0076397B">
        <w:rPr>
          <w:szCs w:val="18"/>
        </w:rPr>
        <w:t>, vol. 3008, No. 30619.</w:t>
      </w:r>
    </w:p>
  </w:footnote>
  <w:footnote w:id="10">
    <w:p w14:paraId="2067B105" w14:textId="77777777" w:rsidR="001458DC" w:rsidRPr="0076397B" w:rsidRDefault="001458DC" w:rsidP="007A59F7">
      <w:pPr>
        <w:rPr>
          <w:rFonts w:asciiTheme="majorBidi" w:hAnsiTheme="majorBidi" w:cstheme="majorBidi"/>
          <w:sz w:val="18"/>
          <w:szCs w:val="18"/>
        </w:rPr>
      </w:pPr>
      <w:r w:rsidRPr="0076397B">
        <w:rPr>
          <w:rStyle w:val="FootnoteReference"/>
          <w:rFonts w:asciiTheme="majorBidi" w:hAnsiTheme="majorBidi" w:cstheme="majorBidi"/>
          <w:sz w:val="18"/>
          <w:szCs w:val="18"/>
        </w:rPr>
        <w:footnoteRef/>
      </w:r>
      <w:r w:rsidRPr="0076397B">
        <w:rPr>
          <w:rFonts w:asciiTheme="majorBidi" w:hAnsiTheme="majorBidi" w:cstheme="majorBidi"/>
          <w:sz w:val="18"/>
          <w:szCs w:val="18"/>
        </w:rPr>
        <w:t xml:space="preserve"> </w:t>
      </w:r>
      <w:r w:rsidRPr="00487714">
        <w:rPr>
          <w:rFonts w:asciiTheme="majorBidi" w:hAnsiTheme="majorBidi" w:cstheme="majorBidi"/>
          <w:sz w:val="18"/>
          <w:szCs w:val="18"/>
        </w:rPr>
        <w:t xml:space="preserve">As contained in General Assembly resolution </w:t>
      </w:r>
      <w:r>
        <w:rPr>
          <w:rFonts w:asciiTheme="majorBidi" w:hAnsiTheme="majorBidi" w:cstheme="majorBidi"/>
          <w:sz w:val="18"/>
          <w:szCs w:val="18"/>
        </w:rPr>
        <w:t>79/249</w:t>
      </w:r>
      <w:r w:rsidRPr="00487714">
        <w:rPr>
          <w:rFonts w:asciiTheme="majorBidi" w:hAnsiTheme="majorBidi" w:cstheme="majorBidi"/>
          <w:sz w:val="18"/>
          <w:szCs w:val="18"/>
        </w:rPr>
        <w:t xml:space="preserve">. </w:t>
      </w:r>
    </w:p>
  </w:footnote>
  <w:footnote w:id="11">
    <w:p w14:paraId="6CD245DD" w14:textId="13D88BC2" w:rsidR="007218D0" w:rsidRPr="007A59F7" w:rsidRDefault="007218D0" w:rsidP="007218D0">
      <w:pPr>
        <w:pStyle w:val="FootnoteText"/>
        <w:rPr>
          <w:lang w:val="en-CA"/>
        </w:rPr>
      </w:pPr>
      <w:r>
        <w:rPr>
          <w:rStyle w:val="FootnoteReference"/>
        </w:rPr>
        <w:footnoteRef/>
      </w:r>
      <w:r>
        <w:t xml:space="preserve"> See </w:t>
      </w:r>
      <w:hyperlink r:id="rId5" w:history="1">
        <w:r w:rsidRPr="007218D0">
          <w:rPr>
            <w:rStyle w:val="Hyperlink"/>
          </w:rPr>
          <w:t>CBD/CP/MOP/12/5</w:t>
        </w:r>
      </w:hyperlink>
      <w:r>
        <w:t xml:space="preserve">, annex, table 2. The scale of assessment will be </w:t>
      </w:r>
      <w:r w:rsidRPr="007218D0">
        <w:t xml:space="preserve">integrated into the decision after a single scale of contributions </w:t>
      </w:r>
      <w:r>
        <w:t>for the Convention and its Protocols has been adopted</w:t>
      </w:r>
      <w:r w:rsidRPr="007218D0">
        <w:t>.</w:t>
      </w:r>
    </w:p>
  </w:footnote>
  <w:footnote w:id="12">
    <w:p w14:paraId="44FECC35" w14:textId="77777777" w:rsidR="001458DC" w:rsidRPr="005D7BE5" w:rsidRDefault="001458DC" w:rsidP="001458DC">
      <w:pPr>
        <w:pStyle w:val="FootnoteText"/>
      </w:pPr>
      <w:r>
        <w:rPr>
          <w:rStyle w:val="FootnoteReference"/>
        </w:rPr>
        <w:footnoteRef/>
      </w:r>
      <w:r>
        <w:t xml:space="preserve"> </w:t>
      </w:r>
      <w:hyperlink r:id="rId6" w:history="1">
        <w:r w:rsidRPr="00051E3D">
          <w:rPr>
            <w:rStyle w:val="Hyperlink"/>
          </w:rPr>
          <w:t>CBD/SBI/6/10</w:t>
        </w:r>
      </w:hyperlink>
      <w:r>
        <w:t>, annex.</w:t>
      </w:r>
    </w:p>
  </w:footnote>
  <w:footnote w:id="13">
    <w:p w14:paraId="7DECDA5A" w14:textId="77777777" w:rsidR="001458DC" w:rsidRPr="007A59F7" w:rsidRDefault="001458DC" w:rsidP="001458DC">
      <w:pPr>
        <w:pStyle w:val="FootnoteText"/>
        <w:rPr>
          <w:lang w:val="en-CA"/>
        </w:rPr>
      </w:pPr>
      <w:r>
        <w:rPr>
          <w:rStyle w:val="FootnoteReference"/>
        </w:rPr>
        <w:footnoteRef/>
      </w:r>
      <w:r>
        <w:t xml:space="preserve"> </w:t>
      </w:r>
      <w:hyperlink r:id="rId7" w:history="1">
        <w:r w:rsidRPr="00845480">
          <w:rPr>
            <w:rStyle w:val="Hyperlink"/>
          </w:rPr>
          <w:t>CBD/COP/17/4/Add.4</w:t>
        </w:r>
      </w:hyperlink>
      <w:r>
        <w:t>.</w:t>
      </w:r>
    </w:p>
  </w:footnote>
  <w:footnote w:id="14">
    <w:p w14:paraId="56139813" w14:textId="77777777" w:rsidR="000E22EA" w:rsidRDefault="000E22EA" w:rsidP="000E22EA">
      <w:pPr>
        <w:pStyle w:val="FootnoteText"/>
      </w:pPr>
      <w:r>
        <w:rPr>
          <w:rStyle w:val="FootnoteReference"/>
        </w:rPr>
        <w:footnoteRef/>
      </w:r>
      <w:r>
        <w:t xml:space="preserve"> </w:t>
      </w:r>
      <w:r w:rsidRPr="009E3F6B">
        <w:t xml:space="preserve">United Nations, </w:t>
      </w:r>
      <w:r w:rsidRPr="008B787F">
        <w:rPr>
          <w:i/>
          <w:iCs/>
        </w:rPr>
        <w:t>Treaty Series</w:t>
      </w:r>
      <w:r w:rsidRPr="009E3F6B">
        <w:t>, vol. 2226, No. 30619.</w:t>
      </w:r>
    </w:p>
  </w:footnote>
  <w:footnote w:id="15">
    <w:p w14:paraId="48BDF049" w14:textId="77777777" w:rsidR="000E22EA" w:rsidRDefault="000E22EA" w:rsidP="000E22EA">
      <w:pPr>
        <w:pStyle w:val="FootnoteText"/>
      </w:pPr>
      <w:r>
        <w:rPr>
          <w:rStyle w:val="FootnoteReference"/>
        </w:rPr>
        <w:footnoteRef/>
      </w:r>
      <w:r>
        <w:t xml:space="preserve"> Decision </w:t>
      </w:r>
      <w:hyperlink r:id="rId8" w:history="1">
        <w:r w:rsidRPr="00DE57E3">
          <w:rPr>
            <w:rStyle w:val="Hyperlink"/>
          </w:rPr>
          <w:t>CP-10/3</w:t>
        </w:r>
      </w:hyperlink>
      <w:r>
        <w:t>, annex.</w:t>
      </w:r>
    </w:p>
  </w:footnote>
  <w:footnote w:id="16">
    <w:p w14:paraId="7018AC0E" w14:textId="6C78FED5" w:rsidR="001362C2" w:rsidRPr="007A59F7" w:rsidRDefault="001362C2">
      <w:pPr>
        <w:pStyle w:val="FootnoteText"/>
        <w:rPr>
          <w:lang w:val="en-CA"/>
        </w:rPr>
      </w:pPr>
      <w:r>
        <w:rPr>
          <w:rStyle w:val="FootnoteReference"/>
        </w:rPr>
        <w:footnoteRef/>
      </w:r>
      <w:r>
        <w:t xml:space="preserve"> </w:t>
      </w:r>
      <w:r w:rsidRPr="001362C2">
        <w:t xml:space="preserve">United Nations, </w:t>
      </w:r>
      <w:r w:rsidRPr="007A59F7">
        <w:rPr>
          <w:i/>
          <w:iCs/>
        </w:rPr>
        <w:t>Treaty Series</w:t>
      </w:r>
      <w:r w:rsidRPr="001362C2">
        <w:t>, vol. 2226, No. 30619.</w:t>
      </w:r>
    </w:p>
  </w:footnote>
  <w:footnote w:id="17">
    <w:p w14:paraId="08FE5661" w14:textId="77777777" w:rsidR="0033665E" w:rsidRPr="0066772C" w:rsidRDefault="0033665E" w:rsidP="0033665E">
      <w:pPr>
        <w:pStyle w:val="FootnoteText"/>
        <w:rPr>
          <w:lang w:val="en-US"/>
        </w:rPr>
      </w:pPr>
      <w:r>
        <w:rPr>
          <w:rStyle w:val="FootnoteReference"/>
        </w:rPr>
        <w:footnoteRef/>
      </w:r>
      <w:r w:rsidRPr="0066772C">
        <w:rPr>
          <w:lang w:val="en-US"/>
        </w:rPr>
        <w:t xml:space="preserve"> Decision </w:t>
      </w:r>
      <w:hyperlink r:id="rId9" w:history="1">
        <w:r w:rsidRPr="0066772C">
          <w:rPr>
            <w:rStyle w:val="Hyperlink"/>
            <w:lang w:val="en-US"/>
          </w:rPr>
          <w:t>CP-10/3</w:t>
        </w:r>
      </w:hyperlink>
      <w:r w:rsidRPr="0066772C">
        <w:rPr>
          <w:lang w:val="en-US"/>
        </w:rPr>
        <w:t>, annex.</w:t>
      </w:r>
    </w:p>
  </w:footnote>
  <w:footnote w:id="18">
    <w:p w14:paraId="204475B2" w14:textId="77777777" w:rsidR="0033665E" w:rsidRDefault="0033665E" w:rsidP="0033665E">
      <w:pPr>
        <w:pStyle w:val="FootnoteText"/>
      </w:pPr>
      <w:r>
        <w:rPr>
          <w:rStyle w:val="FootnoteReference"/>
        </w:rPr>
        <w:footnoteRef/>
      </w:r>
      <w:r>
        <w:t xml:space="preserve"> Decision </w:t>
      </w:r>
      <w:hyperlink r:id="rId10" w:history="1">
        <w:r w:rsidRPr="007A5421">
          <w:rPr>
            <w:rStyle w:val="Hyperlink"/>
          </w:rPr>
          <w:t>CP-10/4</w:t>
        </w:r>
      </w:hyperlink>
      <w:r>
        <w:t>, annex.</w:t>
      </w:r>
    </w:p>
  </w:footnote>
  <w:footnote w:id="19">
    <w:p w14:paraId="7D63F8D0" w14:textId="77777777" w:rsidR="0033665E" w:rsidRPr="0066772C" w:rsidRDefault="0033665E" w:rsidP="0033665E">
      <w:pPr>
        <w:pStyle w:val="FootnoteText"/>
        <w:rPr>
          <w:lang w:val="en-US"/>
        </w:rPr>
      </w:pPr>
      <w:r>
        <w:rPr>
          <w:rStyle w:val="FootnoteReference"/>
        </w:rPr>
        <w:footnoteRef/>
      </w:r>
      <w:r w:rsidRPr="0066772C">
        <w:rPr>
          <w:lang w:val="en-US"/>
        </w:rPr>
        <w:t xml:space="preserve"> </w:t>
      </w:r>
      <w:r>
        <w:rPr>
          <w:lang w:val="en-US"/>
        </w:rPr>
        <w:t xml:space="preserve">See </w:t>
      </w:r>
      <w:hyperlink r:id="rId11" w:history="1">
        <w:r w:rsidRPr="007A0C0A">
          <w:rPr>
            <w:rStyle w:val="Hyperlink"/>
            <w:lang w:val="en-US"/>
          </w:rPr>
          <w:t>CBD/SBI/7/6/Add.1</w:t>
        </w:r>
      </w:hyperlink>
      <w:r>
        <w:rPr>
          <w:lang w:val="en-US"/>
        </w:rPr>
        <w:t>.</w:t>
      </w:r>
    </w:p>
  </w:footnote>
  <w:footnote w:id="20">
    <w:p w14:paraId="7F4D4AE1" w14:textId="77777777" w:rsidR="0033665E" w:rsidRPr="00BF6B46" w:rsidRDefault="0033665E" w:rsidP="0033665E">
      <w:pPr>
        <w:pStyle w:val="FootnoteText"/>
        <w:rPr>
          <w:lang w:val="en-US"/>
        </w:rPr>
      </w:pPr>
      <w:r>
        <w:rPr>
          <w:rStyle w:val="FootnoteReference"/>
        </w:rPr>
        <w:footnoteRef/>
      </w:r>
      <w:r>
        <w:t xml:space="preserve"> </w:t>
      </w:r>
      <w:r>
        <w:rPr>
          <w:lang w:val="en-US"/>
        </w:rPr>
        <w:t xml:space="preserve">Decision </w:t>
      </w:r>
      <w:hyperlink r:id="rId12" w:history="1">
        <w:r w:rsidRPr="005A33C4">
          <w:rPr>
            <w:rStyle w:val="Hyperlink"/>
            <w:lang w:val="en-US"/>
          </w:rPr>
          <w:t>15/4</w:t>
        </w:r>
      </w:hyperlink>
      <w:r>
        <w:rPr>
          <w:lang w:val="en-US"/>
        </w:rPr>
        <w:t>, annex.</w:t>
      </w:r>
    </w:p>
  </w:footnote>
  <w:footnote w:id="21">
    <w:p w14:paraId="533E9BBD" w14:textId="77777777" w:rsidR="0033665E" w:rsidRPr="005271BC" w:rsidRDefault="0033665E" w:rsidP="0033665E">
      <w:pPr>
        <w:pStyle w:val="FootnoteText"/>
      </w:pPr>
      <w:r>
        <w:rPr>
          <w:rStyle w:val="FootnoteReference"/>
        </w:rPr>
        <w:footnoteRef/>
      </w:r>
      <w:r>
        <w:t xml:space="preserve"> </w:t>
      </w:r>
      <w:r w:rsidRPr="00A8590E">
        <w:rPr>
          <w:szCs w:val="18"/>
        </w:rPr>
        <w:t xml:space="preserve">United Nations, </w:t>
      </w:r>
      <w:r w:rsidRPr="00A8590E">
        <w:rPr>
          <w:i/>
          <w:iCs/>
          <w:szCs w:val="18"/>
        </w:rPr>
        <w:t>Treaty Series</w:t>
      </w:r>
      <w:r w:rsidRPr="00A8590E">
        <w:rPr>
          <w:szCs w:val="18"/>
        </w:rPr>
        <w:t>, vol. 1760, No. 30619.</w:t>
      </w:r>
    </w:p>
  </w:footnote>
  <w:footnote w:id="22">
    <w:p w14:paraId="23E98132" w14:textId="7EA16D77" w:rsidR="0033665E" w:rsidRDefault="0033665E" w:rsidP="0033665E">
      <w:pPr>
        <w:pStyle w:val="FootnoteText"/>
      </w:pPr>
      <w:r>
        <w:rPr>
          <w:rStyle w:val="FootnoteReference"/>
        </w:rPr>
        <w:footnoteRef/>
      </w:r>
      <w:r>
        <w:t xml:space="preserve"> </w:t>
      </w:r>
      <w:r w:rsidRPr="008E42B3">
        <w:t>Paragraphs</w:t>
      </w:r>
      <w:r w:rsidR="0065331C">
        <w:t> </w:t>
      </w:r>
      <w:r w:rsidRPr="00A8590E">
        <w:t xml:space="preserve">12 to </w:t>
      </w:r>
      <w:r w:rsidR="0065331C">
        <w:t>52</w:t>
      </w:r>
      <w:r>
        <w:t xml:space="preserve"> are grouped by the relevant goal of the implementation plan and the capacity-building action plan for the Cartagena Protocol.</w:t>
      </w:r>
    </w:p>
  </w:footnote>
  <w:footnote w:id="23">
    <w:p w14:paraId="500E2558" w14:textId="77777777" w:rsidR="0033665E" w:rsidRPr="00BF6B46" w:rsidRDefault="0033665E" w:rsidP="0033665E">
      <w:pPr>
        <w:pStyle w:val="FootnoteText"/>
        <w:rPr>
          <w:lang w:val="en-US"/>
        </w:rPr>
      </w:pPr>
      <w:r w:rsidRPr="00407600">
        <w:rPr>
          <w:rStyle w:val="FootnoteReference"/>
        </w:rPr>
        <w:footnoteRef/>
      </w:r>
      <w:r w:rsidRPr="00407600">
        <w:t xml:space="preserve"> </w:t>
      </w:r>
      <w:r w:rsidRPr="00A06D5C">
        <w:t>Decision</w:t>
      </w:r>
      <w:r w:rsidRPr="00407600">
        <w:t xml:space="preserve"> </w:t>
      </w:r>
      <w:hyperlink r:id="rId13" w:history="1">
        <w:r w:rsidRPr="004B2133">
          <w:rPr>
            <w:rStyle w:val="Hyperlink"/>
          </w:rPr>
          <w:t>BS-V/11</w:t>
        </w:r>
      </w:hyperlink>
      <w:r>
        <w:t>, annex</w:t>
      </w:r>
      <w:r w:rsidRPr="00407600">
        <w:t>.</w:t>
      </w:r>
    </w:p>
  </w:footnote>
  <w:footnote w:id="24">
    <w:p w14:paraId="49BB7410" w14:textId="77777777" w:rsidR="0033665E" w:rsidRDefault="0033665E" w:rsidP="0033665E">
      <w:pPr>
        <w:pStyle w:val="FootnoteText"/>
      </w:pPr>
      <w:r>
        <w:rPr>
          <w:rStyle w:val="FootnoteReference"/>
        </w:rPr>
        <w:footnoteRef/>
      </w:r>
      <w:r>
        <w:t xml:space="preserve"> </w:t>
      </w:r>
      <w:hyperlink r:id="rId14" w:history="1">
        <w:r w:rsidRPr="004E657C">
          <w:rPr>
            <w:rStyle w:val="Hyperlink"/>
          </w:rPr>
          <w:t>https://bch.cbd.int/protocol</w:t>
        </w:r>
      </w:hyperlink>
      <w:r>
        <w:t xml:space="preserve">. </w:t>
      </w:r>
    </w:p>
  </w:footnote>
  <w:footnote w:id="25">
    <w:p w14:paraId="3DCE2BAA" w14:textId="77777777" w:rsidR="002E6E04" w:rsidRPr="00C869F0" w:rsidRDefault="002E6E04" w:rsidP="002E6E04">
      <w:pPr>
        <w:pStyle w:val="FootnoteText"/>
        <w:rPr>
          <w:lang w:val="en-CA"/>
        </w:rPr>
      </w:pPr>
      <w:r>
        <w:rPr>
          <w:rStyle w:val="FootnoteReference"/>
        </w:rPr>
        <w:footnoteRef/>
      </w:r>
      <w:r>
        <w:t xml:space="preserve"> </w:t>
      </w:r>
      <w:r w:rsidRPr="007149D0">
        <w:t xml:space="preserve">United Nations, </w:t>
      </w:r>
      <w:r w:rsidRPr="00C869F0">
        <w:rPr>
          <w:i/>
          <w:iCs/>
        </w:rPr>
        <w:t>Treaty Series</w:t>
      </w:r>
      <w:r w:rsidRPr="007149D0">
        <w:t>, vol. 2226, No. 30619</w:t>
      </w:r>
      <w:r>
        <w:t>.</w:t>
      </w:r>
    </w:p>
  </w:footnote>
  <w:footnote w:id="26">
    <w:p w14:paraId="296DE5A3" w14:textId="77777777" w:rsidR="002E6E04" w:rsidRPr="00C869F0" w:rsidRDefault="002E6E04" w:rsidP="002E6E04">
      <w:pPr>
        <w:pStyle w:val="FootnoteText"/>
        <w:rPr>
          <w:lang w:val="en-CA"/>
        </w:rPr>
      </w:pPr>
      <w:r>
        <w:rPr>
          <w:rStyle w:val="FootnoteReference"/>
        </w:rPr>
        <w:footnoteRef/>
      </w:r>
      <w:r>
        <w:t xml:space="preserve"> Ibid.</w:t>
      </w:r>
      <w:r w:rsidRPr="0042783E">
        <w:t>, vol. 1760, No. 30619</w:t>
      </w:r>
      <w:r>
        <w:t>.</w:t>
      </w:r>
    </w:p>
  </w:footnote>
  <w:footnote w:id="27">
    <w:p w14:paraId="780F5FA0" w14:textId="77777777" w:rsidR="002E6E04" w:rsidRPr="00C869F0" w:rsidRDefault="002E6E04" w:rsidP="002E6E04">
      <w:pPr>
        <w:pStyle w:val="FootnoteText"/>
        <w:rPr>
          <w:lang w:val="en-CA"/>
        </w:rPr>
      </w:pPr>
      <w:r>
        <w:rPr>
          <w:rStyle w:val="FootnoteReference"/>
        </w:rPr>
        <w:footnoteRef/>
      </w:r>
      <w:r>
        <w:t xml:space="preserve"> </w:t>
      </w:r>
      <w:hyperlink r:id="rId15" w:history="1">
        <w:r w:rsidRPr="00B24E32">
          <w:rPr>
            <w:rStyle w:val="Hyperlink"/>
            <w:lang w:val="en-CA"/>
          </w:rPr>
          <w:t>CBD/COP/17/5/Add.1</w:t>
        </w:r>
      </w:hyperlink>
      <w:r>
        <w:rPr>
          <w:lang w:val="en-CA"/>
        </w:rPr>
        <w:t>.</w:t>
      </w:r>
    </w:p>
  </w:footnote>
  <w:footnote w:id="28">
    <w:p w14:paraId="0FCACE67" w14:textId="77777777" w:rsidR="00D14E9E" w:rsidRDefault="00D14E9E" w:rsidP="00D14E9E">
      <w:pPr>
        <w:pStyle w:val="FootnoteText"/>
      </w:pPr>
      <w:r>
        <w:rPr>
          <w:rStyle w:val="FootnoteReference"/>
        </w:rPr>
        <w:footnoteRef/>
      </w:r>
      <w:r>
        <w:t xml:space="preserve"> </w:t>
      </w:r>
      <w:hyperlink r:id="rId16" w:history="1">
        <w:r w:rsidRPr="00053F38">
          <w:rPr>
            <w:rStyle w:val="Hyperlink"/>
          </w:rPr>
          <w:t>CBD/CP/BCH-IAC/13/3/Rev.1</w:t>
        </w:r>
      </w:hyperlink>
      <w:r>
        <w:t>, annex I.</w:t>
      </w:r>
    </w:p>
  </w:footnote>
  <w:footnote w:id="29">
    <w:p w14:paraId="725CFAD7" w14:textId="77777777" w:rsidR="00D14E9E" w:rsidRPr="005D1CF1" w:rsidRDefault="00D14E9E" w:rsidP="00D14E9E">
      <w:pPr>
        <w:pStyle w:val="FootnoteText"/>
        <w:rPr>
          <w:lang w:val="en-CA"/>
        </w:rPr>
      </w:pPr>
      <w:r>
        <w:rPr>
          <w:rStyle w:val="FootnoteReference"/>
        </w:rPr>
        <w:footnoteRef/>
      </w:r>
      <w:r>
        <w:t xml:space="preserve"> </w:t>
      </w:r>
      <w:r w:rsidRPr="00AD261D">
        <w:t xml:space="preserve">United Nations, </w:t>
      </w:r>
      <w:r w:rsidRPr="005D1CF1">
        <w:rPr>
          <w:i/>
          <w:iCs/>
        </w:rPr>
        <w:t>Treaty Series</w:t>
      </w:r>
      <w:r w:rsidRPr="00AD261D">
        <w:t>, vol. 2226, No. 30619.</w:t>
      </w:r>
      <w:r w:rsidRPr="00AD261D" w:rsidDel="00F31FF9">
        <w:rPr>
          <w:lang w:val="en-CA"/>
        </w:rPr>
        <w:t xml:space="preserve"> </w:t>
      </w:r>
    </w:p>
  </w:footnote>
  <w:footnote w:id="30">
    <w:p w14:paraId="740FF77F" w14:textId="77777777" w:rsidR="00D14E9E" w:rsidRDefault="00D14E9E" w:rsidP="00D14E9E">
      <w:pPr>
        <w:pStyle w:val="FootnoteText"/>
      </w:pPr>
      <w:r>
        <w:rPr>
          <w:rStyle w:val="FootnoteReference"/>
        </w:rPr>
        <w:footnoteRef/>
      </w:r>
      <w:r>
        <w:t xml:space="preserve"> </w:t>
      </w:r>
      <w:r>
        <w:rPr>
          <w:lang w:val="en-CA"/>
        </w:rPr>
        <w:t xml:space="preserve">Decision </w:t>
      </w:r>
      <w:hyperlink r:id="rId17" w:history="1">
        <w:r w:rsidRPr="00232261">
          <w:rPr>
            <w:rStyle w:val="Hyperlink"/>
            <w:lang w:val="en-CA"/>
          </w:rPr>
          <w:t>10/3</w:t>
        </w:r>
      </w:hyperlink>
      <w:r>
        <w:rPr>
          <w:lang w:val="en-CA"/>
        </w:rPr>
        <w:t>, annex.</w:t>
      </w:r>
    </w:p>
  </w:footnote>
  <w:footnote w:id="31">
    <w:p w14:paraId="5E1DE3EC" w14:textId="00B45E24" w:rsidR="004D4D1A" w:rsidRPr="004D4D1A" w:rsidRDefault="004D4D1A">
      <w:pPr>
        <w:pStyle w:val="FootnoteText"/>
      </w:pPr>
      <w:r>
        <w:rPr>
          <w:rStyle w:val="FootnoteReference"/>
        </w:rPr>
        <w:footnoteRef/>
      </w:r>
      <w:r>
        <w:t xml:space="preserve"> </w:t>
      </w:r>
      <w:r w:rsidRPr="007947F9">
        <w:t xml:space="preserve">United Nations, </w:t>
      </w:r>
      <w:r w:rsidRPr="00840901">
        <w:rPr>
          <w:i/>
          <w:iCs/>
        </w:rPr>
        <w:t>Treaty Series</w:t>
      </w:r>
      <w:r w:rsidRPr="004D4D1A">
        <w:t>, vol. 2226, No. 30619.</w:t>
      </w:r>
    </w:p>
  </w:footnote>
  <w:footnote w:id="32">
    <w:p w14:paraId="73C0A4BD" w14:textId="565E0E67" w:rsidR="007947F9" w:rsidRPr="007A59F7" w:rsidRDefault="007947F9">
      <w:pPr>
        <w:pStyle w:val="FootnoteText"/>
        <w:rPr>
          <w:lang w:val="es-ES"/>
        </w:rPr>
      </w:pPr>
      <w:r>
        <w:rPr>
          <w:rStyle w:val="FootnoteReference"/>
        </w:rPr>
        <w:footnoteRef/>
      </w:r>
      <w:r w:rsidR="004D4D1A" w:rsidRPr="007A59F7">
        <w:rPr>
          <w:lang w:val="es-ES"/>
        </w:rPr>
        <w:t xml:space="preserve"> Ibid.</w:t>
      </w:r>
      <w:r w:rsidRPr="007A59F7">
        <w:rPr>
          <w:lang w:val="es-ES"/>
        </w:rPr>
        <w:t>, vol. 1760, No. 30619.</w:t>
      </w:r>
    </w:p>
  </w:footnote>
  <w:footnote w:id="33">
    <w:p w14:paraId="12D58C4A" w14:textId="4622252A" w:rsidR="00D53B07" w:rsidRPr="007A59F7" w:rsidRDefault="00D53B07">
      <w:pPr>
        <w:pStyle w:val="FootnoteText"/>
        <w:rPr>
          <w:lang w:val="es-ES"/>
        </w:rPr>
      </w:pPr>
      <w:r>
        <w:rPr>
          <w:rStyle w:val="FootnoteReference"/>
        </w:rPr>
        <w:footnoteRef/>
      </w:r>
      <w:r w:rsidRPr="007A59F7">
        <w:rPr>
          <w:lang w:val="es-ES"/>
        </w:rPr>
        <w:t xml:space="preserve"> Ibid., vol. 3008, No. 30619.</w:t>
      </w:r>
    </w:p>
  </w:footnote>
  <w:footnote w:id="34">
    <w:p w14:paraId="42D4E060" w14:textId="77777777" w:rsidR="00D07C08" w:rsidRDefault="00D07C08" w:rsidP="00D07C08">
      <w:pPr>
        <w:pStyle w:val="FootnoteText"/>
      </w:pPr>
      <w:r>
        <w:rPr>
          <w:rStyle w:val="FootnoteReference"/>
        </w:rPr>
        <w:footnoteRef/>
      </w:r>
      <w:r>
        <w:t xml:space="preserve"> See </w:t>
      </w:r>
      <w:hyperlink r:id="rId18" w:history="1">
        <w:r w:rsidRPr="00B66BDF">
          <w:rPr>
            <w:rStyle w:val="Hyperlink"/>
          </w:rPr>
          <w:t>CBD/CP/RA/AHTEG/2025/1/3</w:t>
        </w:r>
      </w:hyperlink>
      <w:r>
        <w:t>.</w:t>
      </w:r>
    </w:p>
  </w:footnote>
  <w:footnote w:id="35">
    <w:p w14:paraId="7BB08F00" w14:textId="77777777" w:rsidR="00D07C08" w:rsidRDefault="00D07C08" w:rsidP="00D07C08">
      <w:pPr>
        <w:pStyle w:val="FootnoteText"/>
      </w:pPr>
      <w:r>
        <w:rPr>
          <w:rStyle w:val="FootnoteReference"/>
        </w:rPr>
        <w:footnoteRef/>
      </w:r>
      <w:r>
        <w:rPr>
          <w:lang w:val="en-US"/>
        </w:rPr>
        <w:t xml:space="preserve"> See </w:t>
      </w:r>
      <w:hyperlink r:id="rId19" w:history="1">
        <w:r w:rsidRPr="00B66BDF">
          <w:rPr>
            <w:rStyle w:val="Hyperlink"/>
            <w:lang w:val="en-US"/>
          </w:rPr>
          <w:t>CBD/SBSTTA/27/6</w:t>
        </w:r>
      </w:hyperlink>
      <w:r>
        <w:t>, annex.</w:t>
      </w:r>
    </w:p>
  </w:footnote>
  <w:footnote w:id="36">
    <w:p w14:paraId="3F6AE1D2" w14:textId="77777777" w:rsidR="00D07C08" w:rsidRPr="00F13E8F" w:rsidRDefault="00D07C08" w:rsidP="00D07C08">
      <w:pPr>
        <w:pStyle w:val="FootnoteText"/>
      </w:pPr>
      <w:r>
        <w:rPr>
          <w:rStyle w:val="FootnoteReference"/>
        </w:rPr>
        <w:footnoteRef/>
      </w:r>
      <w:r>
        <w:t xml:space="preserve"> </w:t>
      </w:r>
      <w:r w:rsidRPr="00F13E8F">
        <w:t xml:space="preserve">United Nations, </w:t>
      </w:r>
      <w:r w:rsidRPr="003A0875">
        <w:rPr>
          <w:i/>
          <w:iCs/>
        </w:rPr>
        <w:t>Treaty Series</w:t>
      </w:r>
      <w:r w:rsidRPr="00F13E8F">
        <w:t>, vol. 2226, No. 30619.</w:t>
      </w:r>
    </w:p>
  </w:footnote>
  <w:footnote w:id="37">
    <w:p w14:paraId="026601A5" w14:textId="77777777" w:rsidR="00D07C08" w:rsidRDefault="00D07C08" w:rsidP="00D07C08">
      <w:pPr>
        <w:pStyle w:val="FootnoteText"/>
        <w:rPr>
          <w:lang w:val="en-CA"/>
        </w:rPr>
      </w:pPr>
      <w:r>
        <w:rPr>
          <w:rStyle w:val="FootnoteReference"/>
        </w:rPr>
        <w:footnoteRef/>
      </w:r>
      <w:r>
        <w:t xml:space="preserve"> [L</w:t>
      </w:r>
      <w:r w:rsidRPr="00E00DD8">
        <w:t>iving modified algae,] [living modified fish,] [living modified microorganisms,] [living modified organisms expressing genome editing machinery for pest or pathogen control,] [long-term and cumulative effects of genetic constructs and living modified organisms,] [operationalizing protection goals into relevant assessment and measurement end points,]</w:t>
      </w:r>
      <w:r>
        <w:t xml:space="preserve"> </w:t>
      </w:r>
      <w:r w:rsidRPr="00E00DD8">
        <w:t>[the use of living modified organisms in centres of origin and in traditional agricultural systems]</w:t>
      </w:r>
      <w:r>
        <w:t>.</w:t>
      </w:r>
    </w:p>
  </w:footnote>
  <w:footnote w:id="38">
    <w:p w14:paraId="1E59CDF1" w14:textId="77777777" w:rsidR="00D07C08" w:rsidRDefault="00D07C08" w:rsidP="00D07C08">
      <w:pPr>
        <w:pStyle w:val="FootnoteText"/>
      </w:pPr>
      <w:r>
        <w:rPr>
          <w:rStyle w:val="FootnoteReference"/>
        </w:rPr>
        <w:footnoteRef/>
      </w:r>
      <w:r>
        <w:t xml:space="preserve"> See </w:t>
      </w:r>
      <w:hyperlink r:id="rId20" w:history="1">
        <w:r w:rsidRPr="00F061C2">
          <w:rPr>
            <w:rStyle w:val="Hyperlink"/>
          </w:rPr>
          <w:t>CBD/CP/RA/AHTEG/2025/1/3</w:t>
        </w:r>
      </w:hyperlink>
      <w:r>
        <w:t>.</w:t>
      </w:r>
    </w:p>
  </w:footnote>
  <w:footnote w:id="39">
    <w:p w14:paraId="763E5677" w14:textId="77777777" w:rsidR="00D07C08" w:rsidRDefault="00D07C08" w:rsidP="00D07C08">
      <w:pPr>
        <w:pStyle w:val="FootnoteText"/>
        <w:rPr>
          <w:lang w:val="en-US"/>
        </w:rPr>
      </w:pPr>
      <w:r>
        <w:rPr>
          <w:rStyle w:val="FootnoteReference"/>
        </w:rPr>
        <w:footnoteRef/>
      </w:r>
      <w:r>
        <w:t xml:space="preserve"> </w:t>
      </w:r>
      <w:r>
        <w:rPr>
          <w:lang w:val="en-US"/>
        </w:rPr>
        <w:t xml:space="preserve">See </w:t>
      </w:r>
      <w:hyperlink r:id="rId21" w:tgtFrame="_blank" w:tooltip="https://www.cbd.int/tsc/tscm/subregionalcentres" w:history="1">
        <w:r>
          <w:rPr>
            <w:rStyle w:val="Hyperlink"/>
          </w:rPr>
          <w:t>www.cbd.int/tsc/tscm/subregionalcentres</w:t>
        </w:r>
      </w:hyperlink>
      <w:r>
        <w:rPr>
          <w:lang w:val="en-US"/>
        </w:rPr>
        <w:t>.</w:t>
      </w:r>
    </w:p>
  </w:footnote>
  <w:footnote w:id="40">
    <w:p w14:paraId="508801C0" w14:textId="77777777" w:rsidR="00D07C08" w:rsidRDefault="00D07C08" w:rsidP="00D07C08">
      <w:pPr>
        <w:pStyle w:val="FootnoteText"/>
        <w:rPr>
          <w:lang w:val="en-CA"/>
        </w:rPr>
      </w:pPr>
      <w:r>
        <w:rPr>
          <w:rStyle w:val="FootnoteReference"/>
        </w:rPr>
        <w:footnoteRef/>
      </w:r>
      <w:r>
        <w:t xml:space="preserve"> As provided in response to </w:t>
      </w:r>
      <w:r>
        <w:rPr>
          <w:lang w:val="en-CA"/>
        </w:rPr>
        <w:t>question 68 of the fifth national report under the Cartagena Protocol.</w:t>
      </w:r>
    </w:p>
  </w:footnote>
  <w:footnote w:id="41">
    <w:p w14:paraId="0CB7F998" w14:textId="77777777" w:rsidR="00D07C08" w:rsidRDefault="00D07C08" w:rsidP="00D07C08">
      <w:pPr>
        <w:pStyle w:val="FootnoteText"/>
        <w:rPr>
          <w:lang w:val="en-CA"/>
        </w:rPr>
      </w:pPr>
      <w:r>
        <w:rPr>
          <w:rStyle w:val="FootnoteReference"/>
        </w:rPr>
        <w:footnoteRef/>
      </w:r>
      <w:r>
        <w:t xml:space="preserve"> </w:t>
      </w:r>
      <w:r>
        <w:rPr>
          <w:lang w:val="en-CA"/>
        </w:rPr>
        <w:t xml:space="preserve">See </w:t>
      </w:r>
      <w:hyperlink r:id="rId22" w:history="1">
        <w:r w:rsidRPr="006D7B26">
          <w:rPr>
            <w:rStyle w:val="Hyperlink"/>
            <w:lang w:val="en-CA"/>
          </w:rPr>
          <w:t>CBD/CP/MOP/11/9</w:t>
        </w:r>
      </w:hyperlink>
      <w:r>
        <w:rPr>
          <w:lang w:val="en-CA"/>
        </w:rPr>
        <w:t>.</w:t>
      </w:r>
    </w:p>
  </w:footnote>
  <w:footnote w:id="42">
    <w:p w14:paraId="08EF03B4" w14:textId="77777777" w:rsidR="00D07C08" w:rsidRDefault="00D07C08" w:rsidP="00D07C08">
      <w:pPr>
        <w:pStyle w:val="FootnoteText"/>
      </w:pPr>
      <w:r>
        <w:rPr>
          <w:rStyle w:val="FootnoteReference"/>
        </w:rPr>
        <w:footnoteRef/>
      </w:r>
      <w:r>
        <w:t xml:space="preserve"> Decision </w:t>
      </w:r>
      <w:hyperlink r:id="rId23" w:history="1">
        <w:r>
          <w:rPr>
            <w:rStyle w:val="Hyperlink"/>
          </w:rPr>
          <w:t>VIII/10</w:t>
        </w:r>
      </w:hyperlink>
      <w:r>
        <w:t>, annex III.</w:t>
      </w:r>
    </w:p>
  </w:footnote>
  <w:footnote w:id="43">
    <w:p w14:paraId="546DCECE" w14:textId="77777777" w:rsidR="00D07C08" w:rsidRDefault="00D07C08" w:rsidP="00D07C08">
      <w:pPr>
        <w:pStyle w:val="FootnoteText"/>
      </w:pPr>
      <w:r>
        <w:rPr>
          <w:rStyle w:val="FootnoteReference"/>
        </w:rPr>
        <w:footnoteRef/>
      </w:r>
      <w:r>
        <w:t xml:space="preserve"> United Nations, </w:t>
      </w:r>
      <w:r>
        <w:rPr>
          <w:i/>
          <w:iCs/>
        </w:rPr>
        <w:t>Treaty Series</w:t>
      </w:r>
      <w:r>
        <w:t>, vol. 2226, No. 30619.</w:t>
      </w:r>
    </w:p>
  </w:footnote>
  <w:footnote w:id="44">
    <w:p w14:paraId="13A39A71" w14:textId="77777777" w:rsidR="00D07C08" w:rsidRDefault="00D07C08" w:rsidP="00D07C08">
      <w:pPr>
        <w:pStyle w:val="FootnoteText"/>
      </w:pPr>
      <w:r>
        <w:rPr>
          <w:rStyle w:val="FootnoteReference"/>
        </w:rPr>
        <w:footnoteRef/>
      </w:r>
      <w:r>
        <w:t xml:space="preserve"> See </w:t>
      </w:r>
      <w:hyperlink r:id="rId24" w:history="1">
        <w:r w:rsidRPr="003C75CF">
          <w:rPr>
            <w:rStyle w:val="Hyperlink"/>
          </w:rPr>
          <w:t>CBD/CP/MOP/11/9</w:t>
        </w:r>
      </w:hyperlink>
      <w:r>
        <w:t>.</w:t>
      </w:r>
    </w:p>
  </w:footnote>
  <w:footnote w:id="45">
    <w:p w14:paraId="0668A038" w14:textId="77777777" w:rsidR="00D07C08" w:rsidRDefault="00D07C08" w:rsidP="00D07C08">
      <w:pPr>
        <w:pStyle w:val="FootnoteText"/>
      </w:pPr>
      <w:r>
        <w:rPr>
          <w:rStyle w:val="FootnoteReference"/>
        </w:rPr>
        <w:footnoteRef/>
      </w:r>
      <w:r>
        <w:t xml:space="preserve"> A technical note may be a concise document that provides practical information on a specific topic or issue. It supplements existing guidance materials and may include procedural elements or points to consider when addressing a specific topic or context.</w:t>
      </w:r>
    </w:p>
  </w:footnote>
  <w:footnote w:id="46">
    <w:p w14:paraId="76D73C89" w14:textId="77777777" w:rsidR="00D07C08" w:rsidRDefault="00D07C08" w:rsidP="00D07C08">
      <w:pPr>
        <w:pStyle w:val="FootnoteText"/>
        <w:rPr>
          <w:lang w:val="en-CA"/>
        </w:rPr>
      </w:pPr>
      <w:r>
        <w:rPr>
          <w:rStyle w:val="FootnoteReference"/>
        </w:rPr>
        <w:footnoteRef/>
      </w:r>
      <w:r>
        <w:t xml:space="preserve"> The technical note on the use of living modified organisms in centres of origin and in traditional agricultural systems should be consistent with the </w:t>
      </w:r>
      <w:proofErr w:type="spellStart"/>
      <w:r>
        <w:t>Akwé</w:t>
      </w:r>
      <w:proofErr w:type="spellEnd"/>
      <w:r>
        <w:t>: Kon Voluntary Guidelines</w:t>
      </w:r>
      <w:r w:rsidRPr="002551D9">
        <w:t xml:space="preserve"> for the Conduct of Cultural, Environmental and Social Impact Assessments regarding Developments Proposed to Take Place on, or which are Likely to Impact On, Sacred Sites and On Lands and Waters Traditionally Occupied or Used by Indigenous and Local Communities</w:t>
      </w:r>
      <w:r>
        <w:t>.</w:t>
      </w:r>
    </w:p>
  </w:footnote>
  <w:footnote w:id="47">
    <w:p w14:paraId="3A3A5CD0" w14:textId="77777777" w:rsidR="00D07C08" w:rsidRDefault="00D07C08" w:rsidP="00D07C08">
      <w:pPr>
        <w:pStyle w:val="FootnoteText"/>
      </w:pPr>
      <w:r>
        <w:rPr>
          <w:rStyle w:val="FootnoteReference"/>
        </w:rPr>
        <w:footnoteRef/>
      </w:r>
      <w:r>
        <w:t xml:space="preserve"> </w:t>
      </w:r>
      <w:hyperlink r:id="rId25" w:history="1">
        <w:r>
          <w:rPr>
            <w:rStyle w:val="Hyperlink"/>
          </w:rPr>
          <w:t>CBD/CP/RA/AHTEG/2025/1/INF/1</w:t>
        </w:r>
      </w:hyperlink>
      <w:r>
        <w:t>.</w:t>
      </w:r>
    </w:p>
  </w:footnote>
  <w:footnote w:id="48">
    <w:p w14:paraId="6C0779F1" w14:textId="77777777" w:rsidR="00D07C08" w:rsidRDefault="00D07C08" w:rsidP="00D07C08">
      <w:pPr>
        <w:pStyle w:val="FootnoteText"/>
      </w:pPr>
      <w:r>
        <w:rPr>
          <w:rStyle w:val="FootnoteReference"/>
        </w:rPr>
        <w:footnoteRef/>
      </w:r>
      <w:r>
        <w:t xml:space="preserve"> </w:t>
      </w:r>
      <w:hyperlink r:id="rId26" w:history="1">
        <w:r>
          <w:rPr>
            <w:rStyle w:val="Hyperlink"/>
          </w:rPr>
          <w:t>CBD/CP/RA/AHTEG/2025/1/INF/2</w:t>
        </w:r>
      </w:hyperlink>
      <w:r>
        <w:t>.</w:t>
      </w:r>
    </w:p>
  </w:footnote>
  <w:footnote w:id="49">
    <w:p w14:paraId="77FA3499" w14:textId="77777777" w:rsidR="00C75B93" w:rsidRPr="00E806CA" w:rsidRDefault="00C75B93" w:rsidP="00C75B93">
      <w:pPr>
        <w:pStyle w:val="FootnoteText"/>
        <w:rPr>
          <w:lang w:val="en-CA"/>
        </w:rPr>
      </w:pPr>
      <w:r>
        <w:rPr>
          <w:rStyle w:val="FootnoteReference"/>
        </w:rPr>
        <w:footnoteRef/>
      </w:r>
      <w:r>
        <w:t xml:space="preserve"> </w:t>
      </w:r>
      <w:r w:rsidRPr="00CE704F">
        <w:t xml:space="preserve">United Nations, </w:t>
      </w:r>
      <w:r w:rsidRPr="00E806CA">
        <w:rPr>
          <w:i/>
          <w:iCs/>
        </w:rPr>
        <w:t>Treaty Series</w:t>
      </w:r>
      <w:r w:rsidRPr="00CE704F">
        <w:t>, vol. 2226, No. 30619.</w:t>
      </w:r>
    </w:p>
  </w:footnote>
  <w:footnote w:id="50">
    <w:p w14:paraId="54C0BB4E" w14:textId="77777777" w:rsidR="00C75B93" w:rsidRPr="00E806CA" w:rsidRDefault="00C75B93" w:rsidP="00C75B93">
      <w:pPr>
        <w:pStyle w:val="FootnoteText"/>
        <w:rPr>
          <w:lang w:val="en-CA"/>
        </w:rPr>
      </w:pPr>
      <w:r>
        <w:rPr>
          <w:rStyle w:val="FootnoteReference"/>
        </w:rPr>
        <w:footnoteRef/>
      </w:r>
      <w:r>
        <w:t xml:space="preserve"> See </w:t>
      </w:r>
      <w:hyperlink r:id="rId27" w:history="1">
        <w:r w:rsidRPr="00896976">
          <w:rPr>
            <w:rStyle w:val="Hyperlink"/>
          </w:rPr>
          <w:t>CBD/SBI/7/6/Add.1</w:t>
        </w:r>
      </w:hyperlink>
      <w:r>
        <w:t>.</w:t>
      </w:r>
    </w:p>
  </w:footnote>
  <w:footnote w:id="51">
    <w:p w14:paraId="24286BE0" w14:textId="77777777" w:rsidR="00AD5011" w:rsidRPr="0050710A" w:rsidRDefault="00AD5011" w:rsidP="00AD5011">
      <w:pPr>
        <w:pStyle w:val="FootnoteText"/>
        <w:rPr>
          <w:lang w:val="en-CA"/>
        </w:rPr>
      </w:pPr>
      <w:r>
        <w:rPr>
          <w:rStyle w:val="FootnoteReference"/>
        </w:rPr>
        <w:footnoteRef/>
      </w:r>
      <w:r>
        <w:t xml:space="preserve"> </w:t>
      </w:r>
      <w:r w:rsidRPr="0050710A">
        <w:rPr>
          <w:szCs w:val="18"/>
        </w:rPr>
        <w:t xml:space="preserve">United Nations, </w:t>
      </w:r>
      <w:r w:rsidRPr="0050710A">
        <w:rPr>
          <w:i/>
          <w:iCs/>
          <w:szCs w:val="18"/>
        </w:rPr>
        <w:t>Treaty Series</w:t>
      </w:r>
      <w:r w:rsidRPr="0050710A">
        <w:rPr>
          <w:szCs w:val="18"/>
        </w:rPr>
        <w:t>, vol. 2226, No. 30619.</w:t>
      </w:r>
    </w:p>
  </w:footnote>
  <w:footnote w:id="52">
    <w:p w14:paraId="3DBF3CCD" w14:textId="77777777" w:rsidR="00AD5011" w:rsidRDefault="00AD5011" w:rsidP="00AD5011">
      <w:pPr>
        <w:pStyle w:val="FootnoteText"/>
      </w:pPr>
      <w:r>
        <w:rPr>
          <w:rStyle w:val="FootnoteReference"/>
        </w:rPr>
        <w:footnoteRef/>
      </w:r>
      <w:r>
        <w:t xml:space="preserve"> </w:t>
      </w:r>
      <w:hyperlink r:id="rId28" w:history="1">
        <w:r w:rsidRPr="00690FC4">
          <w:rPr>
            <w:rStyle w:val="Hyperlink"/>
          </w:rPr>
          <w:t>CBD/CP/MOP/9/10</w:t>
        </w:r>
      </w:hyperlink>
      <w:r>
        <w:t>, annex.</w:t>
      </w:r>
    </w:p>
  </w:footnote>
  <w:footnote w:id="53">
    <w:p w14:paraId="69B31273" w14:textId="77777777" w:rsidR="00F22BBC" w:rsidRPr="00704853" w:rsidRDefault="00F22BBC" w:rsidP="00F22BBC">
      <w:pPr>
        <w:pStyle w:val="FootnoteText"/>
        <w:rPr>
          <w:lang w:val="en-CA"/>
        </w:rPr>
      </w:pPr>
      <w:r>
        <w:rPr>
          <w:rStyle w:val="FootnoteReference"/>
        </w:rPr>
        <w:footnoteRef/>
      </w:r>
      <w:r>
        <w:t xml:space="preserve"> </w:t>
      </w:r>
      <w:r w:rsidRPr="001A283E">
        <w:t xml:space="preserve">United Nations, </w:t>
      </w:r>
      <w:r w:rsidRPr="00704853">
        <w:rPr>
          <w:i/>
          <w:iCs/>
        </w:rPr>
        <w:t>Treaty Series</w:t>
      </w:r>
      <w:r w:rsidRPr="001A283E">
        <w:t>, vol. 2226, No. 30619.</w:t>
      </w:r>
    </w:p>
  </w:footnote>
  <w:footnote w:id="54">
    <w:p w14:paraId="0FDF93B3" w14:textId="77777777" w:rsidR="0027201E" w:rsidRPr="00B55C49" w:rsidRDefault="0027201E" w:rsidP="0027201E">
      <w:pPr>
        <w:pStyle w:val="FootnoteText"/>
        <w:rPr>
          <w:szCs w:val="18"/>
        </w:rPr>
      </w:pPr>
      <w:r w:rsidRPr="00B55C49">
        <w:rPr>
          <w:rStyle w:val="FootnoteReference"/>
          <w:szCs w:val="18"/>
        </w:rPr>
        <w:footnoteRef/>
      </w:r>
      <w:r w:rsidRPr="00B55C49">
        <w:rPr>
          <w:szCs w:val="18"/>
        </w:rPr>
        <w:t xml:space="preserve"> In accordance with paragraph</w:t>
      </w:r>
      <w:r>
        <w:rPr>
          <w:szCs w:val="18"/>
        </w:rPr>
        <w:t> </w:t>
      </w:r>
      <w:r w:rsidRPr="00B55C49">
        <w:rPr>
          <w:szCs w:val="18"/>
        </w:rPr>
        <w:t>1 o</w:t>
      </w:r>
      <w:r w:rsidRPr="001C4CAA">
        <w:rPr>
          <w:szCs w:val="18"/>
        </w:rPr>
        <w:t>f Article</w:t>
      </w:r>
      <w:r>
        <w:rPr>
          <w:szCs w:val="18"/>
        </w:rPr>
        <w:t> </w:t>
      </w:r>
      <w:r w:rsidRPr="00B55C49">
        <w:rPr>
          <w:szCs w:val="18"/>
        </w:rPr>
        <w:t>14 of the Supplementary Protocol</w:t>
      </w:r>
      <w:r w:rsidRPr="001C4CAA">
        <w:rPr>
          <w:szCs w:val="18"/>
        </w:rPr>
        <w:t>, and</w:t>
      </w:r>
      <w:r w:rsidRPr="00B55C49">
        <w:rPr>
          <w:szCs w:val="18"/>
        </w:rPr>
        <w:t xml:space="preserve"> subject to paragraph</w:t>
      </w:r>
      <w:r>
        <w:rPr>
          <w:szCs w:val="18"/>
        </w:rPr>
        <w:t> </w:t>
      </w:r>
      <w:r w:rsidRPr="00B55C49">
        <w:rPr>
          <w:szCs w:val="18"/>
        </w:rPr>
        <w:t>2 o</w:t>
      </w:r>
      <w:r w:rsidRPr="001C4CAA">
        <w:rPr>
          <w:szCs w:val="18"/>
        </w:rPr>
        <w:t>f Article</w:t>
      </w:r>
      <w:r w:rsidRPr="00B55C49">
        <w:rPr>
          <w:szCs w:val="18"/>
        </w:rPr>
        <w:t> 32 of the Convention</w:t>
      </w:r>
      <w:r>
        <w:rPr>
          <w:szCs w:val="18"/>
        </w:rPr>
        <w:t xml:space="preserve"> </w:t>
      </w:r>
      <w:r w:rsidRPr="007232D6">
        <w:rPr>
          <w:szCs w:val="18"/>
        </w:rPr>
        <w:t>on Biological Diversity</w:t>
      </w:r>
      <w:r w:rsidRPr="00B55C49">
        <w:rPr>
          <w:szCs w:val="18"/>
        </w:rPr>
        <w:t>, the Conference of the Parties serving as the meeting of the Parties to the Protocol serve</w:t>
      </w:r>
      <w:r>
        <w:rPr>
          <w:szCs w:val="18"/>
        </w:rPr>
        <w:t>s</w:t>
      </w:r>
      <w:r w:rsidRPr="00B55C49">
        <w:rPr>
          <w:szCs w:val="18"/>
        </w:rPr>
        <w:t xml:space="preserve"> as the meeting of the Parties to the Supplementary Protocol. Consequently, the present decision has been adopted by the Parties to the Supplementary Protocol.</w:t>
      </w:r>
    </w:p>
  </w:footnote>
  <w:footnote w:id="55">
    <w:p w14:paraId="0F31FED1" w14:textId="77777777" w:rsidR="0027201E" w:rsidRPr="00136994" w:rsidRDefault="0027201E" w:rsidP="0027201E">
      <w:pPr>
        <w:pStyle w:val="FootnoteText"/>
        <w:rPr>
          <w:lang w:val="en-CA"/>
        </w:rPr>
      </w:pPr>
      <w:r>
        <w:rPr>
          <w:rStyle w:val="FootnoteReference"/>
        </w:rPr>
        <w:footnoteRef/>
      </w:r>
      <w:r>
        <w:t xml:space="preserve"> </w:t>
      </w:r>
      <w:r w:rsidRPr="00FB09F1">
        <w:t xml:space="preserve">Decision </w:t>
      </w:r>
      <w:hyperlink r:id="rId29" w:history="1">
        <w:r w:rsidRPr="00391C49">
          <w:rPr>
            <w:rStyle w:val="Hyperlink"/>
          </w:rPr>
          <w:t>BS-V/11</w:t>
        </w:r>
      </w:hyperlink>
      <w:r w:rsidRPr="00FB09F1">
        <w:t>, annex</w:t>
      </w:r>
      <w:r>
        <w:t>.</w:t>
      </w:r>
    </w:p>
  </w:footnote>
  <w:footnote w:id="56">
    <w:p w14:paraId="0C0941AA" w14:textId="77777777" w:rsidR="0027201E" w:rsidRPr="00B55C49" w:rsidRDefault="0027201E" w:rsidP="0027201E">
      <w:pPr>
        <w:pStyle w:val="FootnoteText"/>
      </w:pPr>
      <w:r w:rsidRPr="00B55C49">
        <w:rPr>
          <w:rStyle w:val="FootnoteReference"/>
        </w:rPr>
        <w:footnoteRef/>
      </w:r>
      <w:r w:rsidRPr="00B55C49">
        <w:t xml:space="preserve"> </w:t>
      </w:r>
      <w:r w:rsidRPr="00B55C49">
        <w:rPr>
          <w:rFonts w:asciiTheme="majorBidi" w:eastAsiaTheme="minorEastAsia" w:hAnsiTheme="majorBidi" w:cstheme="majorBidi"/>
          <w:szCs w:val="22"/>
        </w:rPr>
        <w:t xml:space="preserve">Decision </w:t>
      </w:r>
      <w:hyperlink r:id="rId30" w:history="1">
        <w:r w:rsidRPr="00255602">
          <w:rPr>
            <w:rStyle w:val="Hyperlink"/>
            <w:rFonts w:asciiTheme="majorBidi" w:eastAsiaTheme="minorEastAsia" w:hAnsiTheme="majorBidi" w:cstheme="majorBidi"/>
            <w:szCs w:val="22"/>
          </w:rPr>
          <w:t>CP-10/3</w:t>
        </w:r>
      </w:hyperlink>
      <w:r w:rsidRPr="00B55C49">
        <w:rPr>
          <w:rFonts w:asciiTheme="majorBidi" w:eastAsiaTheme="minorEastAsia" w:hAnsiTheme="majorBidi" w:cstheme="majorBidi"/>
          <w:szCs w:val="22"/>
        </w:rPr>
        <w:t>, annex.</w:t>
      </w:r>
    </w:p>
  </w:footnote>
  <w:footnote w:id="57">
    <w:p w14:paraId="5A28D0E7" w14:textId="77777777" w:rsidR="0027201E" w:rsidRPr="00B55C49" w:rsidRDefault="0027201E" w:rsidP="0027201E">
      <w:pPr>
        <w:pStyle w:val="FootnoteText"/>
      </w:pPr>
      <w:r w:rsidRPr="00B55C49">
        <w:rPr>
          <w:rStyle w:val="FootnoteReference"/>
        </w:rPr>
        <w:footnoteRef/>
      </w:r>
      <w:r w:rsidRPr="00B55C49">
        <w:t xml:space="preserve"> </w:t>
      </w:r>
      <w:r w:rsidRPr="00B55C49">
        <w:rPr>
          <w:rFonts w:asciiTheme="majorBidi" w:eastAsiaTheme="minorEastAsia" w:hAnsiTheme="majorBidi" w:cstheme="majorBidi"/>
          <w:szCs w:val="22"/>
        </w:rPr>
        <w:t xml:space="preserve">Decision </w:t>
      </w:r>
      <w:hyperlink r:id="rId31" w:history="1">
        <w:r w:rsidRPr="00503FB7">
          <w:rPr>
            <w:rStyle w:val="Hyperlink"/>
            <w:rFonts w:asciiTheme="majorBidi" w:eastAsiaTheme="minorEastAsia" w:hAnsiTheme="majorBidi" w:cstheme="majorBidi"/>
            <w:szCs w:val="22"/>
          </w:rPr>
          <w:t>CP-10/4</w:t>
        </w:r>
      </w:hyperlink>
      <w:r w:rsidRPr="00B55C49">
        <w:rPr>
          <w:rFonts w:asciiTheme="majorBidi" w:eastAsiaTheme="minorEastAsia" w:hAnsiTheme="majorBidi" w:cstheme="majorBidi"/>
          <w:szCs w:val="22"/>
        </w:rPr>
        <w:t>, annex.</w:t>
      </w:r>
    </w:p>
  </w:footnote>
  <w:footnote w:id="58">
    <w:p w14:paraId="6AE305F5" w14:textId="77777777" w:rsidR="0027201E" w:rsidRPr="00B55C49" w:rsidRDefault="0027201E" w:rsidP="0027201E">
      <w:pPr>
        <w:pStyle w:val="FootnoteText"/>
      </w:pPr>
      <w:r w:rsidRPr="00B55C49">
        <w:rPr>
          <w:rStyle w:val="FootnoteReference"/>
        </w:rPr>
        <w:footnoteRef/>
      </w:r>
      <w:r w:rsidRPr="00685680">
        <w:t xml:space="preserve"> </w:t>
      </w:r>
      <w:r w:rsidRPr="001A59EB">
        <w:t xml:space="preserve">United Nations, </w:t>
      </w:r>
      <w:r w:rsidRPr="00EB0336">
        <w:rPr>
          <w:i/>
          <w:iCs/>
        </w:rPr>
        <w:t>Treaty Series</w:t>
      </w:r>
      <w:r w:rsidRPr="001A59EB">
        <w:t>, vol. 2226, No. 30619</w:t>
      </w:r>
      <w:r w:rsidRPr="00B55C49">
        <w:rPr>
          <w:rFonts w:asciiTheme="majorBidi" w:eastAsiaTheme="minorEastAsia" w:hAnsiTheme="majorBidi" w:cstheme="majorBidi"/>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51134C8" w14:textId="455933AB" w:rsidR="00534681" w:rsidRPr="0025501A" w:rsidRDefault="0073151C" w:rsidP="007C4951">
        <w:pPr>
          <w:pStyle w:val="Header"/>
          <w:spacing w:after="240"/>
          <w:rPr>
            <w:szCs w:val="20"/>
          </w:rPr>
        </w:pPr>
        <w:r w:rsidRPr="0025501A">
          <w:rPr>
            <w:szCs w:val="20"/>
          </w:rPr>
          <w:t>CBD/CP/MOP/12/</w:t>
        </w:r>
        <w:r w:rsidR="00361D55">
          <w:rPr>
            <w:szCs w:val="20"/>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34B7" w14:textId="33433DCD" w:rsidR="009505C9" w:rsidRPr="00947347" w:rsidRDefault="00384334" w:rsidP="00947347">
    <w:pPr>
      <w:pStyle w:val="Header"/>
      <w:spacing w:after="240"/>
      <w:jc w:val="right"/>
      <w:rPr>
        <w:szCs w:val="20"/>
      </w:rPr>
    </w:pPr>
    <w:sdt>
      <w:sdtPr>
        <w:rPr>
          <w:szCs w:val="20"/>
        </w:rPr>
        <w:alias w:val="Subject"/>
        <w:tag w:val=""/>
        <w:id w:val="941192692"/>
        <w:dataBinding w:prefixMappings="xmlns:ns0='http://purl.org/dc/elements/1.1/' xmlns:ns1='http://schemas.openxmlformats.org/package/2006/metadata/core-properties' " w:xpath="/ns1:coreProperties[1]/ns0:subject[1]" w:storeItemID="{6C3C8BC8-F283-45AE-878A-BAB7291924A1}"/>
        <w:text/>
      </w:sdtPr>
      <w:sdtEndPr/>
      <w:sdtContent>
        <w:r w:rsidR="00361D55">
          <w:rPr>
            <w:szCs w:val="20"/>
          </w:rPr>
          <w:t>CBD/CP/MOP/12/2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C65B" w14:textId="77777777" w:rsidR="00290E89" w:rsidRDefault="00290E89" w:rsidP="0094734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8066F08"/>
    <w:multiLevelType w:val="hybridMultilevel"/>
    <w:tmpl w:val="AC26D83A"/>
    <w:lvl w:ilvl="0" w:tplc="C1E2A7F4">
      <w:start w:val="1"/>
      <w:numFmt w:val="decimal"/>
      <w:pStyle w:val="CBDprov-agendaItem"/>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2"/>
  </w:num>
  <w:num w:numId="2" w16cid:durableId="1858829">
    <w:abstractNumId w:val="0"/>
  </w:num>
  <w:num w:numId="3" w16cid:durableId="1333221471">
    <w:abstractNumId w:val="7"/>
  </w:num>
  <w:num w:numId="4" w16cid:durableId="1072390599">
    <w:abstractNumId w:val="8"/>
  </w:num>
  <w:num w:numId="5" w16cid:durableId="893932166">
    <w:abstractNumId w:val="6"/>
  </w:num>
  <w:num w:numId="6" w16cid:durableId="323945383">
    <w:abstractNumId w:val="3"/>
  </w:num>
  <w:num w:numId="7" w16cid:durableId="596838060">
    <w:abstractNumId w:val="1"/>
  </w:num>
  <w:num w:numId="8" w16cid:durableId="15906963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84899085">
    <w:abstractNumId w:val="9"/>
  </w:num>
  <w:num w:numId="10" w16cid:durableId="1948272757">
    <w:abstractNumId w:val="4"/>
  </w:num>
  <w:num w:numId="11" w16cid:durableId="2066758222">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145D"/>
    <w:rsid w:val="00002073"/>
    <w:rsid w:val="00003AF5"/>
    <w:rsid w:val="000059CC"/>
    <w:rsid w:val="00007EF8"/>
    <w:rsid w:val="00007F9C"/>
    <w:rsid w:val="00010212"/>
    <w:rsid w:val="00010D68"/>
    <w:rsid w:val="000126F5"/>
    <w:rsid w:val="00013EF4"/>
    <w:rsid w:val="0001439B"/>
    <w:rsid w:val="000162AB"/>
    <w:rsid w:val="00016F52"/>
    <w:rsid w:val="000200E3"/>
    <w:rsid w:val="00022724"/>
    <w:rsid w:val="0002382C"/>
    <w:rsid w:val="00023A2E"/>
    <w:rsid w:val="00023FF9"/>
    <w:rsid w:val="00024E1F"/>
    <w:rsid w:val="00025478"/>
    <w:rsid w:val="00025BAA"/>
    <w:rsid w:val="00026C47"/>
    <w:rsid w:val="00030011"/>
    <w:rsid w:val="0003236A"/>
    <w:rsid w:val="0003295B"/>
    <w:rsid w:val="000335B3"/>
    <w:rsid w:val="00034596"/>
    <w:rsid w:val="0003503A"/>
    <w:rsid w:val="00035498"/>
    <w:rsid w:val="000363E2"/>
    <w:rsid w:val="00037458"/>
    <w:rsid w:val="0003776C"/>
    <w:rsid w:val="00040DD8"/>
    <w:rsid w:val="00041B94"/>
    <w:rsid w:val="000433B9"/>
    <w:rsid w:val="00043985"/>
    <w:rsid w:val="000442C6"/>
    <w:rsid w:val="00044F63"/>
    <w:rsid w:val="000450B1"/>
    <w:rsid w:val="000455A7"/>
    <w:rsid w:val="00046155"/>
    <w:rsid w:val="00047CC0"/>
    <w:rsid w:val="00047DFA"/>
    <w:rsid w:val="00050391"/>
    <w:rsid w:val="00050A82"/>
    <w:rsid w:val="00051E3D"/>
    <w:rsid w:val="0005316A"/>
    <w:rsid w:val="0005380E"/>
    <w:rsid w:val="00053D89"/>
    <w:rsid w:val="00054778"/>
    <w:rsid w:val="00054B61"/>
    <w:rsid w:val="000557F6"/>
    <w:rsid w:val="00056147"/>
    <w:rsid w:val="0005654D"/>
    <w:rsid w:val="00056EF6"/>
    <w:rsid w:val="00061BCB"/>
    <w:rsid w:val="00063979"/>
    <w:rsid w:val="00067706"/>
    <w:rsid w:val="000703BF"/>
    <w:rsid w:val="000704B9"/>
    <w:rsid w:val="0007171B"/>
    <w:rsid w:val="000718AC"/>
    <w:rsid w:val="00072248"/>
    <w:rsid w:val="00074168"/>
    <w:rsid w:val="0007473F"/>
    <w:rsid w:val="000748EA"/>
    <w:rsid w:val="000749FC"/>
    <w:rsid w:val="00076228"/>
    <w:rsid w:val="00076619"/>
    <w:rsid w:val="0007748D"/>
    <w:rsid w:val="00077D03"/>
    <w:rsid w:val="00080833"/>
    <w:rsid w:val="00081893"/>
    <w:rsid w:val="000839B6"/>
    <w:rsid w:val="00083E14"/>
    <w:rsid w:val="0008692E"/>
    <w:rsid w:val="000874A8"/>
    <w:rsid w:val="00087810"/>
    <w:rsid w:val="00091613"/>
    <w:rsid w:val="000919CA"/>
    <w:rsid w:val="00092881"/>
    <w:rsid w:val="000931D5"/>
    <w:rsid w:val="000953B0"/>
    <w:rsid w:val="00095F90"/>
    <w:rsid w:val="00096E87"/>
    <w:rsid w:val="000A1B80"/>
    <w:rsid w:val="000A2C0D"/>
    <w:rsid w:val="000A459D"/>
    <w:rsid w:val="000A4EE8"/>
    <w:rsid w:val="000A603A"/>
    <w:rsid w:val="000A735D"/>
    <w:rsid w:val="000A7C11"/>
    <w:rsid w:val="000B14BE"/>
    <w:rsid w:val="000B2DA5"/>
    <w:rsid w:val="000B393D"/>
    <w:rsid w:val="000B3972"/>
    <w:rsid w:val="000B4008"/>
    <w:rsid w:val="000B4449"/>
    <w:rsid w:val="000B55C0"/>
    <w:rsid w:val="000B7E4D"/>
    <w:rsid w:val="000C08A2"/>
    <w:rsid w:val="000C09B2"/>
    <w:rsid w:val="000C0E12"/>
    <w:rsid w:val="000C1236"/>
    <w:rsid w:val="000C1458"/>
    <w:rsid w:val="000C1672"/>
    <w:rsid w:val="000C414D"/>
    <w:rsid w:val="000C4AFB"/>
    <w:rsid w:val="000C6140"/>
    <w:rsid w:val="000C6576"/>
    <w:rsid w:val="000C6FBB"/>
    <w:rsid w:val="000D0040"/>
    <w:rsid w:val="000D0222"/>
    <w:rsid w:val="000D0377"/>
    <w:rsid w:val="000D0A6E"/>
    <w:rsid w:val="000D0F68"/>
    <w:rsid w:val="000D1B3A"/>
    <w:rsid w:val="000D2B02"/>
    <w:rsid w:val="000D2F9C"/>
    <w:rsid w:val="000D354E"/>
    <w:rsid w:val="000D3673"/>
    <w:rsid w:val="000D3AE7"/>
    <w:rsid w:val="000D3B16"/>
    <w:rsid w:val="000D6F94"/>
    <w:rsid w:val="000E0359"/>
    <w:rsid w:val="000E0EE0"/>
    <w:rsid w:val="000E22EA"/>
    <w:rsid w:val="000E3564"/>
    <w:rsid w:val="000E673A"/>
    <w:rsid w:val="000E6CDA"/>
    <w:rsid w:val="000F0545"/>
    <w:rsid w:val="000F199B"/>
    <w:rsid w:val="000F2D23"/>
    <w:rsid w:val="000F305B"/>
    <w:rsid w:val="000F44DF"/>
    <w:rsid w:val="000F454D"/>
    <w:rsid w:val="000F6058"/>
    <w:rsid w:val="000F605F"/>
    <w:rsid w:val="000F685A"/>
    <w:rsid w:val="000F6945"/>
    <w:rsid w:val="000F74F5"/>
    <w:rsid w:val="000F78FC"/>
    <w:rsid w:val="000F7F44"/>
    <w:rsid w:val="001009B3"/>
    <w:rsid w:val="00100BAE"/>
    <w:rsid w:val="00100BF6"/>
    <w:rsid w:val="00102043"/>
    <w:rsid w:val="001021D7"/>
    <w:rsid w:val="00102A2F"/>
    <w:rsid w:val="001047EC"/>
    <w:rsid w:val="00104982"/>
    <w:rsid w:val="00105372"/>
    <w:rsid w:val="001054A6"/>
    <w:rsid w:val="0010653B"/>
    <w:rsid w:val="001078A1"/>
    <w:rsid w:val="00110443"/>
    <w:rsid w:val="00111086"/>
    <w:rsid w:val="00111347"/>
    <w:rsid w:val="0011270D"/>
    <w:rsid w:val="00113596"/>
    <w:rsid w:val="001148CE"/>
    <w:rsid w:val="00114E4B"/>
    <w:rsid w:val="00114E77"/>
    <w:rsid w:val="00116B43"/>
    <w:rsid w:val="00117BA7"/>
    <w:rsid w:val="00117D16"/>
    <w:rsid w:val="00120703"/>
    <w:rsid w:val="00120BB3"/>
    <w:rsid w:val="00122207"/>
    <w:rsid w:val="00125A82"/>
    <w:rsid w:val="00125D00"/>
    <w:rsid w:val="00130085"/>
    <w:rsid w:val="00130A5E"/>
    <w:rsid w:val="00130AB0"/>
    <w:rsid w:val="001311DA"/>
    <w:rsid w:val="001312AD"/>
    <w:rsid w:val="00131E7A"/>
    <w:rsid w:val="00132A7D"/>
    <w:rsid w:val="00132FC4"/>
    <w:rsid w:val="00134846"/>
    <w:rsid w:val="001356AB"/>
    <w:rsid w:val="00135893"/>
    <w:rsid w:val="001362C2"/>
    <w:rsid w:val="0013640D"/>
    <w:rsid w:val="001372EE"/>
    <w:rsid w:val="00137B7F"/>
    <w:rsid w:val="00140CB2"/>
    <w:rsid w:val="00141AD7"/>
    <w:rsid w:val="00141DA0"/>
    <w:rsid w:val="00142F47"/>
    <w:rsid w:val="001435CB"/>
    <w:rsid w:val="001458DC"/>
    <w:rsid w:val="00146100"/>
    <w:rsid w:val="001468E4"/>
    <w:rsid w:val="00146E17"/>
    <w:rsid w:val="00146E6A"/>
    <w:rsid w:val="00150B94"/>
    <w:rsid w:val="00151856"/>
    <w:rsid w:val="001538F6"/>
    <w:rsid w:val="00154090"/>
    <w:rsid w:val="001542D0"/>
    <w:rsid w:val="001556EA"/>
    <w:rsid w:val="00157C65"/>
    <w:rsid w:val="00160521"/>
    <w:rsid w:val="0016155A"/>
    <w:rsid w:val="001618BA"/>
    <w:rsid w:val="00161B75"/>
    <w:rsid w:val="00163791"/>
    <w:rsid w:val="0016410B"/>
    <w:rsid w:val="0016429D"/>
    <w:rsid w:val="001643E1"/>
    <w:rsid w:val="00164A45"/>
    <w:rsid w:val="00164D72"/>
    <w:rsid w:val="00165576"/>
    <w:rsid w:val="00166A81"/>
    <w:rsid w:val="00167DCA"/>
    <w:rsid w:val="00171655"/>
    <w:rsid w:val="00172AF6"/>
    <w:rsid w:val="001733D8"/>
    <w:rsid w:val="00174CBE"/>
    <w:rsid w:val="00175FD8"/>
    <w:rsid w:val="001764E6"/>
    <w:rsid w:val="00176CEE"/>
    <w:rsid w:val="001777D6"/>
    <w:rsid w:val="00177E0C"/>
    <w:rsid w:val="00180ADB"/>
    <w:rsid w:val="00181B06"/>
    <w:rsid w:val="001827B3"/>
    <w:rsid w:val="00183246"/>
    <w:rsid w:val="00185641"/>
    <w:rsid w:val="00185A12"/>
    <w:rsid w:val="00185B96"/>
    <w:rsid w:val="00186010"/>
    <w:rsid w:val="00186BCB"/>
    <w:rsid w:val="00186C02"/>
    <w:rsid w:val="00186DD8"/>
    <w:rsid w:val="001870FD"/>
    <w:rsid w:val="00190D53"/>
    <w:rsid w:val="00191204"/>
    <w:rsid w:val="00192D06"/>
    <w:rsid w:val="0019614A"/>
    <w:rsid w:val="00196314"/>
    <w:rsid w:val="00196CF1"/>
    <w:rsid w:val="00197D36"/>
    <w:rsid w:val="00197E02"/>
    <w:rsid w:val="001A0163"/>
    <w:rsid w:val="001A101A"/>
    <w:rsid w:val="001A211C"/>
    <w:rsid w:val="001A2BB9"/>
    <w:rsid w:val="001A312C"/>
    <w:rsid w:val="001A35EC"/>
    <w:rsid w:val="001A493D"/>
    <w:rsid w:val="001A690B"/>
    <w:rsid w:val="001A7EA9"/>
    <w:rsid w:val="001B03A8"/>
    <w:rsid w:val="001B13FE"/>
    <w:rsid w:val="001B14ED"/>
    <w:rsid w:val="001B2F04"/>
    <w:rsid w:val="001B3A0F"/>
    <w:rsid w:val="001B533A"/>
    <w:rsid w:val="001B6033"/>
    <w:rsid w:val="001B680C"/>
    <w:rsid w:val="001B6C18"/>
    <w:rsid w:val="001B7F64"/>
    <w:rsid w:val="001C0EC9"/>
    <w:rsid w:val="001C27E5"/>
    <w:rsid w:val="001C353E"/>
    <w:rsid w:val="001C3699"/>
    <w:rsid w:val="001C5607"/>
    <w:rsid w:val="001C5804"/>
    <w:rsid w:val="001C6BAE"/>
    <w:rsid w:val="001C6FAB"/>
    <w:rsid w:val="001D1F7F"/>
    <w:rsid w:val="001D2966"/>
    <w:rsid w:val="001D2FA5"/>
    <w:rsid w:val="001D3281"/>
    <w:rsid w:val="001D3765"/>
    <w:rsid w:val="001D400B"/>
    <w:rsid w:val="001D4C94"/>
    <w:rsid w:val="001D5C03"/>
    <w:rsid w:val="001D6321"/>
    <w:rsid w:val="001D74F3"/>
    <w:rsid w:val="001D770D"/>
    <w:rsid w:val="001D7842"/>
    <w:rsid w:val="001D7FA2"/>
    <w:rsid w:val="001E1088"/>
    <w:rsid w:val="001E19F0"/>
    <w:rsid w:val="001E6CD8"/>
    <w:rsid w:val="001E6F94"/>
    <w:rsid w:val="001E78FA"/>
    <w:rsid w:val="001E7FEB"/>
    <w:rsid w:val="001F019E"/>
    <w:rsid w:val="001F2614"/>
    <w:rsid w:val="001F3954"/>
    <w:rsid w:val="001F6FA0"/>
    <w:rsid w:val="001F7F65"/>
    <w:rsid w:val="00202201"/>
    <w:rsid w:val="0020225C"/>
    <w:rsid w:val="00202936"/>
    <w:rsid w:val="002043D0"/>
    <w:rsid w:val="00205F91"/>
    <w:rsid w:val="002103D9"/>
    <w:rsid w:val="00211015"/>
    <w:rsid w:val="002120C5"/>
    <w:rsid w:val="00212280"/>
    <w:rsid w:val="002143E4"/>
    <w:rsid w:val="00214461"/>
    <w:rsid w:val="00215B3F"/>
    <w:rsid w:val="00216C0F"/>
    <w:rsid w:val="0022230E"/>
    <w:rsid w:val="00222647"/>
    <w:rsid w:val="0022300A"/>
    <w:rsid w:val="002239CF"/>
    <w:rsid w:val="002255C0"/>
    <w:rsid w:val="00225D6E"/>
    <w:rsid w:val="0022699F"/>
    <w:rsid w:val="00227BC8"/>
    <w:rsid w:val="0023056A"/>
    <w:rsid w:val="00230E5B"/>
    <w:rsid w:val="00231EA1"/>
    <w:rsid w:val="00232B4A"/>
    <w:rsid w:val="0023492C"/>
    <w:rsid w:val="00235C06"/>
    <w:rsid w:val="002400E1"/>
    <w:rsid w:val="0024086D"/>
    <w:rsid w:val="002409F5"/>
    <w:rsid w:val="00241A57"/>
    <w:rsid w:val="002436EE"/>
    <w:rsid w:val="00243CDA"/>
    <w:rsid w:val="00243D20"/>
    <w:rsid w:val="00244112"/>
    <w:rsid w:val="002447EA"/>
    <w:rsid w:val="00245A85"/>
    <w:rsid w:val="0024605D"/>
    <w:rsid w:val="0025022D"/>
    <w:rsid w:val="00251109"/>
    <w:rsid w:val="00251B4B"/>
    <w:rsid w:val="002520BC"/>
    <w:rsid w:val="00253098"/>
    <w:rsid w:val="00254567"/>
    <w:rsid w:val="00254EB5"/>
    <w:rsid w:val="0025501A"/>
    <w:rsid w:val="00255F96"/>
    <w:rsid w:val="00257B5F"/>
    <w:rsid w:val="00257EAB"/>
    <w:rsid w:val="00261F92"/>
    <w:rsid w:val="00262895"/>
    <w:rsid w:val="002628A9"/>
    <w:rsid w:val="002628CE"/>
    <w:rsid w:val="00264861"/>
    <w:rsid w:val="00264A22"/>
    <w:rsid w:val="00264CDF"/>
    <w:rsid w:val="002652A3"/>
    <w:rsid w:val="00266100"/>
    <w:rsid w:val="00266EBF"/>
    <w:rsid w:val="0026751F"/>
    <w:rsid w:val="00270A47"/>
    <w:rsid w:val="002710B5"/>
    <w:rsid w:val="0027201E"/>
    <w:rsid w:val="00272702"/>
    <w:rsid w:val="00272921"/>
    <w:rsid w:val="00272A0C"/>
    <w:rsid w:val="00272BAC"/>
    <w:rsid w:val="002736B3"/>
    <w:rsid w:val="002739EF"/>
    <w:rsid w:val="002749A9"/>
    <w:rsid w:val="00277419"/>
    <w:rsid w:val="002774E6"/>
    <w:rsid w:val="00277B46"/>
    <w:rsid w:val="00277ECB"/>
    <w:rsid w:val="002813F9"/>
    <w:rsid w:val="002816B2"/>
    <w:rsid w:val="00284F1A"/>
    <w:rsid w:val="00285B39"/>
    <w:rsid w:val="002870DF"/>
    <w:rsid w:val="00290E89"/>
    <w:rsid w:val="00292146"/>
    <w:rsid w:val="0029268A"/>
    <w:rsid w:val="00292BEF"/>
    <w:rsid w:val="00295ABC"/>
    <w:rsid w:val="00295BFC"/>
    <w:rsid w:val="00295CBF"/>
    <w:rsid w:val="00296999"/>
    <w:rsid w:val="00296FDD"/>
    <w:rsid w:val="00297028"/>
    <w:rsid w:val="002A17E2"/>
    <w:rsid w:val="002A31A1"/>
    <w:rsid w:val="002A3EF2"/>
    <w:rsid w:val="002A5205"/>
    <w:rsid w:val="002A7414"/>
    <w:rsid w:val="002A7E7B"/>
    <w:rsid w:val="002B1B00"/>
    <w:rsid w:val="002B1E13"/>
    <w:rsid w:val="002B28AF"/>
    <w:rsid w:val="002B47CE"/>
    <w:rsid w:val="002B48F3"/>
    <w:rsid w:val="002B4C2F"/>
    <w:rsid w:val="002B50A4"/>
    <w:rsid w:val="002B5559"/>
    <w:rsid w:val="002B6DD9"/>
    <w:rsid w:val="002C0464"/>
    <w:rsid w:val="002C2A06"/>
    <w:rsid w:val="002C2CD2"/>
    <w:rsid w:val="002C484D"/>
    <w:rsid w:val="002C5C57"/>
    <w:rsid w:val="002C7988"/>
    <w:rsid w:val="002C7DFE"/>
    <w:rsid w:val="002D07B3"/>
    <w:rsid w:val="002D20E8"/>
    <w:rsid w:val="002D261E"/>
    <w:rsid w:val="002D2C1E"/>
    <w:rsid w:val="002D48EF"/>
    <w:rsid w:val="002D61E0"/>
    <w:rsid w:val="002E13D6"/>
    <w:rsid w:val="002E4BD7"/>
    <w:rsid w:val="002E4D33"/>
    <w:rsid w:val="002E53DD"/>
    <w:rsid w:val="002E60DD"/>
    <w:rsid w:val="002E6E04"/>
    <w:rsid w:val="002F025E"/>
    <w:rsid w:val="002F0AB7"/>
    <w:rsid w:val="002F2B81"/>
    <w:rsid w:val="002F316E"/>
    <w:rsid w:val="002F4138"/>
    <w:rsid w:val="002F4455"/>
    <w:rsid w:val="002F550F"/>
    <w:rsid w:val="002F6887"/>
    <w:rsid w:val="002F7D36"/>
    <w:rsid w:val="0030007C"/>
    <w:rsid w:val="00300379"/>
    <w:rsid w:val="003008FE"/>
    <w:rsid w:val="0030169D"/>
    <w:rsid w:val="00302361"/>
    <w:rsid w:val="003023A5"/>
    <w:rsid w:val="00302518"/>
    <w:rsid w:val="003035A0"/>
    <w:rsid w:val="00304E7C"/>
    <w:rsid w:val="00305561"/>
    <w:rsid w:val="003060EB"/>
    <w:rsid w:val="003074C9"/>
    <w:rsid w:val="00307D5C"/>
    <w:rsid w:val="003107FF"/>
    <w:rsid w:val="00310F1E"/>
    <w:rsid w:val="0031232E"/>
    <w:rsid w:val="00313537"/>
    <w:rsid w:val="003135E8"/>
    <w:rsid w:val="00314CA7"/>
    <w:rsid w:val="003153EB"/>
    <w:rsid w:val="003162D9"/>
    <w:rsid w:val="00317A09"/>
    <w:rsid w:val="003210C2"/>
    <w:rsid w:val="00321985"/>
    <w:rsid w:val="00322B40"/>
    <w:rsid w:val="00323366"/>
    <w:rsid w:val="00323A0E"/>
    <w:rsid w:val="00323F26"/>
    <w:rsid w:val="00324078"/>
    <w:rsid w:val="00325D2B"/>
    <w:rsid w:val="00330700"/>
    <w:rsid w:val="00330D19"/>
    <w:rsid w:val="003318DD"/>
    <w:rsid w:val="00334081"/>
    <w:rsid w:val="0033412E"/>
    <w:rsid w:val="003349D2"/>
    <w:rsid w:val="00335E73"/>
    <w:rsid w:val="0033665E"/>
    <w:rsid w:val="00336958"/>
    <w:rsid w:val="00337558"/>
    <w:rsid w:val="00346AA2"/>
    <w:rsid w:val="003508B2"/>
    <w:rsid w:val="003510EF"/>
    <w:rsid w:val="00351205"/>
    <w:rsid w:val="0035311B"/>
    <w:rsid w:val="00355B87"/>
    <w:rsid w:val="003562AC"/>
    <w:rsid w:val="00356630"/>
    <w:rsid w:val="003566B3"/>
    <w:rsid w:val="0035711A"/>
    <w:rsid w:val="00357D3E"/>
    <w:rsid w:val="003604D7"/>
    <w:rsid w:val="00360B10"/>
    <w:rsid w:val="00361133"/>
    <w:rsid w:val="003611B8"/>
    <w:rsid w:val="00361D55"/>
    <w:rsid w:val="003629CD"/>
    <w:rsid w:val="00362BCE"/>
    <w:rsid w:val="00363AB0"/>
    <w:rsid w:val="00363D81"/>
    <w:rsid w:val="00364305"/>
    <w:rsid w:val="003644CE"/>
    <w:rsid w:val="0037074D"/>
    <w:rsid w:val="00372E2E"/>
    <w:rsid w:val="00372F74"/>
    <w:rsid w:val="00373BDF"/>
    <w:rsid w:val="00373E6F"/>
    <w:rsid w:val="00373E70"/>
    <w:rsid w:val="00373EE9"/>
    <w:rsid w:val="0037512F"/>
    <w:rsid w:val="00375348"/>
    <w:rsid w:val="00375867"/>
    <w:rsid w:val="003807A0"/>
    <w:rsid w:val="003826AE"/>
    <w:rsid w:val="00382910"/>
    <w:rsid w:val="00383101"/>
    <w:rsid w:val="00383D57"/>
    <w:rsid w:val="00384191"/>
    <w:rsid w:val="00384334"/>
    <w:rsid w:val="00385513"/>
    <w:rsid w:val="003862AE"/>
    <w:rsid w:val="00386C66"/>
    <w:rsid w:val="00386CC8"/>
    <w:rsid w:val="00387871"/>
    <w:rsid w:val="00391529"/>
    <w:rsid w:val="003918F9"/>
    <w:rsid w:val="00391956"/>
    <w:rsid w:val="0039316F"/>
    <w:rsid w:val="00394550"/>
    <w:rsid w:val="0039464A"/>
    <w:rsid w:val="00394652"/>
    <w:rsid w:val="003947B5"/>
    <w:rsid w:val="003950DB"/>
    <w:rsid w:val="00396A58"/>
    <w:rsid w:val="00396DA1"/>
    <w:rsid w:val="00397D4D"/>
    <w:rsid w:val="00397E70"/>
    <w:rsid w:val="003A02CE"/>
    <w:rsid w:val="003A1F5E"/>
    <w:rsid w:val="003A2BD4"/>
    <w:rsid w:val="003A40D0"/>
    <w:rsid w:val="003A41E1"/>
    <w:rsid w:val="003A4AA5"/>
    <w:rsid w:val="003A50FC"/>
    <w:rsid w:val="003A5654"/>
    <w:rsid w:val="003A573A"/>
    <w:rsid w:val="003B03DA"/>
    <w:rsid w:val="003B0C4C"/>
    <w:rsid w:val="003B1CB5"/>
    <w:rsid w:val="003B28ED"/>
    <w:rsid w:val="003B3F6F"/>
    <w:rsid w:val="003B46FC"/>
    <w:rsid w:val="003B5F10"/>
    <w:rsid w:val="003B798C"/>
    <w:rsid w:val="003C1AF4"/>
    <w:rsid w:val="003C2F7E"/>
    <w:rsid w:val="003C3251"/>
    <w:rsid w:val="003C3E18"/>
    <w:rsid w:val="003C52A2"/>
    <w:rsid w:val="003C58DC"/>
    <w:rsid w:val="003C616B"/>
    <w:rsid w:val="003C6966"/>
    <w:rsid w:val="003C7689"/>
    <w:rsid w:val="003C7B14"/>
    <w:rsid w:val="003D0A79"/>
    <w:rsid w:val="003D302D"/>
    <w:rsid w:val="003D3460"/>
    <w:rsid w:val="003D34D7"/>
    <w:rsid w:val="003D3A36"/>
    <w:rsid w:val="003D40E2"/>
    <w:rsid w:val="003D7CB3"/>
    <w:rsid w:val="003E1CD9"/>
    <w:rsid w:val="003E2B0E"/>
    <w:rsid w:val="003E31E6"/>
    <w:rsid w:val="003E39DA"/>
    <w:rsid w:val="003E3CB1"/>
    <w:rsid w:val="003E42D9"/>
    <w:rsid w:val="003E5E8C"/>
    <w:rsid w:val="003E5F5D"/>
    <w:rsid w:val="003E648E"/>
    <w:rsid w:val="003E6BBD"/>
    <w:rsid w:val="003F039B"/>
    <w:rsid w:val="003F2135"/>
    <w:rsid w:val="003F2ECC"/>
    <w:rsid w:val="003F321A"/>
    <w:rsid w:val="003F3E23"/>
    <w:rsid w:val="003F4525"/>
    <w:rsid w:val="003F49BA"/>
    <w:rsid w:val="003F4E72"/>
    <w:rsid w:val="003F57DC"/>
    <w:rsid w:val="003F6A68"/>
    <w:rsid w:val="003F70F0"/>
    <w:rsid w:val="003F7224"/>
    <w:rsid w:val="004016B7"/>
    <w:rsid w:val="00401F00"/>
    <w:rsid w:val="00402595"/>
    <w:rsid w:val="004034E0"/>
    <w:rsid w:val="00403F60"/>
    <w:rsid w:val="0040581B"/>
    <w:rsid w:val="00406C85"/>
    <w:rsid w:val="004102F8"/>
    <w:rsid w:val="004126B8"/>
    <w:rsid w:val="0041349F"/>
    <w:rsid w:val="00415BD0"/>
    <w:rsid w:val="0041703E"/>
    <w:rsid w:val="00417309"/>
    <w:rsid w:val="00417545"/>
    <w:rsid w:val="00417C67"/>
    <w:rsid w:val="00421B8F"/>
    <w:rsid w:val="00423397"/>
    <w:rsid w:val="004240EE"/>
    <w:rsid w:val="00424EFC"/>
    <w:rsid w:val="00424FA5"/>
    <w:rsid w:val="00427298"/>
    <w:rsid w:val="0042797A"/>
    <w:rsid w:val="00427D21"/>
    <w:rsid w:val="004301C9"/>
    <w:rsid w:val="004321FC"/>
    <w:rsid w:val="004326BB"/>
    <w:rsid w:val="0043272B"/>
    <w:rsid w:val="004330EE"/>
    <w:rsid w:val="00433ECC"/>
    <w:rsid w:val="00435C4F"/>
    <w:rsid w:val="00440A66"/>
    <w:rsid w:val="00443109"/>
    <w:rsid w:val="004431DC"/>
    <w:rsid w:val="00443256"/>
    <w:rsid w:val="004438A2"/>
    <w:rsid w:val="0044543F"/>
    <w:rsid w:val="00445B72"/>
    <w:rsid w:val="004476A5"/>
    <w:rsid w:val="00447790"/>
    <w:rsid w:val="00447EA1"/>
    <w:rsid w:val="00447EE2"/>
    <w:rsid w:val="00447F4A"/>
    <w:rsid w:val="00450EC7"/>
    <w:rsid w:val="00451A23"/>
    <w:rsid w:val="00451BBF"/>
    <w:rsid w:val="004524D7"/>
    <w:rsid w:val="00453606"/>
    <w:rsid w:val="0045636C"/>
    <w:rsid w:val="00456C32"/>
    <w:rsid w:val="00456F67"/>
    <w:rsid w:val="004577B1"/>
    <w:rsid w:val="00457C8D"/>
    <w:rsid w:val="00457E4B"/>
    <w:rsid w:val="004601A2"/>
    <w:rsid w:val="004603C7"/>
    <w:rsid w:val="00460951"/>
    <w:rsid w:val="00460C0D"/>
    <w:rsid w:val="00461C38"/>
    <w:rsid w:val="00463F29"/>
    <w:rsid w:val="004644C2"/>
    <w:rsid w:val="00464DD3"/>
    <w:rsid w:val="00465BB5"/>
    <w:rsid w:val="004660A7"/>
    <w:rsid w:val="00467006"/>
    <w:rsid w:val="00467F9C"/>
    <w:rsid w:val="0047063D"/>
    <w:rsid w:val="0047321D"/>
    <w:rsid w:val="00473FAD"/>
    <w:rsid w:val="00474639"/>
    <w:rsid w:val="00474EC1"/>
    <w:rsid w:val="0047674F"/>
    <w:rsid w:val="004802A4"/>
    <w:rsid w:val="004809B6"/>
    <w:rsid w:val="004813E2"/>
    <w:rsid w:val="00481CC4"/>
    <w:rsid w:val="00483532"/>
    <w:rsid w:val="00483DC8"/>
    <w:rsid w:val="00486034"/>
    <w:rsid w:val="00486C3E"/>
    <w:rsid w:val="0048713E"/>
    <w:rsid w:val="0048776D"/>
    <w:rsid w:val="00487ABA"/>
    <w:rsid w:val="00490FF5"/>
    <w:rsid w:val="004920F2"/>
    <w:rsid w:val="00492EA1"/>
    <w:rsid w:val="00492F4F"/>
    <w:rsid w:val="00495855"/>
    <w:rsid w:val="00496271"/>
    <w:rsid w:val="004962BB"/>
    <w:rsid w:val="00497421"/>
    <w:rsid w:val="00497F21"/>
    <w:rsid w:val="004A02B0"/>
    <w:rsid w:val="004A078E"/>
    <w:rsid w:val="004A0C18"/>
    <w:rsid w:val="004A1990"/>
    <w:rsid w:val="004A30EE"/>
    <w:rsid w:val="004A5A17"/>
    <w:rsid w:val="004A7776"/>
    <w:rsid w:val="004A79C4"/>
    <w:rsid w:val="004B0204"/>
    <w:rsid w:val="004B04FC"/>
    <w:rsid w:val="004B0707"/>
    <w:rsid w:val="004B0B84"/>
    <w:rsid w:val="004B2562"/>
    <w:rsid w:val="004B33A5"/>
    <w:rsid w:val="004B40AC"/>
    <w:rsid w:val="004B4611"/>
    <w:rsid w:val="004B5100"/>
    <w:rsid w:val="004B5894"/>
    <w:rsid w:val="004C07F4"/>
    <w:rsid w:val="004C0F7F"/>
    <w:rsid w:val="004C1217"/>
    <w:rsid w:val="004C3CAC"/>
    <w:rsid w:val="004C4DF3"/>
    <w:rsid w:val="004C5CA2"/>
    <w:rsid w:val="004C74D9"/>
    <w:rsid w:val="004C7B49"/>
    <w:rsid w:val="004C7C5C"/>
    <w:rsid w:val="004D07B9"/>
    <w:rsid w:val="004D0850"/>
    <w:rsid w:val="004D169B"/>
    <w:rsid w:val="004D2796"/>
    <w:rsid w:val="004D3B89"/>
    <w:rsid w:val="004D4A98"/>
    <w:rsid w:val="004D4D1A"/>
    <w:rsid w:val="004E084A"/>
    <w:rsid w:val="004E0D3A"/>
    <w:rsid w:val="004E1386"/>
    <w:rsid w:val="004E1D58"/>
    <w:rsid w:val="004E1D9D"/>
    <w:rsid w:val="004E40DF"/>
    <w:rsid w:val="004E7A3E"/>
    <w:rsid w:val="004E7E6E"/>
    <w:rsid w:val="004F0817"/>
    <w:rsid w:val="004F086E"/>
    <w:rsid w:val="004F0970"/>
    <w:rsid w:val="004F14E3"/>
    <w:rsid w:val="004F1AE4"/>
    <w:rsid w:val="004F483F"/>
    <w:rsid w:val="004F4F65"/>
    <w:rsid w:val="004F5501"/>
    <w:rsid w:val="004F6606"/>
    <w:rsid w:val="004F7474"/>
    <w:rsid w:val="005004EF"/>
    <w:rsid w:val="005006CC"/>
    <w:rsid w:val="00500A31"/>
    <w:rsid w:val="00501E4C"/>
    <w:rsid w:val="00502278"/>
    <w:rsid w:val="005024DC"/>
    <w:rsid w:val="00502565"/>
    <w:rsid w:val="00502B1C"/>
    <w:rsid w:val="00504660"/>
    <w:rsid w:val="005049F3"/>
    <w:rsid w:val="00505A0B"/>
    <w:rsid w:val="00505C91"/>
    <w:rsid w:val="00506ECC"/>
    <w:rsid w:val="005077F2"/>
    <w:rsid w:val="0051006C"/>
    <w:rsid w:val="00510362"/>
    <w:rsid w:val="00510C65"/>
    <w:rsid w:val="005114D1"/>
    <w:rsid w:val="0051205F"/>
    <w:rsid w:val="00513560"/>
    <w:rsid w:val="00514153"/>
    <w:rsid w:val="00514F69"/>
    <w:rsid w:val="005153C1"/>
    <w:rsid w:val="00515939"/>
    <w:rsid w:val="00516D82"/>
    <w:rsid w:val="0051769B"/>
    <w:rsid w:val="00520A90"/>
    <w:rsid w:val="00522613"/>
    <w:rsid w:val="005226FC"/>
    <w:rsid w:val="005230B8"/>
    <w:rsid w:val="005240FD"/>
    <w:rsid w:val="00524C52"/>
    <w:rsid w:val="00525590"/>
    <w:rsid w:val="00525961"/>
    <w:rsid w:val="00525D9D"/>
    <w:rsid w:val="00526F1A"/>
    <w:rsid w:val="005275DB"/>
    <w:rsid w:val="00531042"/>
    <w:rsid w:val="005314A1"/>
    <w:rsid w:val="00532DD0"/>
    <w:rsid w:val="00532FC2"/>
    <w:rsid w:val="00533804"/>
    <w:rsid w:val="00534681"/>
    <w:rsid w:val="00536EFA"/>
    <w:rsid w:val="00537AA4"/>
    <w:rsid w:val="0054070C"/>
    <w:rsid w:val="00541C60"/>
    <w:rsid w:val="005424DC"/>
    <w:rsid w:val="005441C5"/>
    <w:rsid w:val="0054564C"/>
    <w:rsid w:val="005462E9"/>
    <w:rsid w:val="005479A5"/>
    <w:rsid w:val="00550536"/>
    <w:rsid w:val="00550586"/>
    <w:rsid w:val="005511EF"/>
    <w:rsid w:val="00551FBE"/>
    <w:rsid w:val="005524F7"/>
    <w:rsid w:val="00553121"/>
    <w:rsid w:val="00554950"/>
    <w:rsid w:val="005553E8"/>
    <w:rsid w:val="005557C6"/>
    <w:rsid w:val="005575E8"/>
    <w:rsid w:val="00557A26"/>
    <w:rsid w:val="00560529"/>
    <w:rsid w:val="0056068E"/>
    <w:rsid w:val="005607EC"/>
    <w:rsid w:val="00561066"/>
    <w:rsid w:val="00561B69"/>
    <w:rsid w:val="00562AE0"/>
    <w:rsid w:val="0056308D"/>
    <w:rsid w:val="00563442"/>
    <w:rsid w:val="0056349A"/>
    <w:rsid w:val="00563997"/>
    <w:rsid w:val="005640AF"/>
    <w:rsid w:val="00564890"/>
    <w:rsid w:val="00565B42"/>
    <w:rsid w:val="00565FD6"/>
    <w:rsid w:val="00566F1D"/>
    <w:rsid w:val="005673EE"/>
    <w:rsid w:val="00570064"/>
    <w:rsid w:val="005709D1"/>
    <w:rsid w:val="00570B10"/>
    <w:rsid w:val="0057283B"/>
    <w:rsid w:val="00572F6B"/>
    <w:rsid w:val="00575863"/>
    <w:rsid w:val="00575F2F"/>
    <w:rsid w:val="00575F9E"/>
    <w:rsid w:val="0057645E"/>
    <w:rsid w:val="00576F50"/>
    <w:rsid w:val="00577010"/>
    <w:rsid w:val="00577674"/>
    <w:rsid w:val="005803D4"/>
    <w:rsid w:val="00581A48"/>
    <w:rsid w:val="005821B8"/>
    <w:rsid w:val="00582B5C"/>
    <w:rsid w:val="00582CB7"/>
    <w:rsid w:val="0058385D"/>
    <w:rsid w:val="00584EEB"/>
    <w:rsid w:val="00585E10"/>
    <w:rsid w:val="00585E21"/>
    <w:rsid w:val="00586254"/>
    <w:rsid w:val="0058752A"/>
    <w:rsid w:val="00587C2A"/>
    <w:rsid w:val="005911A2"/>
    <w:rsid w:val="00591CE7"/>
    <w:rsid w:val="00591E88"/>
    <w:rsid w:val="00591F66"/>
    <w:rsid w:val="00593564"/>
    <w:rsid w:val="00595B31"/>
    <w:rsid w:val="005A0E93"/>
    <w:rsid w:val="005A432E"/>
    <w:rsid w:val="005A4503"/>
    <w:rsid w:val="005A523B"/>
    <w:rsid w:val="005A5259"/>
    <w:rsid w:val="005A69C7"/>
    <w:rsid w:val="005A6E33"/>
    <w:rsid w:val="005B19DD"/>
    <w:rsid w:val="005B2893"/>
    <w:rsid w:val="005B35E2"/>
    <w:rsid w:val="005B3A56"/>
    <w:rsid w:val="005B5071"/>
    <w:rsid w:val="005B53C5"/>
    <w:rsid w:val="005B5C7D"/>
    <w:rsid w:val="005B63E4"/>
    <w:rsid w:val="005B6CED"/>
    <w:rsid w:val="005B7D2C"/>
    <w:rsid w:val="005C0B82"/>
    <w:rsid w:val="005C2012"/>
    <w:rsid w:val="005C2234"/>
    <w:rsid w:val="005C378D"/>
    <w:rsid w:val="005C4CE6"/>
    <w:rsid w:val="005C501E"/>
    <w:rsid w:val="005C5DD2"/>
    <w:rsid w:val="005C7357"/>
    <w:rsid w:val="005C7423"/>
    <w:rsid w:val="005D0CB7"/>
    <w:rsid w:val="005D0E01"/>
    <w:rsid w:val="005D1069"/>
    <w:rsid w:val="005D5543"/>
    <w:rsid w:val="005D69FF"/>
    <w:rsid w:val="005D7BE5"/>
    <w:rsid w:val="005E06AB"/>
    <w:rsid w:val="005E15C1"/>
    <w:rsid w:val="005E168B"/>
    <w:rsid w:val="005E2ACB"/>
    <w:rsid w:val="005E55C0"/>
    <w:rsid w:val="005E65EE"/>
    <w:rsid w:val="005E6840"/>
    <w:rsid w:val="005E6C04"/>
    <w:rsid w:val="005E6EAD"/>
    <w:rsid w:val="005E77BC"/>
    <w:rsid w:val="005F0A3E"/>
    <w:rsid w:val="005F0C99"/>
    <w:rsid w:val="005F33EF"/>
    <w:rsid w:val="005F34F4"/>
    <w:rsid w:val="005F4AF4"/>
    <w:rsid w:val="005F62C9"/>
    <w:rsid w:val="005F630B"/>
    <w:rsid w:val="005F6C81"/>
    <w:rsid w:val="00600589"/>
    <w:rsid w:val="00601957"/>
    <w:rsid w:val="00604600"/>
    <w:rsid w:val="0060496B"/>
    <w:rsid w:val="00604B9D"/>
    <w:rsid w:val="006064B9"/>
    <w:rsid w:val="006064FF"/>
    <w:rsid w:val="00606B99"/>
    <w:rsid w:val="00606F62"/>
    <w:rsid w:val="00610078"/>
    <w:rsid w:val="00610C6D"/>
    <w:rsid w:val="00610FCB"/>
    <w:rsid w:val="006119BE"/>
    <w:rsid w:val="00611FAC"/>
    <w:rsid w:val="006122BA"/>
    <w:rsid w:val="006142E7"/>
    <w:rsid w:val="0061439E"/>
    <w:rsid w:val="00615A61"/>
    <w:rsid w:val="00616268"/>
    <w:rsid w:val="00617507"/>
    <w:rsid w:val="00617627"/>
    <w:rsid w:val="0061782C"/>
    <w:rsid w:val="00620F09"/>
    <w:rsid w:val="00621B47"/>
    <w:rsid w:val="006223DF"/>
    <w:rsid w:val="0062294E"/>
    <w:rsid w:val="00622D13"/>
    <w:rsid w:val="00623245"/>
    <w:rsid w:val="0062395F"/>
    <w:rsid w:val="00625100"/>
    <w:rsid w:val="006251CD"/>
    <w:rsid w:val="00626E7D"/>
    <w:rsid w:val="00630B1C"/>
    <w:rsid w:val="00630D50"/>
    <w:rsid w:val="006333FA"/>
    <w:rsid w:val="00633463"/>
    <w:rsid w:val="0063519B"/>
    <w:rsid w:val="00637192"/>
    <w:rsid w:val="006373BF"/>
    <w:rsid w:val="00637458"/>
    <w:rsid w:val="00640CA7"/>
    <w:rsid w:val="006416E0"/>
    <w:rsid w:val="00642A24"/>
    <w:rsid w:val="0064363E"/>
    <w:rsid w:val="00644864"/>
    <w:rsid w:val="006451F9"/>
    <w:rsid w:val="00645727"/>
    <w:rsid w:val="00646C7C"/>
    <w:rsid w:val="006470A9"/>
    <w:rsid w:val="006473FC"/>
    <w:rsid w:val="006476B4"/>
    <w:rsid w:val="006478BF"/>
    <w:rsid w:val="00647AF5"/>
    <w:rsid w:val="006518D1"/>
    <w:rsid w:val="00651956"/>
    <w:rsid w:val="00652DBE"/>
    <w:rsid w:val="0065331C"/>
    <w:rsid w:val="006537EB"/>
    <w:rsid w:val="006548F8"/>
    <w:rsid w:val="00655389"/>
    <w:rsid w:val="0065625E"/>
    <w:rsid w:val="0065770B"/>
    <w:rsid w:val="00660D4F"/>
    <w:rsid w:val="00660E46"/>
    <w:rsid w:val="00661953"/>
    <w:rsid w:val="00662693"/>
    <w:rsid w:val="006639F6"/>
    <w:rsid w:val="00665220"/>
    <w:rsid w:val="00665249"/>
    <w:rsid w:val="00666D23"/>
    <w:rsid w:val="006672A3"/>
    <w:rsid w:val="006678C1"/>
    <w:rsid w:val="006679EA"/>
    <w:rsid w:val="0067047F"/>
    <w:rsid w:val="00670C8A"/>
    <w:rsid w:val="00670FD1"/>
    <w:rsid w:val="0067185A"/>
    <w:rsid w:val="006736EC"/>
    <w:rsid w:val="0067442E"/>
    <w:rsid w:val="006754C6"/>
    <w:rsid w:val="006755CC"/>
    <w:rsid w:val="0067624C"/>
    <w:rsid w:val="00676993"/>
    <w:rsid w:val="00676D1C"/>
    <w:rsid w:val="00680526"/>
    <w:rsid w:val="006807C5"/>
    <w:rsid w:val="0068098D"/>
    <w:rsid w:val="0068215D"/>
    <w:rsid w:val="00682609"/>
    <w:rsid w:val="00684112"/>
    <w:rsid w:val="00685732"/>
    <w:rsid w:val="00686292"/>
    <w:rsid w:val="0068641E"/>
    <w:rsid w:val="0068663C"/>
    <w:rsid w:val="00686AC1"/>
    <w:rsid w:val="00686C72"/>
    <w:rsid w:val="0068799A"/>
    <w:rsid w:val="00687E1B"/>
    <w:rsid w:val="006935EA"/>
    <w:rsid w:val="00693F11"/>
    <w:rsid w:val="00694DF2"/>
    <w:rsid w:val="00695636"/>
    <w:rsid w:val="00696D2E"/>
    <w:rsid w:val="006A0A4C"/>
    <w:rsid w:val="006A55FE"/>
    <w:rsid w:val="006A6098"/>
    <w:rsid w:val="006A73C1"/>
    <w:rsid w:val="006B0613"/>
    <w:rsid w:val="006B0853"/>
    <w:rsid w:val="006B0B39"/>
    <w:rsid w:val="006B0FA5"/>
    <w:rsid w:val="006B103C"/>
    <w:rsid w:val="006B2290"/>
    <w:rsid w:val="006B243A"/>
    <w:rsid w:val="006B2E34"/>
    <w:rsid w:val="006B51D4"/>
    <w:rsid w:val="006B55DB"/>
    <w:rsid w:val="006B58C0"/>
    <w:rsid w:val="006B5DFF"/>
    <w:rsid w:val="006B6A77"/>
    <w:rsid w:val="006C0145"/>
    <w:rsid w:val="006C369E"/>
    <w:rsid w:val="006C36C9"/>
    <w:rsid w:val="006C3A56"/>
    <w:rsid w:val="006C3AAF"/>
    <w:rsid w:val="006C4C67"/>
    <w:rsid w:val="006C5F4D"/>
    <w:rsid w:val="006C61B8"/>
    <w:rsid w:val="006C6DD6"/>
    <w:rsid w:val="006D0FFC"/>
    <w:rsid w:val="006D2748"/>
    <w:rsid w:val="006D2CFE"/>
    <w:rsid w:val="006D3DA3"/>
    <w:rsid w:val="006D7935"/>
    <w:rsid w:val="006E0A47"/>
    <w:rsid w:val="006E2527"/>
    <w:rsid w:val="006E32B5"/>
    <w:rsid w:val="006E3C8D"/>
    <w:rsid w:val="006E425F"/>
    <w:rsid w:val="006E52EA"/>
    <w:rsid w:val="006E5BE8"/>
    <w:rsid w:val="006E638B"/>
    <w:rsid w:val="006F0392"/>
    <w:rsid w:val="006F0458"/>
    <w:rsid w:val="006F1AA2"/>
    <w:rsid w:val="006F2373"/>
    <w:rsid w:val="006F2B75"/>
    <w:rsid w:val="006F449F"/>
    <w:rsid w:val="006F4BCD"/>
    <w:rsid w:val="006F5DE1"/>
    <w:rsid w:val="006F67DB"/>
    <w:rsid w:val="006F6AD1"/>
    <w:rsid w:val="006F6E3C"/>
    <w:rsid w:val="006F7D1F"/>
    <w:rsid w:val="007008B9"/>
    <w:rsid w:val="00700DB7"/>
    <w:rsid w:val="00703743"/>
    <w:rsid w:val="00704293"/>
    <w:rsid w:val="00705973"/>
    <w:rsid w:val="00706209"/>
    <w:rsid w:val="0070640A"/>
    <w:rsid w:val="0071218A"/>
    <w:rsid w:val="007147AE"/>
    <w:rsid w:val="007166EB"/>
    <w:rsid w:val="00717D88"/>
    <w:rsid w:val="00717E13"/>
    <w:rsid w:val="0072116D"/>
    <w:rsid w:val="007218D0"/>
    <w:rsid w:val="00721D8C"/>
    <w:rsid w:val="007223B0"/>
    <w:rsid w:val="00723A06"/>
    <w:rsid w:val="007244E6"/>
    <w:rsid w:val="007256ED"/>
    <w:rsid w:val="00725B18"/>
    <w:rsid w:val="00725EE1"/>
    <w:rsid w:val="00726A43"/>
    <w:rsid w:val="00727BD5"/>
    <w:rsid w:val="0073151C"/>
    <w:rsid w:val="007316F2"/>
    <w:rsid w:val="00732527"/>
    <w:rsid w:val="0073261B"/>
    <w:rsid w:val="007329AB"/>
    <w:rsid w:val="00733D3F"/>
    <w:rsid w:val="00733EE3"/>
    <w:rsid w:val="00734DDF"/>
    <w:rsid w:val="00734E1C"/>
    <w:rsid w:val="00735D42"/>
    <w:rsid w:val="00735DFA"/>
    <w:rsid w:val="00736378"/>
    <w:rsid w:val="00736706"/>
    <w:rsid w:val="00736F5E"/>
    <w:rsid w:val="00740ABF"/>
    <w:rsid w:val="00740C6A"/>
    <w:rsid w:val="00742575"/>
    <w:rsid w:val="00742A81"/>
    <w:rsid w:val="00743590"/>
    <w:rsid w:val="007438E0"/>
    <w:rsid w:val="00744578"/>
    <w:rsid w:val="00744F2B"/>
    <w:rsid w:val="0074789C"/>
    <w:rsid w:val="00747E45"/>
    <w:rsid w:val="007505CB"/>
    <w:rsid w:val="00750E69"/>
    <w:rsid w:val="007512E3"/>
    <w:rsid w:val="00752048"/>
    <w:rsid w:val="007525E0"/>
    <w:rsid w:val="007525E4"/>
    <w:rsid w:val="007535FF"/>
    <w:rsid w:val="0075530F"/>
    <w:rsid w:val="00756658"/>
    <w:rsid w:val="00757487"/>
    <w:rsid w:val="007617FE"/>
    <w:rsid w:val="00761E36"/>
    <w:rsid w:val="0076220E"/>
    <w:rsid w:val="00762350"/>
    <w:rsid w:val="00762AE0"/>
    <w:rsid w:val="00762DEB"/>
    <w:rsid w:val="007631FF"/>
    <w:rsid w:val="0076361A"/>
    <w:rsid w:val="0076386E"/>
    <w:rsid w:val="0076398E"/>
    <w:rsid w:val="00766B66"/>
    <w:rsid w:val="00766CCD"/>
    <w:rsid w:val="00771B43"/>
    <w:rsid w:val="00771CFF"/>
    <w:rsid w:val="007722B4"/>
    <w:rsid w:val="00772351"/>
    <w:rsid w:val="0077239A"/>
    <w:rsid w:val="00773566"/>
    <w:rsid w:val="00774764"/>
    <w:rsid w:val="00775603"/>
    <w:rsid w:val="00775A21"/>
    <w:rsid w:val="00775B10"/>
    <w:rsid w:val="00776ECD"/>
    <w:rsid w:val="007808B2"/>
    <w:rsid w:val="00780ACE"/>
    <w:rsid w:val="00781598"/>
    <w:rsid w:val="007815F6"/>
    <w:rsid w:val="00782143"/>
    <w:rsid w:val="00783FE5"/>
    <w:rsid w:val="00784D29"/>
    <w:rsid w:val="00785334"/>
    <w:rsid w:val="00785652"/>
    <w:rsid w:val="00785F5B"/>
    <w:rsid w:val="00786056"/>
    <w:rsid w:val="00787761"/>
    <w:rsid w:val="0079035A"/>
    <w:rsid w:val="0079037A"/>
    <w:rsid w:val="00790DB2"/>
    <w:rsid w:val="00792BD7"/>
    <w:rsid w:val="007932BB"/>
    <w:rsid w:val="00793CA5"/>
    <w:rsid w:val="007942D3"/>
    <w:rsid w:val="007947F9"/>
    <w:rsid w:val="00795B6B"/>
    <w:rsid w:val="00796A3F"/>
    <w:rsid w:val="00796D60"/>
    <w:rsid w:val="007A0AC8"/>
    <w:rsid w:val="007A2650"/>
    <w:rsid w:val="007A3839"/>
    <w:rsid w:val="007A42C6"/>
    <w:rsid w:val="007A59F7"/>
    <w:rsid w:val="007A59FF"/>
    <w:rsid w:val="007A644B"/>
    <w:rsid w:val="007A675E"/>
    <w:rsid w:val="007B0202"/>
    <w:rsid w:val="007B1762"/>
    <w:rsid w:val="007B2099"/>
    <w:rsid w:val="007B3F24"/>
    <w:rsid w:val="007B484B"/>
    <w:rsid w:val="007B5F03"/>
    <w:rsid w:val="007B6B11"/>
    <w:rsid w:val="007B6BA2"/>
    <w:rsid w:val="007B6C09"/>
    <w:rsid w:val="007B721F"/>
    <w:rsid w:val="007B7741"/>
    <w:rsid w:val="007B7742"/>
    <w:rsid w:val="007B7A1A"/>
    <w:rsid w:val="007B7A9A"/>
    <w:rsid w:val="007C02C2"/>
    <w:rsid w:val="007C13A5"/>
    <w:rsid w:val="007C1871"/>
    <w:rsid w:val="007C18FA"/>
    <w:rsid w:val="007C1951"/>
    <w:rsid w:val="007C2925"/>
    <w:rsid w:val="007C4951"/>
    <w:rsid w:val="007C52DB"/>
    <w:rsid w:val="007C5468"/>
    <w:rsid w:val="007C65B3"/>
    <w:rsid w:val="007C70EE"/>
    <w:rsid w:val="007D0808"/>
    <w:rsid w:val="007D0DC2"/>
    <w:rsid w:val="007D1025"/>
    <w:rsid w:val="007D15F4"/>
    <w:rsid w:val="007D2334"/>
    <w:rsid w:val="007D49B3"/>
    <w:rsid w:val="007D4D00"/>
    <w:rsid w:val="007D628B"/>
    <w:rsid w:val="007E09DA"/>
    <w:rsid w:val="007E0B32"/>
    <w:rsid w:val="007E0F8A"/>
    <w:rsid w:val="007E2D55"/>
    <w:rsid w:val="007E3114"/>
    <w:rsid w:val="007E56FA"/>
    <w:rsid w:val="007E5E93"/>
    <w:rsid w:val="007E66B2"/>
    <w:rsid w:val="007E675C"/>
    <w:rsid w:val="007E6A3F"/>
    <w:rsid w:val="007E76F3"/>
    <w:rsid w:val="007E7B3A"/>
    <w:rsid w:val="007F0419"/>
    <w:rsid w:val="007F070F"/>
    <w:rsid w:val="007F2A3F"/>
    <w:rsid w:val="007F2C94"/>
    <w:rsid w:val="007F2CA9"/>
    <w:rsid w:val="007F30A7"/>
    <w:rsid w:val="007F447B"/>
    <w:rsid w:val="007F491A"/>
    <w:rsid w:val="007F5F93"/>
    <w:rsid w:val="007F718D"/>
    <w:rsid w:val="007F77B8"/>
    <w:rsid w:val="0080016D"/>
    <w:rsid w:val="0080100B"/>
    <w:rsid w:val="0080146A"/>
    <w:rsid w:val="008017FE"/>
    <w:rsid w:val="00801FAD"/>
    <w:rsid w:val="00802F1A"/>
    <w:rsid w:val="00804597"/>
    <w:rsid w:val="008064AB"/>
    <w:rsid w:val="00807068"/>
    <w:rsid w:val="00807D37"/>
    <w:rsid w:val="00807EA8"/>
    <w:rsid w:val="008123CD"/>
    <w:rsid w:val="00815E3D"/>
    <w:rsid w:val="008161AB"/>
    <w:rsid w:val="00816DF9"/>
    <w:rsid w:val="008178B6"/>
    <w:rsid w:val="00817C3F"/>
    <w:rsid w:val="008201D7"/>
    <w:rsid w:val="008217EC"/>
    <w:rsid w:val="00822146"/>
    <w:rsid w:val="00823349"/>
    <w:rsid w:val="00823C98"/>
    <w:rsid w:val="00824483"/>
    <w:rsid w:val="00824AE5"/>
    <w:rsid w:val="00826D51"/>
    <w:rsid w:val="00827A5F"/>
    <w:rsid w:val="00827A90"/>
    <w:rsid w:val="00827E62"/>
    <w:rsid w:val="00827F38"/>
    <w:rsid w:val="00830F06"/>
    <w:rsid w:val="00830FB2"/>
    <w:rsid w:val="00830FCF"/>
    <w:rsid w:val="0083234C"/>
    <w:rsid w:val="00832C50"/>
    <w:rsid w:val="0083314C"/>
    <w:rsid w:val="00833776"/>
    <w:rsid w:val="00835996"/>
    <w:rsid w:val="00836498"/>
    <w:rsid w:val="00836BBD"/>
    <w:rsid w:val="00837138"/>
    <w:rsid w:val="0083727D"/>
    <w:rsid w:val="008377A9"/>
    <w:rsid w:val="00840048"/>
    <w:rsid w:val="0084076E"/>
    <w:rsid w:val="00842185"/>
    <w:rsid w:val="00842C5A"/>
    <w:rsid w:val="008431BD"/>
    <w:rsid w:val="00846BDD"/>
    <w:rsid w:val="00847880"/>
    <w:rsid w:val="00850A15"/>
    <w:rsid w:val="00850BE4"/>
    <w:rsid w:val="008517D7"/>
    <w:rsid w:val="00851A44"/>
    <w:rsid w:val="0085273C"/>
    <w:rsid w:val="00853A9E"/>
    <w:rsid w:val="008544E3"/>
    <w:rsid w:val="0085512B"/>
    <w:rsid w:val="00855F8D"/>
    <w:rsid w:val="00857C5D"/>
    <w:rsid w:val="00857CD6"/>
    <w:rsid w:val="00857E26"/>
    <w:rsid w:val="00860ED6"/>
    <w:rsid w:val="00862BE5"/>
    <w:rsid w:val="0086329A"/>
    <w:rsid w:val="0086383D"/>
    <w:rsid w:val="00865B74"/>
    <w:rsid w:val="00866063"/>
    <w:rsid w:val="00866C90"/>
    <w:rsid w:val="00867247"/>
    <w:rsid w:val="00867925"/>
    <w:rsid w:val="00867B1D"/>
    <w:rsid w:val="00870754"/>
    <w:rsid w:val="00870E5F"/>
    <w:rsid w:val="00871FAA"/>
    <w:rsid w:val="00872155"/>
    <w:rsid w:val="008722D7"/>
    <w:rsid w:val="008733CA"/>
    <w:rsid w:val="00875692"/>
    <w:rsid w:val="0087580A"/>
    <w:rsid w:val="008769CC"/>
    <w:rsid w:val="00877E29"/>
    <w:rsid w:val="00880153"/>
    <w:rsid w:val="00880907"/>
    <w:rsid w:val="00880A58"/>
    <w:rsid w:val="00881926"/>
    <w:rsid w:val="00885D12"/>
    <w:rsid w:val="0088665E"/>
    <w:rsid w:val="00886A0E"/>
    <w:rsid w:val="00886A7C"/>
    <w:rsid w:val="00886FF9"/>
    <w:rsid w:val="008871A9"/>
    <w:rsid w:val="008871B6"/>
    <w:rsid w:val="0089045D"/>
    <w:rsid w:val="00894A61"/>
    <w:rsid w:val="00894FF6"/>
    <w:rsid w:val="008952C8"/>
    <w:rsid w:val="00895322"/>
    <w:rsid w:val="008958E1"/>
    <w:rsid w:val="00895FFD"/>
    <w:rsid w:val="00896749"/>
    <w:rsid w:val="008974F0"/>
    <w:rsid w:val="00897549"/>
    <w:rsid w:val="008A0807"/>
    <w:rsid w:val="008A1499"/>
    <w:rsid w:val="008A17DD"/>
    <w:rsid w:val="008A65C4"/>
    <w:rsid w:val="008B012A"/>
    <w:rsid w:val="008B05B1"/>
    <w:rsid w:val="008B0765"/>
    <w:rsid w:val="008B127E"/>
    <w:rsid w:val="008B1372"/>
    <w:rsid w:val="008B266D"/>
    <w:rsid w:val="008B2B4E"/>
    <w:rsid w:val="008B2DBD"/>
    <w:rsid w:val="008B2E9D"/>
    <w:rsid w:val="008B48D0"/>
    <w:rsid w:val="008B4E43"/>
    <w:rsid w:val="008B5FE3"/>
    <w:rsid w:val="008C0A2C"/>
    <w:rsid w:val="008C133E"/>
    <w:rsid w:val="008C1754"/>
    <w:rsid w:val="008C3862"/>
    <w:rsid w:val="008C43EF"/>
    <w:rsid w:val="008C456B"/>
    <w:rsid w:val="008C465F"/>
    <w:rsid w:val="008C4FE0"/>
    <w:rsid w:val="008C566E"/>
    <w:rsid w:val="008C6578"/>
    <w:rsid w:val="008C6FB6"/>
    <w:rsid w:val="008D02AB"/>
    <w:rsid w:val="008D2B96"/>
    <w:rsid w:val="008D2EC1"/>
    <w:rsid w:val="008D37E6"/>
    <w:rsid w:val="008D4725"/>
    <w:rsid w:val="008D5A85"/>
    <w:rsid w:val="008D6DD9"/>
    <w:rsid w:val="008E5691"/>
    <w:rsid w:val="008E56C6"/>
    <w:rsid w:val="008E5F24"/>
    <w:rsid w:val="008E71FA"/>
    <w:rsid w:val="008F126E"/>
    <w:rsid w:val="008F1522"/>
    <w:rsid w:val="008F2075"/>
    <w:rsid w:val="008F30C3"/>
    <w:rsid w:val="008F5B49"/>
    <w:rsid w:val="008F5B54"/>
    <w:rsid w:val="008F6520"/>
    <w:rsid w:val="008F6842"/>
    <w:rsid w:val="008F74DC"/>
    <w:rsid w:val="008F764A"/>
    <w:rsid w:val="008F7F66"/>
    <w:rsid w:val="0090040B"/>
    <w:rsid w:val="009009E5"/>
    <w:rsid w:val="00901589"/>
    <w:rsid w:val="009037CA"/>
    <w:rsid w:val="00903C73"/>
    <w:rsid w:val="00905032"/>
    <w:rsid w:val="0090590C"/>
    <w:rsid w:val="00905D27"/>
    <w:rsid w:val="00906E17"/>
    <w:rsid w:val="0090750C"/>
    <w:rsid w:val="009100F9"/>
    <w:rsid w:val="0091099F"/>
    <w:rsid w:val="00910A01"/>
    <w:rsid w:val="00910D70"/>
    <w:rsid w:val="00910E5B"/>
    <w:rsid w:val="00911626"/>
    <w:rsid w:val="00911C92"/>
    <w:rsid w:val="00914B62"/>
    <w:rsid w:val="00914D7D"/>
    <w:rsid w:val="00915731"/>
    <w:rsid w:val="00915940"/>
    <w:rsid w:val="00915D0F"/>
    <w:rsid w:val="00916CB3"/>
    <w:rsid w:val="0091756B"/>
    <w:rsid w:val="00917971"/>
    <w:rsid w:val="00917DD0"/>
    <w:rsid w:val="00921AC8"/>
    <w:rsid w:val="00921CCC"/>
    <w:rsid w:val="00925876"/>
    <w:rsid w:val="00930393"/>
    <w:rsid w:val="00930BA1"/>
    <w:rsid w:val="0093151F"/>
    <w:rsid w:val="0093169E"/>
    <w:rsid w:val="00931903"/>
    <w:rsid w:val="009324E9"/>
    <w:rsid w:val="00933DCA"/>
    <w:rsid w:val="009358E5"/>
    <w:rsid w:val="00935936"/>
    <w:rsid w:val="00936427"/>
    <w:rsid w:val="00937729"/>
    <w:rsid w:val="00940004"/>
    <w:rsid w:val="0094014F"/>
    <w:rsid w:val="00940261"/>
    <w:rsid w:val="00940FAB"/>
    <w:rsid w:val="00940FF3"/>
    <w:rsid w:val="00941313"/>
    <w:rsid w:val="00943B69"/>
    <w:rsid w:val="0094506B"/>
    <w:rsid w:val="0094586B"/>
    <w:rsid w:val="00945AC3"/>
    <w:rsid w:val="00947347"/>
    <w:rsid w:val="009475F0"/>
    <w:rsid w:val="009476D1"/>
    <w:rsid w:val="00947C90"/>
    <w:rsid w:val="009505C9"/>
    <w:rsid w:val="009505DD"/>
    <w:rsid w:val="00950752"/>
    <w:rsid w:val="00950EE2"/>
    <w:rsid w:val="009520F7"/>
    <w:rsid w:val="00955255"/>
    <w:rsid w:val="00955719"/>
    <w:rsid w:val="00955C17"/>
    <w:rsid w:val="00956F6D"/>
    <w:rsid w:val="00960E36"/>
    <w:rsid w:val="00961005"/>
    <w:rsid w:val="00962F69"/>
    <w:rsid w:val="00962F91"/>
    <w:rsid w:val="00966424"/>
    <w:rsid w:val="0096674C"/>
    <w:rsid w:val="00966913"/>
    <w:rsid w:val="00967357"/>
    <w:rsid w:val="009677EB"/>
    <w:rsid w:val="009705E4"/>
    <w:rsid w:val="00970C04"/>
    <w:rsid w:val="00970DF1"/>
    <w:rsid w:val="00971C15"/>
    <w:rsid w:val="00973B2A"/>
    <w:rsid w:val="0097406D"/>
    <w:rsid w:val="00974FE2"/>
    <w:rsid w:val="009754D6"/>
    <w:rsid w:val="00976AFD"/>
    <w:rsid w:val="00983B7E"/>
    <w:rsid w:val="0098520D"/>
    <w:rsid w:val="00986E7B"/>
    <w:rsid w:val="00992667"/>
    <w:rsid w:val="009926DB"/>
    <w:rsid w:val="00992C3D"/>
    <w:rsid w:val="009934BF"/>
    <w:rsid w:val="00994A5A"/>
    <w:rsid w:val="00995213"/>
    <w:rsid w:val="00995EB3"/>
    <w:rsid w:val="00995FFD"/>
    <w:rsid w:val="009967A9"/>
    <w:rsid w:val="00996B64"/>
    <w:rsid w:val="0099790F"/>
    <w:rsid w:val="009A1466"/>
    <w:rsid w:val="009A1785"/>
    <w:rsid w:val="009A1B81"/>
    <w:rsid w:val="009A2300"/>
    <w:rsid w:val="009A28E5"/>
    <w:rsid w:val="009A2EC1"/>
    <w:rsid w:val="009A3245"/>
    <w:rsid w:val="009A36DD"/>
    <w:rsid w:val="009A5403"/>
    <w:rsid w:val="009A6C15"/>
    <w:rsid w:val="009A6DFF"/>
    <w:rsid w:val="009A7179"/>
    <w:rsid w:val="009A7912"/>
    <w:rsid w:val="009A7AF7"/>
    <w:rsid w:val="009B136C"/>
    <w:rsid w:val="009B194A"/>
    <w:rsid w:val="009B6151"/>
    <w:rsid w:val="009B7DDF"/>
    <w:rsid w:val="009C13B2"/>
    <w:rsid w:val="009C1A4F"/>
    <w:rsid w:val="009C1C66"/>
    <w:rsid w:val="009C2DE6"/>
    <w:rsid w:val="009C55C7"/>
    <w:rsid w:val="009C5D00"/>
    <w:rsid w:val="009C6662"/>
    <w:rsid w:val="009C7283"/>
    <w:rsid w:val="009C77F6"/>
    <w:rsid w:val="009D0AE5"/>
    <w:rsid w:val="009D30C7"/>
    <w:rsid w:val="009D5983"/>
    <w:rsid w:val="009E0A91"/>
    <w:rsid w:val="009E1787"/>
    <w:rsid w:val="009E2736"/>
    <w:rsid w:val="009E287C"/>
    <w:rsid w:val="009E3937"/>
    <w:rsid w:val="009E3E01"/>
    <w:rsid w:val="009E5944"/>
    <w:rsid w:val="009E5988"/>
    <w:rsid w:val="009E5E5B"/>
    <w:rsid w:val="009E68EA"/>
    <w:rsid w:val="009E6AF5"/>
    <w:rsid w:val="009E7756"/>
    <w:rsid w:val="009F0C3A"/>
    <w:rsid w:val="009F14F4"/>
    <w:rsid w:val="009F3208"/>
    <w:rsid w:val="009F47C1"/>
    <w:rsid w:val="009F5BD2"/>
    <w:rsid w:val="009F61B1"/>
    <w:rsid w:val="009F679F"/>
    <w:rsid w:val="009F68F6"/>
    <w:rsid w:val="009F7441"/>
    <w:rsid w:val="009F7CFB"/>
    <w:rsid w:val="00A0240C"/>
    <w:rsid w:val="00A030A9"/>
    <w:rsid w:val="00A03B12"/>
    <w:rsid w:val="00A03BB4"/>
    <w:rsid w:val="00A04564"/>
    <w:rsid w:val="00A04923"/>
    <w:rsid w:val="00A05D53"/>
    <w:rsid w:val="00A064EC"/>
    <w:rsid w:val="00A07AEA"/>
    <w:rsid w:val="00A1079D"/>
    <w:rsid w:val="00A10D39"/>
    <w:rsid w:val="00A10F41"/>
    <w:rsid w:val="00A111D1"/>
    <w:rsid w:val="00A117BC"/>
    <w:rsid w:val="00A13A70"/>
    <w:rsid w:val="00A146BD"/>
    <w:rsid w:val="00A15382"/>
    <w:rsid w:val="00A16083"/>
    <w:rsid w:val="00A167BB"/>
    <w:rsid w:val="00A22914"/>
    <w:rsid w:val="00A237CD"/>
    <w:rsid w:val="00A23812"/>
    <w:rsid w:val="00A2396D"/>
    <w:rsid w:val="00A24818"/>
    <w:rsid w:val="00A303DB"/>
    <w:rsid w:val="00A31646"/>
    <w:rsid w:val="00A31CB2"/>
    <w:rsid w:val="00A31D7F"/>
    <w:rsid w:val="00A329AA"/>
    <w:rsid w:val="00A33B7F"/>
    <w:rsid w:val="00A352BD"/>
    <w:rsid w:val="00A367F0"/>
    <w:rsid w:val="00A367F2"/>
    <w:rsid w:val="00A37A0B"/>
    <w:rsid w:val="00A37C99"/>
    <w:rsid w:val="00A400E6"/>
    <w:rsid w:val="00A41A65"/>
    <w:rsid w:val="00A41B98"/>
    <w:rsid w:val="00A4381F"/>
    <w:rsid w:val="00A45C17"/>
    <w:rsid w:val="00A47183"/>
    <w:rsid w:val="00A474B4"/>
    <w:rsid w:val="00A50AEC"/>
    <w:rsid w:val="00A50D41"/>
    <w:rsid w:val="00A525A9"/>
    <w:rsid w:val="00A52610"/>
    <w:rsid w:val="00A53BDB"/>
    <w:rsid w:val="00A53D2A"/>
    <w:rsid w:val="00A55290"/>
    <w:rsid w:val="00A5657D"/>
    <w:rsid w:val="00A574CF"/>
    <w:rsid w:val="00A61FF6"/>
    <w:rsid w:val="00A621DB"/>
    <w:rsid w:val="00A624F5"/>
    <w:rsid w:val="00A626D3"/>
    <w:rsid w:val="00A63668"/>
    <w:rsid w:val="00A63EA6"/>
    <w:rsid w:val="00A64456"/>
    <w:rsid w:val="00A65518"/>
    <w:rsid w:val="00A700B2"/>
    <w:rsid w:val="00A707E6"/>
    <w:rsid w:val="00A70A30"/>
    <w:rsid w:val="00A72124"/>
    <w:rsid w:val="00A7357A"/>
    <w:rsid w:val="00A741B2"/>
    <w:rsid w:val="00A74F03"/>
    <w:rsid w:val="00A74F15"/>
    <w:rsid w:val="00A7572B"/>
    <w:rsid w:val="00A75AC4"/>
    <w:rsid w:val="00A80475"/>
    <w:rsid w:val="00A81397"/>
    <w:rsid w:val="00A82C04"/>
    <w:rsid w:val="00A8462E"/>
    <w:rsid w:val="00A84709"/>
    <w:rsid w:val="00A847C6"/>
    <w:rsid w:val="00A85565"/>
    <w:rsid w:val="00A8677E"/>
    <w:rsid w:val="00A87153"/>
    <w:rsid w:val="00A9034A"/>
    <w:rsid w:val="00A91368"/>
    <w:rsid w:val="00A914FB"/>
    <w:rsid w:val="00A918D6"/>
    <w:rsid w:val="00A91F51"/>
    <w:rsid w:val="00A91FDB"/>
    <w:rsid w:val="00A91FEE"/>
    <w:rsid w:val="00A92028"/>
    <w:rsid w:val="00A9440C"/>
    <w:rsid w:val="00A9498C"/>
    <w:rsid w:val="00AA0150"/>
    <w:rsid w:val="00AA2C85"/>
    <w:rsid w:val="00AA510D"/>
    <w:rsid w:val="00AA6356"/>
    <w:rsid w:val="00AA6E3C"/>
    <w:rsid w:val="00AA6F92"/>
    <w:rsid w:val="00AB0286"/>
    <w:rsid w:val="00AB1ADE"/>
    <w:rsid w:val="00AB36C6"/>
    <w:rsid w:val="00AB59B5"/>
    <w:rsid w:val="00AB6934"/>
    <w:rsid w:val="00AC1629"/>
    <w:rsid w:val="00AC2044"/>
    <w:rsid w:val="00AC2DB9"/>
    <w:rsid w:val="00AC6B90"/>
    <w:rsid w:val="00AC7B8E"/>
    <w:rsid w:val="00AC7DB0"/>
    <w:rsid w:val="00AD02AF"/>
    <w:rsid w:val="00AD1E51"/>
    <w:rsid w:val="00AD3341"/>
    <w:rsid w:val="00AD3EE1"/>
    <w:rsid w:val="00AD4386"/>
    <w:rsid w:val="00AD4842"/>
    <w:rsid w:val="00AD5011"/>
    <w:rsid w:val="00AD501F"/>
    <w:rsid w:val="00AE06C6"/>
    <w:rsid w:val="00AE1505"/>
    <w:rsid w:val="00AE1662"/>
    <w:rsid w:val="00AE1DDB"/>
    <w:rsid w:val="00AE26DC"/>
    <w:rsid w:val="00AE30A8"/>
    <w:rsid w:val="00AE3520"/>
    <w:rsid w:val="00AE3A6B"/>
    <w:rsid w:val="00AE63AF"/>
    <w:rsid w:val="00AE6F6F"/>
    <w:rsid w:val="00AF0884"/>
    <w:rsid w:val="00AF2375"/>
    <w:rsid w:val="00AF42DE"/>
    <w:rsid w:val="00AF45E2"/>
    <w:rsid w:val="00AF46C9"/>
    <w:rsid w:val="00AF6182"/>
    <w:rsid w:val="00AF68B2"/>
    <w:rsid w:val="00B0158A"/>
    <w:rsid w:val="00B01F89"/>
    <w:rsid w:val="00B0271A"/>
    <w:rsid w:val="00B039C7"/>
    <w:rsid w:val="00B03F4A"/>
    <w:rsid w:val="00B04F08"/>
    <w:rsid w:val="00B056C3"/>
    <w:rsid w:val="00B05904"/>
    <w:rsid w:val="00B06533"/>
    <w:rsid w:val="00B0698F"/>
    <w:rsid w:val="00B06DC6"/>
    <w:rsid w:val="00B113B9"/>
    <w:rsid w:val="00B118AC"/>
    <w:rsid w:val="00B13DD3"/>
    <w:rsid w:val="00B16C33"/>
    <w:rsid w:val="00B21592"/>
    <w:rsid w:val="00B22781"/>
    <w:rsid w:val="00B22CF4"/>
    <w:rsid w:val="00B23255"/>
    <w:rsid w:val="00B23C14"/>
    <w:rsid w:val="00B2521B"/>
    <w:rsid w:val="00B25312"/>
    <w:rsid w:val="00B271E0"/>
    <w:rsid w:val="00B30034"/>
    <w:rsid w:val="00B30A3A"/>
    <w:rsid w:val="00B3369F"/>
    <w:rsid w:val="00B33A25"/>
    <w:rsid w:val="00B34DBC"/>
    <w:rsid w:val="00B34F36"/>
    <w:rsid w:val="00B35777"/>
    <w:rsid w:val="00B35B29"/>
    <w:rsid w:val="00B37D66"/>
    <w:rsid w:val="00B4024E"/>
    <w:rsid w:val="00B4066D"/>
    <w:rsid w:val="00B41337"/>
    <w:rsid w:val="00B41D08"/>
    <w:rsid w:val="00B43F79"/>
    <w:rsid w:val="00B447AF"/>
    <w:rsid w:val="00B47E4B"/>
    <w:rsid w:val="00B504D4"/>
    <w:rsid w:val="00B50FDC"/>
    <w:rsid w:val="00B51152"/>
    <w:rsid w:val="00B51C3D"/>
    <w:rsid w:val="00B53535"/>
    <w:rsid w:val="00B572E2"/>
    <w:rsid w:val="00B6288F"/>
    <w:rsid w:val="00B62FE9"/>
    <w:rsid w:val="00B63300"/>
    <w:rsid w:val="00B63D06"/>
    <w:rsid w:val="00B64193"/>
    <w:rsid w:val="00B653B5"/>
    <w:rsid w:val="00B66D27"/>
    <w:rsid w:val="00B712B1"/>
    <w:rsid w:val="00B74283"/>
    <w:rsid w:val="00B745A8"/>
    <w:rsid w:val="00B746CC"/>
    <w:rsid w:val="00B751C2"/>
    <w:rsid w:val="00B75387"/>
    <w:rsid w:val="00B81C2B"/>
    <w:rsid w:val="00B85B8A"/>
    <w:rsid w:val="00B90149"/>
    <w:rsid w:val="00B90794"/>
    <w:rsid w:val="00B9187E"/>
    <w:rsid w:val="00B919EC"/>
    <w:rsid w:val="00B92B26"/>
    <w:rsid w:val="00B92B6F"/>
    <w:rsid w:val="00B93395"/>
    <w:rsid w:val="00B9390C"/>
    <w:rsid w:val="00B94E6C"/>
    <w:rsid w:val="00B95099"/>
    <w:rsid w:val="00B950AA"/>
    <w:rsid w:val="00B96635"/>
    <w:rsid w:val="00B96ECC"/>
    <w:rsid w:val="00B9705D"/>
    <w:rsid w:val="00B97F9A"/>
    <w:rsid w:val="00BA0B23"/>
    <w:rsid w:val="00BA2E83"/>
    <w:rsid w:val="00BA390C"/>
    <w:rsid w:val="00BA5018"/>
    <w:rsid w:val="00BA5260"/>
    <w:rsid w:val="00BA5B1D"/>
    <w:rsid w:val="00BA6B68"/>
    <w:rsid w:val="00BA6C2F"/>
    <w:rsid w:val="00BA7E76"/>
    <w:rsid w:val="00BA7FD7"/>
    <w:rsid w:val="00BB0E04"/>
    <w:rsid w:val="00BB1D3F"/>
    <w:rsid w:val="00BB1E5A"/>
    <w:rsid w:val="00BB2152"/>
    <w:rsid w:val="00BB4606"/>
    <w:rsid w:val="00BB4994"/>
    <w:rsid w:val="00BB5369"/>
    <w:rsid w:val="00BB7766"/>
    <w:rsid w:val="00BC00BE"/>
    <w:rsid w:val="00BC01E2"/>
    <w:rsid w:val="00BC0842"/>
    <w:rsid w:val="00BC0D3C"/>
    <w:rsid w:val="00BC0D52"/>
    <w:rsid w:val="00BC26E8"/>
    <w:rsid w:val="00BC2D65"/>
    <w:rsid w:val="00BC6886"/>
    <w:rsid w:val="00BD0D64"/>
    <w:rsid w:val="00BD25D3"/>
    <w:rsid w:val="00BD2A1D"/>
    <w:rsid w:val="00BD327E"/>
    <w:rsid w:val="00BD32CA"/>
    <w:rsid w:val="00BD666A"/>
    <w:rsid w:val="00BD7DD6"/>
    <w:rsid w:val="00BE08D4"/>
    <w:rsid w:val="00BE0C6D"/>
    <w:rsid w:val="00BE1D82"/>
    <w:rsid w:val="00BE214C"/>
    <w:rsid w:val="00BE24C4"/>
    <w:rsid w:val="00BE3F28"/>
    <w:rsid w:val="00BE4861"/>
    <w:rsid w:val="00BE4BD9"/>
    <w:rsid w:val="00BE6AF8"/>
    <w:rsid w:val="00BF1264"/>
    <w:rsid w:val="00BF3981"/>
    <w:rsid w:val="00BF401C"/>
    <w:rsid w:val="00BF4213"/>
    <w:rsid w:val="00BF6443"/>
    <w:rsid w:val="00BF6868"/>
    <w:rsid w:val="00BF72D0"/>
    <w:rsid w:val="00BF741A"/>
    <w:rsid w:val="00C01D21"/>
    <w:rsid w:val="00C10ABB"/>
    <w:rsid w:val="00C11649"/>
    <w:rsid w:val="00C14CD3"/>
    <w:rsid w:val="00C16ADB"/>
    <w:rsid w:val="00C176C8"/>
    <w:rsid w:val="00C21886"/>
    <w:rsid w:val="00C22007"/>
    <w:rsid w:val="00C22CBA"/>
    <w:rsid w:val="00C23359"/>
    <w:rsid w:val="00C23778"/>
    <w:rsid w:val="00C23D2F"/>
    <w:rsid w:val="00C254E5"/>
    <w:rsid w:val="00C27243"/>
    <w:rsid w:val="00C27853"/>
    <w:rsid w:val="00C31448"/>
    <w:rsid w:val="00C3362B"/>
    <w:rsid w:val="00C36084"/>
    <w:rsid w:val="00C3680B"/>
    <w:rsid w:val="00C37B68"/>
    <w:rsid w:val="00C37C3C"/>
    <w:rsid w:val="00C422FF"/>
    <w:rsid w:val="00C42922"/>
    <w:rsid w:val="00C443BD"/>
    <w:rsid w:val="00C44964"/>
    <w:rsid w:val="00C451C5"/>
    <w:rsid w:val="00C466B0"/>
    <w:rsid w:val="00C466CA"/>
    <w:rsid w:val="00C47316"/>
    <w:rsid w:val="00C47618"/>
    <w:rsid w:val="00C478BE"/>
    <w:rsid w:val="00C478CF"/>
    <w:rsid w:val="00C4790C"/>
    <w:rsid w:val="00C5337F"/>
    <w:rsid w:val="00C550EE"/>
    <w:rsid w:val="00C56344"/>
    <w:rsid w:val="00C56A40"/>
    <w:rsid w:val="00C56F71"/>
    <w:rsid w:val="00C60CD8"/>
    <w:rsid w:val="00C62728"/>
    <w:rsid w:val="00C64050"/>
    <w:rsid w:val="00C64070"/>
    <w:rsid w:val="00C6498C"/>
    <w:rsid w:val="00C649DA"/>
    <w:rsid w:val="00C65CF8"/>
    <w:rsid w:val="00C65F6A"/>
    <w:rsid w:val="00C6673C"/>
    <w:rsid w:val="00C66AF0"/>
    <w:rsid w:val="00C67541"/>
    <w:rsid w:val="00C6764F"/>
    <w:rsid w:val="00C70B3E"/>
    <w:rsid w:val="00C711BB"/>
    <w:rsid w:val="00C718EC"/>
    <w:rsid w:val="00C71AF1"/>
    <w:rsid w:val="00C745AF"/>
    <w:rsid w:val="00C74629"/>
    <w:rsid w:val="00C74B75"/>
    <w:rsid w:val="00C75B93"/>
    <w:rsid w:val="00C75CD8"/>
    <w:rsid w:val="00C76B1B"/>
    <w:rsid w:val="00C77FA4"/>
    <w:rsid w:val="00C81DC4"/>
    <w:rsid w:val="00C8262D"/>
    <w:rsid w:val="00C8274D"/>
    <w:rsid w:val="00C83FE6"/>
    <w:rsid w:val="00C843EE"/>
    <w:rsid w:val="00C84D60"/>
    <w:rsid w:val="00C850E6"/>
    <w:rsid w:val="00C85936"/>
    <w:rsid w:val="00C87CDD"/>
    <w:rsid w:val="00C87E41"/>
    <w:rsid w:val="00C9034E"/>
    <w:rsid w:val="00C903D6"/>
    <w:rsid w:val="00C909BB"/>
    <w:rsid w:val="00C9161D"/>
    <w:rsid w:val="00C91AE8"/>
    <w:rsid w:val="00C91C4B"/>
    <w:rsid w:val="00C92B0D"/>
    <w:rsid w:val="00C92E85"/>
    <w:rsid w:val="00C93CDC"/>
    <w:rsid w:val="00C950FD"/>
    <w:rsid w:val="00C952E5"/>
    <w:rsid w:val="00C957DD"/>
    <w:rsid w:val="00C96BC0"/>
    <w:rsid w:val="00C96C78"/>
    <w:rsid w:val="00C96FEC"/>
    <w:rsid w:val="00C97861"/>
    <w:rsid w:val="00CA0C1D"/>
    <w:rsid w:val="00CA1416"/>
    <w:rsid w:val="00CA1E06"/>
    <w:rsid w:val="00CA26C9"/>
    <w:rsid w:val="00CA33B7"/>
    <w:rsid w:val="00CA3E73"/>
    <w:rsid w:val="00CA4044"/>
    <w:rsid w:val="00CA4DBB"/>
    <w:rsid w:val="00CA5BFA"/>
    <w:rsid w:val="00CA5CBA"/>
    <w:rsid w:val="00CA5FC4"/>
    <w:rsid w:val="00CA6208"/>
    <w:rsid w:val="00CA6F44"/>
    <w:rsid w:val="00CA750B"/>
    <w:rsid w:val="00CB075B"/>
    <w:rsid w:val="00CB2DEF"/>
    <w:rsid w:val="00CB2E9A"/>
    <w:rsid w:val="00CB35EB"/>
    <w:rsid w:val="00CB3ABD"/>
    <w:rsid w:val="00CB4386"/>
    <w:rsid w:val="00CB4678"/>
    <w:rsid w:val="00CB4974"/>
    <w:rsid w:val="00CB51A5"/>
    <w:rsid w:val="00CB5BD6"/>
    <w:rsid w:val="00CB662C"/>
    <w:rsid w:val="00CC1380"/>
    <w:rsid w:val="00CC2CC8"/>
    <w:rsid w:val="00CC4785"/>
    <w:rsid w:val="00CC4FF9"/>
    <w:rsid w:val="00CC6074"/>
    <w:rsid w:val="00CD08A4"/>
    <w:rsid w:val="00CD2576"/>
    <w:rsid w:val="00CD2ADC"/>
    <w:rsid w:val="00CD669D"/>
    <w:rsid w:val="00CE09F6"/>
    <w:rsid w:val="00CE4355"/>
    <w:rsid w:val="00CE4EC8"/>
    <w:rsid w:val="00CE61D1"/>
    <w:rsid w:val="00CE65E6"/>
    <w:rsid w:val="00CE67A6"/>
    <w:rsid w:val="00CE7B89"/>
    <w:rsid w:val="00CF16BA"/>
    <w:rsid w:val="00CF1848"/>
    <w:rsid w:val="00CF1CF8"/>
    <w:rsid w:val="00CF2308"/>
    <w:rsid w:val="00CF4270"/>
    <w:rsid w:val="00CF4849"/>
    <w:rsid w:val="00CF5138"/>
    <w:rsid w:val="00CF686B"/>
    <w:rsid w:val="00CF7317"/>
    <w:rsid w:val="00CF7EA8"/>
    <w:rsid w:val="00D011DE"/>
    <w:rsid w:val="00D01C28"/>
    <w:rsid w:val="00D021D2"/>
    <w:rsid w:val="00D031AD"/>
    <w:rsid w:val="00D04AE8"/>
    <w:rsid w:val="00D056D9"/>
    <w:rsid w:val="00D06761"/>
    <w:rsid w:val="00D07C08"/>
    <w:rsid w:val="00D12044"/>
    <w:rsid w:val="00D121D3"/>
    <w:rsid w:val="00D12EA9"/>
    <w:rsid w:val="00D139AD"/>
    <w:rsid w:val="00D13C8D"/>
    <w:rsid w:val="00D14C80"/>
    <w:rsid w:val="00D14E9E"/>
    <w:rsid w:val="00D152A3"/>
    <w:rsid w:val="00D15838"/>
    <w:rsid w:val="00D16ADD"/>
    <w:rsid w:val="00D170D9"/>
    <w:rsid w:val="00D1767C"/>
    <w:rsid w:val="00D21DB0"/>
    <w:rsid w:val="00D22827"/>
    <w:rsid w:val="00D23197"/>
    <w:rsid w:val="00D233CC"/>
    <w:rsid w:val="00D26189"/>
    <w:rsid w:val="00D264E0"/>
    <w:rsid w:val="00D2654A"/>
    <w:rsid w:val="00D268AE"/>
    <w:rsid w:val="00D273B9"/>
    <w:rsid w:val="00D312B0"/>
    <w:rsid w:val="00D31AEB"/>
    <w:rsid w:val="00D31C0E"/>
    <w:rsid w:val="00D32CC3"/>
    <w:rsid w:val="00D33630"/>
    <w:rsid w:val="00D338B3"/>
    <w:rsid w:val="00D33EFC"/>
    <w:rsid w:val="00D349E4"/>
    <w:rsid w:val="00D36D2B"/>
    <w:rsid w:val="00D401D9"/>
    <w:rsid w:val="00D40DBC"/>
    <w:rsid w:val="00D40ECB"/>
    <w:rsid w:val="00D410E7"/>
    <w:rsid w:val="00D42F88"/>
    <w:rsid w:val="00D42FD3"/>
    <w:rsid w:val="00D432C9"/>
    <w:rsid w:val="00D4540F"/>
    <w:rsid w:val="00D45B95"/>
    <w:rsid w:val="00D46E28"/>
    <w:rsid w:val="00D47581"/>
    <w:rsid w:val="00D5049D"/>
    <w:rsid w:val="00D512F6"/>
    <w:rsid w:val="00D51A0D"/>
    <w:rsid w:val="00D51B84"/>
    <w:rsid w:val="00D51E0E"/>
    <w:rsid w:val="00D52102"/>
    <w:rsid w:val="00D52EEB"/>
    <w:rsid w:val="00D52F8D"/>
    <w:rsid w:val="00D531EE"/>
    <w:rsid w:val="00D53B07"/>
    <w:rsid w:val="00D53F5B"/>
    <w:rsid w:val="00D55D3B"/>
    <w:rsid w:val="00D571FD"/>
    <w:rsid w:val="00D577AB"/>
    <w:rsid w:val="00D579F1"/>
    <w:rsid w:val="00D60BB0"/>
    <w:rsid w:val="00D61483"/>
    <w:rsid w:val="00D61B59"/>
    <w:rsid w:val="00D61C85"/>
    <w:rsid w:val="00D62C17"/>
    <w:rsid w:val="00D6399C"/>
    <w:rsid w:val="00D65365"/>
    <w:rsid w:val="00D6591A"/>
    <w:rsid w:val="00D659D2"/>
    <w:rsid w:val="00D65A26"/>
    <w:rsid w:val="00D70044"/>
    <w:rsid w:val="00D7086A"/>
    <w:rsid w:val="00D7306A"/>
    <w:rsid w:val="00D73EB7"/>
    <w:rsid w:val="00D74860"/>
    <w:rsid w:val="00D74FDD"/>
    <w:rsid w:val="00D75736"/>
    <w:rsid w:val="00D757F0"/>
    <w:rsid w:val="00D75CA6"/>
    <w:rsid w:val="00D75D31"/>
    <w:rsid w:val="00D76071"/>
    <w:rsid w:val="00D76A18"/>
    <w:rsid w:val="00D77332"/>
    <w:rsid w:val="00D80849"/>
    <w:rsid w:val="00D82B33"/>
    <w:rsid w:val="00D82E8F"/>
    <w:rsid w:val="00D841F7"/>
    <w:rsid w:val="00D84C61"/>
    <w:rsid w:val="00D851C2"/>
    <w:rsid w:val="00D855BD"/>
    <w:rsid w:val="00D872EC"/>
    <w:rsid w:val="00D873AC"/>
    <w:rsid w:val="00D87543"/>
    <w:rsid w:val="00D917A6"/>
    <w:rsid w:val="00D9225C"/>
    <w:rsid w:val="00D93A3F"/>
    <w:rsid w:val="00D953DC"/>
    <w:rsid w:val="00DA1A6C"/>
    <w:rsid w:val="00DA229E"/>
    <w:rsid w:val="00DA3A27"/>
    <w:rsid w:val="00DA3CD8"/>
    <w:rsid w:val="00DA53FE"/>
    <w:rsid w:val="00DA6886"/>
    <w:rsid w:val="00DA7E80"/>
    <w:rsid w:val="00DB0296"/>
    <w:rsid w:val="00DB1F80"/>
    <w:rsid w:val="00DB4612"/>
    <w:rsid w:val="00DB4DF6"/>
    <w:rsid w:val="00DB5E0F"/>
    <w:rsid w:val="00DB693B"/>
    <w:rsid w:val="00DB6A23"/>
    <w:rsid w:val="00DC0048"/>
    <w:rsid w:val="00DC02BB"/>
    <w:rsid w:val="00DC1163"/>
    <w:rsid w:val="00DC1DB6"/>
    <w:rsid w:val="00DC1F7D"/>
    <w:rsid w:val="00DC2A7C"/>
    <w:rsid w:val="00DC3093"/>
    <w:rsid w:val="00DC7938"/>
    <w:rsid w:val="00DD0B41"/>
    <w:rsid w:val="00DD0F66"/>
    <w:rsid w:val="00DD112C"/>
    <w:rsid w:val="00DD118C"/>
    <w:rsid w:val="00DD1D0B"/>
    <w:rsid w:val="00DD2B5C"/>
    <w:rsid w:val="00DD7E92"/>
    <w:rsid w:val="00DE0218"/>
    <w:rsid w:val="00DE02A8"/>
    <w:rsid w:val="00DE0385"/>
    <w:rsid w:val="00DE08E8"/>
    <w:rsid w:val="00DE41C7"/>
    <w:rsid w:val="00DE4C7F"/>
    <w:rsid w:val="00DE6D16"/>
    <w:rsid w:val="00DE765C"/>
    <w:rsid w:val="00DF236D"/>
    <w:rsid w:val="00DF24A4"/>
    <w:rsid w:val="00DF2DFC"/>
    <w:rsid w:val="00DF307A"/>
    <w:rsid w:val="00DF4992"/>
    <w:rsid w:val="00DF4A1F"/>
    <w:rsid w:val="00DF54CD"/>
    <w:rsid w:val="00DF5587"/>
    <w:rsid w:val="00DF5A80"/>
    <w:rsid w:val="00DF65B7"/>
    <w:rsid w:val="00DF6F83"/>
    <w:rsid w:val="00DF7561"/>
    <w:rsid w:val="00E00661"/>
    <w:rsid w:val="00E0086A"/>
    <w:rsid w:val="00E01029"/>
    <w:rsid w:val="00E014ED"/>
    <w:rsid w:val="00E01EC4"/>
    <w:rsid w:val="00E02371"/>
    <w:rsid w:val="00E0287A"/>
    <w:rsid w:val="00E02AD0"/>
    <w:rsid w:val="00E0359C"/>
    <w:rsid w:val="00E041C6"/>
    <w:rsid w:val="00E0515C"/>
    <w:rsid w:val="00E0553A"/>
    <w:rsid w:val="00E05D9E"/>
    <w:rsid w:val="00E063AD"/>
    <w:rsid w:val="00E101FC"/>
    <w:rsid w:val="00E10477"/>
    <w:rsid w:val="00E111B2"/>
    <w:rsid w:val="00E11783"/>
    <w:rsid w:val="00E11C2A"/>
    <w:rsid w:val="00E12434"/>
    <w:rsid w:val="00E13202"/>
    <w:rsid w:val="00E134CE"/>
    <w:rsid w:val="00E14F8D"/>
    <w:rsid w:val="00E150D5"/>
    <w:rsid w:val="00E15773"/>
    <w:rsid w:val="00E15D99"/>
    <w:rsid w:val="00E163AE"/>
    <w:rsid w:val="00E2076B"/>
    <w:rsid w:val="00E21F5A"/>
    <w:rsid w:val="00E23AA8"/>
    <w:rsid w:val="00E2449C"/>
    <w:rsid w:val="00E25187"/>
    <w:rsid w:val="00E25AAB"/>
    <w:rsid w:val="00E27DF5"/>
    <w:rsid w:val="00E31A81"/>
    <w:rsid w:val="00E3283A"/>
    <w:rsid w:val="00E34163"/>
    <w:rsid w:val="00E34AB2"/>
    <w:rsid w:val="00E3607D"/>
    <w:rsid w:val="00E360C3"/>
    <w:rsid w:val="00E36841"/>
    <w:rsid w:val="00E36C3E"/>
    <w:rsid w:val="00E40148"/>
    <w:rsid w:val="00E403A3"/>
    <w:rsid w:val="00E40C48"/>
    <w:rsid w:val="00E42D45"/>
    <w:rsid w:val="00E4315E"/>
    <w:rsid w:val="00E44932"/>
    <w:rsid w:val="00E44B10"/>
    <w:rsid w:val="00E45AED"/>
    <w:rsid w:val="00E45E44"/>
    <w:rsid w:val="00E466DE"/>
    <w:rsid w:val="00E50609"/>
    <w:rsid w:val="00E522AC"/>
    <w:rsid w:val="00E53900"/>
    <w:rsid w:val="00E5420C"/>
    <w:rsid w:val="00E55353"/>
    <w:rsid w:val="00E559A9"/>
    <w:rsid w:val="00E56958"/>
    <w:rsid w:val="00E56E5C"/>
    <w:rsid w:val="00E57094"/>
    <w:rsid w:val="00E57404"/>
    <w:rsid w:val="00E612A5"/>
    <w:rsid w:val="00E61C9D"/>
    <w:rsid w:val="00E62369"/>
    <w:rsid w:val="00E625F2"/>
    <w:rsid w:val="00E636E1"/>
    <w:rsid w:val="00E639E1"/>
    <w:rsid w:val="00E6454D"/>
    <w:rsid w:val="00E65285"/>
    <w:rsid w:val="00E66235"/>
    <w:rsid w:val="00E667B7"/>
    <w:rsid w:val="00E6767D"/>
    <w:rsid w:val="00E678F8"/>
    <w:rsid w:val="00E67D4E"/>
    <w:rsid w:val="00E715DE"/>
    <w:rsid w:val="00E71E26"/>
    <w:rsid w:val="00E71E2D"/>
    <w:rsid w:val="00E724B5"/>
    <w:rsid w:val="00E743BC"/>
    <w:rsid w:val="00E7566B"/>
    <w:rsid w:val="00E75CF4"/>
    <w:rsid w:val="00E75DA1"/>
    <w:rsid w:val="00E765FC"/>
    <w:rsid w:val="00E80E0F"/>
    <w:rsid w:val="00E82EA6"/>
    <w:rsid w:val="00E83C24"/>
    <w:rsid w:val="00E851D7"/>
    <w:rsid w:val="00E85538"/>
    <w:rsid w:val="00E86769"/>
    <w:rsid w:val="00E8706E"/>
    <w:rsid w:val="00E87881"/>
    <w:rsid w:val="00E87B45"/>
    <w:rsid w:val="00E90021"/>
    <w:rsid w:val="00E91AC7"/>
    <w:rsid w:val="00E91EAF"/>
    <w:rsid w:val="00E91EBE"/>
    <w:rsid w:val="00E92F42"/>
    <w:rsid w:val="00E9318D"/>
    <w:rsid w:val="00E9326E"/>
    <w:rsid w:val="00E93546"/>
    <w:rsid w:val="00E93F3E"/>
    <w:rsid w:val="00E9556F"/>
    <w:rsid w:val="00E96CA8"/>
    <w:rsid w:val="00E97048"/>
    <w:rsid w:val="00E9717A"/>
    <w:rsid w:val="00E97429"/>
    <w:rsid w:val="00EA1CBA"/>
    <w:rsid w:val="00EA25C2"/>
    <w:rsid w:val="00EA2C6F"/>
    <w:rsid w:val="00EA3733"/>
    <w:rsid w:val="00EA4677"/>
    <w:rsid w:val="00EA4B1F"/>
    <w:rsid w:val="00EB0FD6"/>
    <w:rsid w:val="00EB426F"/>
    <w:rsid w:val="00EB496C"/>
    <w:rsid w:val="00EC169C"/>
    <w:rsid w:val="00EC23B0"/>
    <w:rsid w:val="00EC2A3A"/>
    <w:rsid w:val="00EC2C30"/>
    <w:rsid w:val="00EC3101"/>
    <w:rsid w:val="00EC420A"/>
    <w:rsid w:val="00EC44FB"/>
    <w:rsid w:val="00EC45C6"/>
    <w:rsid w:val="00EC592B"/>
    <w:rsid w:val="00ED0822"/>
    <w:rsid w:val="00ED0830"/>
    <w:rsid w:val="00ED0970"/>
    <w:rsid w:val="00ED15A3"/>
    <w:rsid w:val="00ED1E35"/>
    <w:rsid w:val="00ED242A"/>
    <w:rsid w:val="00ED3A0B"/>
    <w:rsid w:val="00ED3C6C"/>
    <w:rsid w:val="00ED513E"/>
    <w:rsid w:val="00ED61AD"/>
    <w:rsid w:val="00ED664D"/>
    <w:rsid w:val="00EE04BF"/>
    <w:rsid w:val="00EE0630"/>
    <w:rsid w:val="00EE0761"/>
    <w:rsid w:val="00EE0C6F"/>
    <w:rsid w:val="00EE6613"/>
    <w:rsid w:val="00EE76C7"/>
    <w:rsid w:val="00EF0B5F"/>
    <w:rsid w:val="00EF0C67"/>
    <w:rsid w:val="00EF1070"/>
    <w:rsid w:val="00EF13F0"/>
    <w:rsid w:val="00EF13F2"/>
    <w:rsid w:val="00EF23D5"/>
    <w:rsid w:val="00EF353A"/>
    <w:rsid w:val="00EF50F4"/>
    <w:rsid w:val="00EF5B6A"/>
    <w:rsid w:val="00EF714F"/>
    <w:rsid w:val="00F04A54"/>
    <w:rsid w:val="00F05639"/>
    <w:rsid w:val="00F05AA7"/>
    <w:rsid w:val="00F06213"/>
    <w:rsid w:val="00F063C2"/>
    <w:rsid w:val="00F0726C"/>
    <w:rsid w:val="00F07E79"/>
    <w:rsid w:val="00F1070B"/>
    <w:rsid w:val="00F10FBE"/>
    <w:rsid w:val="00F115C9"/>
    <w:rsid w:val="00F15333"/>
    <w:rsid w:val="00F15887"/>
    <w:rsid w:val="00F16DB5"/>
    <w:rsid w:val="00F17416"/>
    <w:rsid w:val="00F17AEF"/>
    <w:rsid w:val="00F20AAC"/>
    <w:rsid w:val="00F22BBC"/>
    <w:rsid w:val="00F23947"/>
    <w:rsid w:val="00F23FBA"/>
    <w:rsid w:val="00F243A3"/>
    <w:rsid w:val="00F24853"/>
    <w:rsid w:val="00F26205"/>
    <w:rsid w:val="00F26FCA"/>
    <w:rsid w:val="00F27E54"/>
    <w:rsid w:val="00F3279B"/>
    <w:rsid w:val="00F342C8"/>
    <w:rsid w:val="00F35A6B"/>
    <w:rsid w:val="00F36D33"/>
    <w:rsid w:val="00F36DAB"/>
    <w:rsid w:val="00F371A1"/>
    <w:rsid w:val="00F40F49"/>
    <w:rsid w:val="00F417D3"/>
    <w:rsid w:val="00F41FE7"/>
    <w:rsid w:val="00F42177"/>
    <w:rsid w:val="00F4348C"/>
    <w:rsid w:val="00F43E92"/>
    <w:rsid w:val="00F45400"/>
    <w:rsid w:val="00F45522"/>
    <w:rsid w:val="00F46CF1"/>
    <w:rsid w:val="00F46D05"/>
    <w:rsid w:val="00F508D6"/>
    <w:rsid w:val="00F50B0C"/>
    <w:rsid w:val="00F50FAC"/>
    <w:rsid w:val="00F512CF"/>
    <w:rsid w:val="00F51588"/>
    <w:rsid w:val="00F518A4"/>
    <w:rsid w:val="00F51950"/>
    <w:rsid w:val="00F525D9"/>
    <w:rsid w:val="00F53193"/>
    <w:rsid w:val="00F5357E"/>
    <w:rsid w:val="00F542C1"/>
    <w:rsid w:val="00F55ACA"/>
    <w:rsid w:val="00F55FAC"/>
    <w:rsid w:val="00F563C7"/>
    <w:rsid w:val="00F5645C"/>
    <w:rsid w:val="00F56646"/>
    <w:rsid w:val="00F56B02"/>
    <w:rsid w:val="00F5788A"/>
    <w:rsid w:val="00F607FF"/>
    <w:rsid w:val="00F6131F"/>
    <w:rsid w:val="00F62E22"/>
    <w:rsid w:val="00F630FE"/>
    <w:rsid w:val="00F63502"/>
    <w:rsid w:val="00F6422C"/>
    <w:rsid w:val="00F65210"/>
    <w:rsid w:val="00F654DD"/>
    <w:rsid w:val="00F6586C"/>
    <w:rsid w:val="00F65C2C"/>
    <w:rsid w:val="00F6778C"/>
    <w:rsid w:val="00F6779B"/>
    <w:rsid w:val="00F67869"/>
    <w:rsid w:val="00F70C63"/>
    <w:rsid w:val="00F7130B"/>
    <w:rsid w:val="00F727B1"/>
    <w:rsid w:val="00F73594"/>
    <w:rsid w:val="00F75BE2"/>
    <w:rsid w:val="00F7653B"/>
    <w:rsid w:val="00F7691B"/>
    <w:rsid w:val="00F76D88"/>
    <w:rsid w:val="00F807AA"/>
    <w:rsid w:val="00F813BB"/>
    <w:rsid w:val="00F81FB8"/>
    <w:rsid w:val="00F827B1"/>
    <w:rsid w:val="00F83F8B"/>
    <w:rsid w:val="00F84839"/>
    <w:rsid w:val="00F84DE8"/>
    <w:rsid w:val="00F857A4"/>
    <w:rsid w:val="00F86392"/>
    <w:rsid w:val="00F866CD"/>
    <w:rsid w:val="00F86BCE"/>
    <w:rsid w:val="00F9038B"/>
    <w:rsid w:val="00F90AB8"/>
    <w:rsid w:val="00F915D6"/>
    <w:rsid w:val="00F91F7B"/>
    <w:rsid w:val="00F9332E"/>
    <w:rsid w:val="00F93BBE"/>
    <w:rsid w:val="00F94586"/>
    <w:rsid w:val="00F94774"/>
    <w:rsid w:val="00F97A59"/>
    <w:rsid w:val="00F97A5D"/>
    <w:rsid w:val="00FA0537"/>
    <w:rsid w:val="00FA06D4"/>
    <w:rsid w:val="00FA2BD0"/>
    <w:rsid w:val="00FA2D3A"/>
    <w:rsid w:val="00FA2EED"/>
    <w:rsid w:val="00FA322D"/>
    <w:rsid w:val="00FA369E"/>
    <w:rsid w:val="00FA3758"/>
    <w:rsid w:val="00FA5146"/>
    <w:rsid w:val="00FA5C43"/>
    <w:rsid w:val="00FA6161"/>
    <w:rsid w:val="00FA663B"/>
    <w:rsid w:val="00FA7855"/>
    <w:rsid w:val="00FB0927"/>
    <w:rsid w:val="00FB1409"/>
    <w:rsid w:val="00FB1775"/>
    <w:rsid w:val="00FB1BA5"/>
    <w:rsid w:val="00FB32D8"/>
    <w:rsid w:val="00FB3E5C"/>
    <w:rsid w:val="00FB4E81"/>
    <w:rsid w:val="00FB4EF2"/>
    <w:rsid w:val="00FB5762"/>
    <w:rsid w:val="00FB580D"/>
    <w:rsid w:val="00FB777F"/>
    <w:rsid w:val="00FB7AAE"/>
    <w:rsid w:val="00FC134E"/>
    <w:rsid w:val="00FC1A2D"/>
    <w:rsid w:val="00FC1D72"/>
    <w:rsid w:val="00FC3BF5"/>
    <w:rsid w:val="00FC4DC0"/>
    <w:rsid w:val="00FC5312"/>
    <w:rsid w:val="00FC53DB"/>
    <w:rsid w:val="00FC59BB"/>
    <w:rsid w:val="00FC5A9E"/>
    <w:rsid w:val="00FC68FE"/>
    <w:rsid w:val="00FC76CA"/>
    <w:rsid w:val="00FC7FDE"/>
    <w:rsid w:val="00FD02F7"/>
    <w:rsid w:val="00FD0502"/>
    <w:rsid w:val="00FD0BD5"/>
    <w:rsid w:val="00FD2144"/>
    <w:rsid w:val="00FD26E6"/>
    <w:rsid w:val="00FD356D"/>
    <w:rsid w:val="00FD369B"/>
    <w:rsid w:val="00FD4C4A"/>
    <w:rsid w:val="00FD4F54"/>
    <w:rsid w:val="00FD6CB6"/>
    <w:rsid w:val="00FD700F"/>
    <w:rsid w:val="00FE0520"/>
    <w:rsid w:val="00FE0A4E"/>
    <w:rsid w:val="00FE4498"/>
    <w:rsid w:val="00FE5AFE"/>
    <w:rsid w:val="00FE68F2"/>
    <w:rsid w:val="00FE6BCA"/>
    <w:rsid w:val="00FE71E3"/>
    <w:rsid w:val="00FF0EB7"/>
    <w:rsid w:val="00FF24B5"/>
    <w:rsid w:val="00FF2953"/>
    <w:rsid w:val="00FF2A45"/>
    <w:rsid w:val="00FF39A7"/>
    <w:rsid w:val="00FF3CD4"/>
    <w:rsid w:val="00FF5712"/>
    <w:rsid w:val="00FF63E9"/>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12B99355-B354-4E81-B632-37F37D70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qFormat="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5501A"/>
    <w:rPr>
      <w:rFonts w:ascii="Times New Roman" w:eastAsia="SimSun" w:hAnsi="Times New Roman" w:cs="Times New Roman"/>
      <w:sz w:val="20"/>
      <w:szCs w:val="22"/>
      <w:lang w:val="en-GB"/>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25501A"/>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25501A"/>
    <w:rPr>
      <w:sz w:val="16"/>
      <w:szCs w:val="16"/>
      <w:lang w:val="en-GB"/>
    </w:rPr>
  </w:style>
  <w:style w:type="paragraph" w:styleId="CommentText">
    <w:name w:val="annotation text"/>
    <w:basedOn w:val="Normal"/>
    <w:link w:val="CommentTextChar"/>
    <w:uiPriority w:val="99"/>
    <w:rsid w:val="0025501A"/>
    <w:rPr>
      <w:sz w:val="20"/>
      <w:szCs w:val="20"/>
    </w:rPr>
  </w:style>
  <w:style w:type="character" w:customStyle="1" w:styleId="CommentTextChar">
    <w:name w:val="Comment Text Char"/>
    <w:basedOn w:val="DefaultParagraphFont"/>
    <w:link w:val="CommentText"/>
    <w:uiPriority w:val="99"/>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25501A"/>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25501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25501A"/>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25501A"/>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25501A"/>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25501A"/>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25501A"/>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1643E1"/>
    <w:pPr>
      <w:tabs>
        <w:tab w:val="clear" w:pos="567"/>
        <w:tab w:val="clear" w:pos="1134"/>
        <w:tab w:val="clear" w:pos="1701"/>
        <w:tab w:val="clear" w:pos="2268"/>
        <w:tab w:val="clear" w:pos="2835"/>
        <w:tab w:val="clear" w:pos="3402"/>
        <w:tab w:val="left" w:pos="624"/>
        <w:tab w:val="left" w:pos="1247"/>
        <w:tab w:val="left" w:pos="1985"/>
        <w:tab w:val="right" w:leader="dot" w:pos="9486"/>
      </w:tabs>
      <w:adjustRightInd w:val="0"/>
      <w:snapToGrid w:val="0"/>
      <w:spacing w:before="240"/>
      <w:ind w:left="1984" w:hanging="850"/>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7"/>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qFormat/>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9"/>
      </w:num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E22E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417545"/>
    <w:pPr>
      <w:outlineLvl w:val="1"/>
    </w:pPr>
    <w:rPr>
      <w:sz w:val="24"/>
    </w:rPr>
  </w:style>
  <w:style w:type="numbering" w:customStyle="1" w:styleId="ListCBD1">
    <w:name w:val="ListCBD1"/>
    <w:basedOn w:val="NoList"/>
    <w:uiPriority w:val="99"/>
    <w:rsid w:val="00D40ECB"/>
  </w:style>
  <w:style w:type="numbering" w:customStyle="1" w:styleId="ListCBD2">
    <w:name w:val="ListCBD2"/>
    <w:basedOn w:val="NoList"/>
    <w:uiPriority w:val="99"/>
    <w:rsid w:val="00D40ECB"/>
  </w:style>
  <w:style w:type="character" w:customStyle="1" w:styleId="ListParagraphChar">
    <w:name w:val="List Paragraph Char"/>
    <w:basedOn w:val="DefaultParagraphFont"/>
    <w:link w:val="ListParagraph"/>
    <w:uiPriority w:val="34"/>
    <w:qFormat/>
    <w:rsid w:val="00D40ECB"/>
    <w:rPr>
      <w:rFonts w:ascii="Times New Roman" w:eastAsia="SimSun" w:hAnsi="Times New Roman" w:cs="Times New Roman"/>
      <w:sz w:val="22"/>
      <w:szCs w:val="22"/>
      <w:lang w:val="en-GB"/>
    </w:rPr>
  </w:style>
  <w:style w:type="paragraph" w:customStyle="1" w:styleId="H4">
    <w:name w:val="_ H_4"/>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US"/>
    </w:rPr>
  </w:style>
  <w:style w:type="numbering" w:customStyle="1" w:styleId="ListCBD3">
    <w:name w:val="ListCBD3"/>
    <w:basedOn w:val="NoList"/>
    <w:uiPriority w:val="99"/>
    <w:rsid w:val="00D40ECB"/>
  </w:style>
  <w:style w:type="numbering" w:customStyle="1" w:styleId="ListCBD4">
    <w:name w:val="ListCBD4"/>
    <w:basedOn w:val="NoList"/>
    <w:uiPriority w:val="99"/>
    <w:rsid w:val="00D40ECB"/>
  </w:style>
  <w:style w:type="paragraph" w:customStyle="1" w:styleId="H56">
    <w:name w:val="_ H_5/6"/>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US"/>
    </w:rPr>
  </w:style>
  <w:style w:type="paragraph" w:customStyle="1" w:styleId="msonormal0">
    <w:name w:val="msonormal"/>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xl65">
    <w:name w:val="xl6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6">
    <w:name w:val="xl66"/>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7">
    <w:name w:val="xl67"/>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68">
    <w:name w:val="xl6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69">
    <w:name w:val="xl6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US"/>
    </w:rPr>
  </w:style>
  <w:style w:type="paragraph" w:customStyle="1" w:styleId="xl70">
    <w:name w:val="xl7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71">
    <w:name w:val="xl7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72">
    <w:name w:val="xl72"/>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US"/>
    </w:rPr>
  </w:style>
  <w:style w:type="paragraph" w:customStyle="1" w:styleId="xl73">
    <w:name w:val="xl7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4">
    <w:name w:val="xl7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5">
    <w:name w:val="xl7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6">
    <w:name w:val="xl76"/>
    <w:basedOn w:val="Normal"/>
    <w:rsid w:val="00D40EC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7">
    <w:name w:val="xl7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78">
    <w:name w:val="xl7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9">
    <w:name w:val="xl7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US"/>
    </w:rPr>
  </w:style>
  <w:style w:type="paragraph" w:customStyle="1" w:styleId="xl80">
    <w:name w:val="xl8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1">
    <w:name w:val="xl8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2">
    <w:name w:val="xl82"/>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3">
    <w:name w:val="xl8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xl84">
    <w:name w:val="xl8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5">
    <w:name w:val="xl8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6">
    <w:name w:val="xl86"/>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7">
    <w:name w:val="xl8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font-claude-response-body">
    <w:name w:val="font-claude-response-body"/>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CBDAgendaItem-1">
    <w:name w:val="CBD_AgendaItem-1"/>
    <w:basedOn w:val="Normal"/>
    <w:qFormat/>
    <w:rsid w:val="00D40ECB"/>
    <w:pPr>
      <w:keepNext/>
      <w:keepLines/>
      <w:spacing w:before="240" w:after="120"/>
      <w:jc w:val="left"/>
    </w:pPr>
    <w:rPr>
      <w:rFonts w:ascii="Times New Roman Bold" w:hAnsi="Times New Roman Bold" w:cs="Times New Roman Bold"/>
      <w:b/>
      <w:sz w:val="24"/>
      <w:szCs w:val="24"/>
      <w:lang w:val="en-US"/>
    </w:rPr>
  </w:style>
  <w:style w:type="paragraph" w:customStyle="1" w:styleId="CBDAgendaItem-3">
    <w:name w:val="CBD_AgendaItem-3"/>
    <w:basedOn w:val="CBDAgendaItem-1"/>
    <w:qFormat/>
    <w:rsid w:val="00D40ECB"/>
    <w:pPr>
      <w:ind w:left="567" w:hanging="567"/>
    </w:pPr>
    <w:rPr>
      <w:sz w:val="20"/>
    </w:rPr>
  </w:style>
  <w:style w:type="paragraph" w:customStyle="1" w:styleId="CBDprov-agendaItem">
    <w:name w:val="CBD_prov-agenda_Item"/>
    <w:basedOn w:val="CBDNormalNumber"/>
    <w:qFormat/>
    <w:rsid w:val="00D40ECB"/>
    <w:pPr>
      <w:numPr>
        <w:numId w:val="11"/>
      </w:numPr>
    </w:pPr>
  </w:style>
  <w:style w:type="paragraph" w:customStyle="1" w:styleId="CBD-subheading">
    <w:name w:val="CBD-subheading"/>
    <w:basedOn w:val="CBDsubpara-item"/>
    <w:qFormat/>
    <w:rsid w:val="00D40ECB"/>
    <w:pPr>
      <w:keepNext/>
      <w:tabs>
        <w:tab w:val="clear" w:pos="1701"/>
      </w:tabs>
      <w:spacing w:after="60"/>
      <w:ind w:left="567" w:firstLine="0"/>
    </w:pPr>
    <w:rPr>
      <w:i/>
      <w:i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hyperlink" Target="https://www.cbd.int/decisions/mop?m=cp-mop-10" TargetMode="External"/><Relationship Id="rId39" Type="http://schemas.openxmlformats.org/officeDocument/2006/relationships/hyperlink" Target="https://www.cbd.int/decisions/mop?m=mop-07" TargetMode="External"/><Relationship Id="rId21" Type="http://schemas.openxmlformats.org/officeDocument/2006/relationships/hyperlink" Target="https://www.cbd.int/decisions/mop/?m=cp-mop-11" TargetMode="External"/><Relationship Id="rId34" Type="http://schemas.openxmlformats.org/officeDocument/2006/relationships/hyperlink" Target="https://www.cbd.int/documents/CBD/CP/MOP/12/9" TargetMode="External"/><Relationship Id="rId42" Type="http://schemas.openxmlformats.org/officeDocument/2006/relationships/hyperlink" Target="https://www.cbd.int/doc/decisions/cp-mop-11/cp-mop-11-dec-07-en.pdf" TargetMode="External"/><Relationship Id="rId47" Type="http://schemas.openxmlformats.org/officeDocument/2006/relationships/hyperlink" Target="https://www.cbd.int/decisions/?id=13668" TargetMode="External"/><Relationship Id="rId50" Type="http://schemas.openxmlformats.org/officeDocument/2006/relationships/hyperlink" Target="https://www.cbd.int/decisions/mop/?m=cp-mop-10" TargetMode="External"/><Relationship Id="rId55" Type="http://schemas.openxmlformats.org/officeDocument/2006/relationships/hyperlink" Target="https://www.cbd.int/doc/decisions/cp-mop-10/cp-mop-10-dec-04-en.pdf"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cbd.int/decisions/mop/?m=cp-mop-10" TargetMode="External"/><Relationship Id="rId11" Type="http://schemas.openxmlformats.org/officeDocument/2006/relationships/endnotes" Target="endnotes.xml"/><Relationship Id="rId24" Type="http://schemas.openxmlformats.org/officeDocument/2006/relationships/hyperlink" Target="https://www.cbd.int/doc/decisions/cp-mop-11/cp-mop-11-dec-11-en.pdf" TargetMode="External"/><Relationship Id="rId32" Type="http://schemas.openxmlformats.org/officeDocument/2006/relationships/hyperlink" Target="https://www.cbd.int/documents/CBD/CP/MOP/12/7" TargetMode="External"/><Relationship Id="rId37" Type="http://schemas.openxmlformats.org/officeDocument/2006/relationships/hyperlink" Target="https://www.cbd.int/decisions/?id=13391" TargetMode="External"/><Relationship Id="rId40" Type="http://schemas.openxmlformats.org/officeDocument/2006/relationships/hyperlink" Target="https://www.cbd.int/recommendations/sbstta/?m=sbstta-27" TargetMode="External"/><Relationship Id="rId45" Type="http://schemas.openxmlformats.org/officeDocument/2006/relationships/hyperlink" Target="https://bch.cbd.int/protocol/text" TargetMode="External"/><Relationship Id="rId53" Type="http://schemas.openxmlformats.org/officeDocument/2006/relationships/hyperlink" Target="https://www.cbd.int/documents/CBD/CP/MOP/12/12" TargetMode="Externa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P/MOP/12/5" TargetMode="External"/><Relationship Id="rId27" Type="http://schemas.openxmlformats.org/officeDocument/2006/relationships/hyperlink" Target="https://www.cbd.int/recommendations/sbi/?m=sbi-07" TargetMode="External"/><Relationship Id="rId30" Type="http://schemas.openxmlformats.org/officeDocument/2006/relationships/hyperlink" Target="https://www.cbd.int/decisions/mop/?m=cp-mop-10" TargetMode="External"/><Relationship Id="rId35" Type="http://schemas.openxmlformats.org/officeDocument/2006/relationships/hyperlink" Target="https://www.cbd.int/recommendations/sbi?m=sbi-06" TargetMode="External"/><Relationship Id="rId43" Type="http://schemas.openxmlformats.org/officeDocument/2006/relationships/hyperlink" Target="https://www.cbd.int/doc/decisions/cp-mop-09/cp-mop-09-dec-13-en.pdf" TargetMode="External"/><Relationship Id="rId48" Type="http://schemas.openxmlformats.org/officeDocument/2006/relationships/hyperlink" Target="https://www.cbd.int/decisions/mop/?m=cp-mop-11"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cbd.int/decisions/mop/?m=cp-mop-11"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yperlink" Target="https://www.cbd.int/documents/CBD/CP/MOP/12/6" TargetMode="External"/><Relationship Id="rId33" Type="http://schemas.openxmlformats.org/officeDocument/2006/relationships/hyperlink" Target="https://www.cbd.int/documents/CBD/CP/MOP/12/8" TargetMode="External"/><Relationship Id="rId38" Type="http://schemas.openxmlformats.org/officeDocument/2006/relationships/hyperlink" Target="https://www.cbd.int/documents/CBD/SBI/6/INF/11" TargetMode="External"/><Relationship Id="rId46" Type="http://schemas.openxmlformats.org/officeDocument/2006/relationships/hyperlink" Target="https://bch.cbd.int/protocol/text" TargetMode="External"/><Relationship Id="rId20" Type="http://schemas.openxmlformats.org/officeDocument/2006/relationships/hyperlink" Target="https://www.cbd.int/documents/CBD/CP/MOP/12/3" TargetMode="External"/><Relationship Id="rId41" Type="http://schemas.openxmlformats.org/officeDocument/2006/relationships/hyperlink" Target="https://www.cbd.int/doc/decisions/cp-mop-09/cp-mop-09-dec-13-en.pdf" TargetMode="External"/><Relationship Id="rId54" Type="http://schemas.openxmlformats.org/officeDocument/2006/relationships/hyperlink" Target="https://www.cbd.int/documents/CBD/CP/MOP/12/13"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cbd.int/recommendations/sbi/?m=sbi-06" TargetMode="External"/><Relationship Id="rId28" Type="http://schemas.openxmlformats.org/officeDocument/2006/relationships/hyperlink" Target="https://www.cbd.int/recommendations/sbi/?m=sbi-07" TargetMode="External"/><Relationship Id="rId36" Type="http://schemas.openxmlformats.org/officeDocument/2006/relationships/hyperlink" Target="https://www.cbd.int/decisions/mop/?m=cp-mop-11" TargetMode="External"/><Relationship Id="rId49" Type="http://schemas.openxmlformats.org/officeDocument/2006/relationships/hyperlink" Target="https://www.cbd.int/documents/CBD/CP/MOP/12/10" TargetMode="External"/><Relationship Id="rId57" Type="http://schemas.openxmlformats.org/officeDocument/2006/relationships/glossaryDocument" Target="glossary/document.xml"/><Relationship Id="rId10" Type="http://schemas.openxmlformats.org/officeDocument/2006/relationships/footnotes" Target="footnotes.xml"/><Relationship Id="rId31" Type="http://schemas.openxmlformats.org/officeDocument/2006/relationships/hyperlink" Target="https://www.cbd.int/decisions/mop/?m=cp-mop-10" TargetMode="External"/><Relationship Id="rId44" Type="http://schemas.openxmlformats.org/officeDocument/2006/relationships/hyperlink" Target="https://www.cbd.int/doc/decisions/cp-mop-09/cp-mop-09-dec-13-en.pdf" TargetMode="External"/><Relationship Id="rId52" Type="http://schemas.openxmlformats.org/officeDocument/2006/relationships/hyperlink" Target="https://www.cbd.int/documents/CBD/CP/MOP/12/11"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13" Type="http://schemas.openxmlformats.org/officeDocument/2006/relationships/hyperlink" Target="https://www.cbd.int/decisions/?id=12324" TargetMode="External"/><Relationship Id="rId18" Type="http://schemas.openxmlformats.org/officeDocument/2006/relationships/hyperlink" Target="https://www.cbd.int/documents/CBD/CP/RA/AHTEG/2025/1/3" TargetMode="External"/><Relationship Id="rId26" Type="http://schemas.openxmlformats.org/officeDocument/2006/relationships/hyperlink" Target="https://www.cbd.int/documents/CBD/CP/RA/AHTEG/2025/1/INF/2" TargetMode="External"/><Relationship Id="rId3" Type="http://schemas.openxmlformats.org/officeDocument/2006/relationships/hyperlink" Target="https://www.cbd.int/documents/CBD/CP/MOP/12/4" TargetMode="External"/><Relationship Id="rId21" Type="http://schemas.openxmlformats.org/officeDocument/2006/relationships/hyperlink" Target="https://www.cbd.int/tsc/tscm/subregionalcentres" TargetMode="External"/><Relationship Id="rId7" Type="http://schemas.openxmlformats.org/officeDocument/2006/relationships/hyperlink" Target="https://www.cbd.int/documents/CBD/COP/17/4/ADD4" TargetMode="External"/><Relationship Id="rId12" Type="http://schemas.openxmlformats.org/officeDocument/2006/relationships/hyperlink" Target="https://www.cbd.int/decisions/cop/?m=cop-15" TargetMode="External"/><Relationship Id="rId17" Type="http://schemas.openxmlformats.org/officeDocument/2006/relationships/hyperlink" Target="https://www.cbd.int/decisions/mop?m=cp-mop-10" TargetMode="External"/><Relationship Id="rId25" Type="http://schemas.openxmlformats.org/officeDocument/2006/relationships/hyperlink" Target="https://www.cbd.int/documents/CBD/CP/RA/AHTEG/2025/1/INF/1" TargetMode="External"/><Relationship Id="rId2" Type="http://schemas.openxmlformats.org/officeDocument/2006/relationships/hyperlink" Target="https://www.cbd.int/decisions/cop/?m=cop-15" TargetMode="External"/><Relationship Id="rId16" Type="http://schemas.openxmlformats.org/officeDocument/2006/relationships/hyperlink" Target="https://www.cbd.int/documents/CBD/CP/BCH-IAC/13/3/REV1" TargetMode="External"/><Relationship Id="rId20" Type="http://schemas.openxmlformats.org/officeDocument/2006/relationships/hyperlink" Target="https://www.cbd.int/documents/CBD/CP/RA/AHTEG/2025/1/3" TargetMode="External"/><Relationship Id="rId29" Type="http://schemas.openxmlformats.org/officeDocument/2006/relationships/hyperlink" Target="https://www.cbd.int/decisions/?id=12324" TargetMode="External"/><Relationship Id="rId1" Type="http://schemas.openxmlformats.org/officeDocument/2006/relationships/hyperlink" Target="https://bch.cbd.int/protocol/decisions?decisionID=8284" TargetMode="External"/><Relationship Id="rId6" Type="http://schemas.openxmlformats.org/officeDocument/2006/relationships/hyperlink" Target="https://www.cbd.int/documents/CBD/SBI/6/10" TargetMode="External"/><Relationship Id="rId11" Type="http://schemas.openxmlformats.org/officeDocument/2006/relationships/hyperlink" Target="https://www.cbd.int/documents/CBD/SBI/7/6/ADD1" TargetMode="External"/><Relationship Id="rId24" Type="http://schemas.openxmlformats.org/officeDocument/2006/relationships/hyperlink" Target="https://www.cbd.int/documents/CBD/CP/MOP/11/9" TargetMode="External"/><Relationship Id="rId5" Type="http://schemas.openxmlformats.org/officeDocument/2006/relationships/hyperlink" Target="https://www.cbd.int/documents/CBD/CP/MOP/12/5" TargetMode="External"/><Relationship Id="rId15" Type="http://schemas.openxmlformats.org/officeDocument/2006/relationships/hyperlink" Target="https://www.cbd.int/documents/CBD/COP/17/5/ADD1" TargetMode="External"/><Relationship Id="rId23" Type="http://schemas.openxmlformats.org/officeDocument/2006/relationships/hyperlink" Target="https://www.cbd.int/decisions/?id=11024" TargetMode="External"/><Relationship Id="rId28" Type="http://schemas.openxmlformats.org/officeDocument/2006/relationships/hyperlink" Target="https://www.cbd.int/documents/CBD/CP/MOP/9/10" TargetMode="External"/><Relationship Id="rId10" Type="http://schemas.openxmlformats.org/officeDocument/2006/relationships/hyperlink" Target="https://www.cbd.int/decisions/mop?m=cp-mop-10" TargetMode="External"/><Relationship Id="rId19" Type="http://schemas.openxmlformats.org/officeDocument/2006/relationships/hyperlink" Target="https://www.cbd.int/documents/CBD/SBSTTA/27/6" TargetMode="External"/><Relationship Id="rId31" Type="http://schemas.openxmlformats.org/officeDocument/2006/relationships/hyperlink" Target="https://www.cbd.int/decisions/mop?m=cp-mop-10" TargetMode="External"/><Relationship Id="rId4" Type="http://schemas.openxmlformats.org/officeDocument/2006/relationships/hyperlink" Target="https://www.cbd.int/documents/CBD/CP/MOP/12/5" TargetMode="External"/><Relationship Id="rId9" Type="http://schemas.openxmlformats.org/officeDocument/2006/relationships/hyperlink" Target="https://www.cbd.int/decisions/mop?m=cp-mop-10" TargetMode="External"/><Relationship Id="rId14" Type="http://schemas.openxmlformats.org/officeDocument/2006/relationships/hyperlink" Target="https://bch.cbd.int/protocol" TargetMode="External"/><Relationship Id="rId22" Type="http://schemas.openxmlformats.org/officeDocument/2006/relationships/hyperlink" Target="https://www.cbd.int/documents/CBD/CP/MOP/11/9" TargetMode="External"/><Relationship Id="rId27" Type="http://schemas.openxmlformats.org/officeDocument/2006/relationships/hyperlink" Target="https://www.cbd.int/documents/CBD/SBI/7/6/ADD1" TargetMode="External"/><Relationship Id="rId30"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F4229FB9114AD7BB0D32BC5F5A70FD"/>
        <w:category>
          <w:name w:val="General"/>
          <w:gallery w:val="placeholder"/>
        </w:category>
        <w:types>
          <w:type w:val="bbPlcHdr"/>
        </w:types>
        <w:behaviors>
          <w:behavior w:val="content"/>
        </w:behaviors>
        <w:guid w:val="{F654D486-55BC-4DF4-A072-2CE1B8F6C444}"/>
      </w:docPartPr>
      <w:docPartBody>
        <w:p w:rsidR="00851B14" w:rsidRDefault="002102C3" w:rsidP="002102C3">
          <w:pPr>
            <w:pStyle w:val="81F4229FB9114AD7BB0D32BC5F5A70F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2C3"/>
    <w:rsid w:val="00070C91"/>
    <w:rsid w:val="00100934"/>
    <w:rsid w:val="00135893"/>
    <w:rsid w:val="00161B75"/>
    <w:rsid w:val="001629DD"/>
    <w:rsid w:val="001B533A"/>
    <w:rsid w:val="001E1088"/>
    <w:rsid w:val="001E4FB3"/>
    <w:rsid w:val="002102C3"/>
    <w:rsid w:val="00254EB5"/>
    <w:rsid w:val="00301B09"/>
    <w:rsid w:val="003564DA"/>
    <w:rsid w:val="003826B4"/>
    <w:rsid w:val="00383139"/>
    <w:rsid w:val="003B1ECA"/>
    <w:rsid w:val="00412165"/>
    <w:rsid w:val="00486C3E"/>
    <w:rsid w:val="004E0E01"/>
    <w:rsid w:val="00591473"/>
    <w:rsid w:val="005C0B82"/>
    <w:rsid w:val="00652DBE"/>
    <w:rsid w:val="006F6AD1"/>
    <w:rsid w:val="006F71E0"/>
    <w:rsid w:val="00704B1A"/>
    <w:rsid w:val="007438E0"/>
    <w:rsid w:val="00851B14"/>
    <w:rsid w:val="008B48D0"/>
    <w:rsid w:val="009100F9"/>
    <w:rsid w:val="009A1B81"/>
    <w:rsid w:val="009B136C"/>
    <w:rsid w:val="009C1A4F"/>
    <w:rsid w:val="00AA4C9A"/>
    <w:rsid w:val="00AB0FAB"/>
    <w:rsid w:val="00B03323"/>
    <w:rsid w:val="00BA390C"/>
    <w:rsid w:val="00BB41D3"/>
    <w:rsid w:val="00C67541"/>
    <w:rsid w:val="00CA3E73"/>
    <w:rsid w:val="00CA520A"/>
    <w:rsid w:val="00CE048A"/>
    <w:rsid w:val="00D121D3"/>
    <w:rsid w:val="00D74860"/>
    <w:rsid w:val="00D827F1"/>
    <w:rsid w:val="00DD64D6"/>
    <w:rsid w:val="00DD7E92"/>
    <w:rsid w:val="00E15D99"/>
    <w:rsid w:val="00E5713E"/>
    <w:rsid w:val="00F27E54"/>
    <w:rsid w:val="00F32FEC"/>
    <w:rsid w:val="00FE55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02C3"/>
    <w:rPr>
      <w:color w:val="808080"/>
    </w:rPr>
  </w:style>
  <w:style w:type="paragraph" w:customStyle="1" w:styleId="81F4229FB9114AD7BB0D32BC5F5A70FD">
    <w:name w:val="81F4229FB9114AD7BB0D32BC5F5A70FD"/>
    <w:rsid w:val="002102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08550042-9953-47AA-94E5-045EEE692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annotated-provisional-agenda-template.dotm</Template>
  <TotalTime>29</TotalTime>
  <Pages>31</Pages>
  <Words>10146</Words>
  <Characters>57833</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Draft annotated agenda</vt:lpstr>
    </vt:vector>
  </TitlesOfParts>
  <Company>SCBD</Company>
  <LinksUpToDate>false</LinksUpToDate>
  <CharactersWithSpaces>67844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twelfth meeting of the Conference of the Parties serving as the meeting of the Parties to the Cartagena Protocol on Biosafety</dc:title>
  <dc:subject>CBD/CP/MOP/12/2</dc:subject>
  <dc:creator>Secretariat of the Convention on Biological Diversity</dc:creator>
  <cp:keywords>Convention on Biological Diversity</cp:keywords>
  <cp:lastModifiedBy>Veronique Lefebvre</cp:lastModifiedBy>
  <cp:revision>6</cp:revision>
  <cp:lastPrinted>2020-01-22T07:56:00Z</cp:lastPrinted>
  <dcterms:created xsi:type="dcterms:W3CDTF">2026-09-28T14:30:00Z</dcterms:created>
  <dcterms:modified xsi:type="dcterms:W3CDTF">2026-09-28T14:59:00Z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